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-228600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2240" w:hanging="3912"/>
        <w:spacing w:after="0" w:line="287" w:lineRule="auto"/>
        <w:tabs>
          <w:tab w:leader="none" w:pos="21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spacing w:after="0"/>
        <w:tabs>
          <w:tab w:leader="none" w:pos="346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ectPr>
          <w:pgSz w:w="11900" w:h="16838" w:orient="portrait"/>
          <w:cols w:equalWidth="0" w:num="1">
            <w:col w:w="11240"/>
          </w:cols>
          <w:pgMar w:left="320" w:top="30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47-4839948</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620" w:space="320"/>
            <w:col w:w="3300"/>
          </w:cols>
          <w:pgMar w:left="320" w:top="304" w:right="33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18"/>
          <w:szCs w:val="18"/>
          <w:b w:val="1"/>
          <w:bCs w:val="1"/>
          <w:color w:val="auto"/>
        </w:rPr>
        <w:t>26 Landsdowne Street</w:t>
      </w:r>
    </w:p>
    <w:p>
      <w:pPr>
        <w:spacing w:after="0" w:line="25" w:lineRule="exact"/>
        <w:rPr>
          <w:sz w:val="24"/>
          <w:szCs w:val="24"/>
          <w:color w:val="auto"/>
        </w:rPr>
      </w:pPr>
    </w:p>
    <w:p>
      <w:pPr>
        <w:ind w:left="178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Cambridge, Massachusetts</w:t>
      </w:r>
      <w:r>
        <w:rPr>
          <w:sz w:val="20"/>
          <w:szCs w:val="20"/>
          <w:color w:val="auto"/>
        </w:rPr>
        <w:tab/>
      </w:r>
      <w:r>
        <w:rPr>
          <w:rFonts w:ascii="Times New Roman" w:cs="Times New Roman" w:eastAsia="Times New Roman" w:hAnsi="Times New Roman"/>
          <w:sz w:val="18"/>
          <w:szCs w:val="18"/>
          <w:b w:val="1"/>
          <w:bCs w:val="1"/>
          <w:color w:val="auto"/>
        </w:rPr>
        <w:t>02139</w:t>
      </w:r>
    </w:p>
    <w:p>
      <w:pPr>
        <w:spacing w:after="0" w:line="16"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FULC</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12(g) of the Act: None</w:t>
      </w:r>
    </w:p>
    <w:p>
      <w:pPr>
        <w:spacing w:after="0" w:line="2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6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61" w:lineRule="exact"/>
        <w:rPr>
          <w:sz w:val="24"/>
          <w:szCs w:val="24"/>
          <w:color w:val="auto"/>
        </w:rPr>
      </w:pPr>
    </w:p>
    <w:p>
      <w:pPr>
        <w:ind w:right="400"/>
        <w:spacing w:after="0" w:line="20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3" w:lineRule="exact"/>
        <w:rPr>
          <w:sz w:val="24"/>
          <w:szCs w:val="24"/>
          <w:color w:val="auto"/>
        </w:rPr>
      </w:pPr>
    </w:p>
    <w:p>
      <w:pPr>
        <w:ind w:right="180"/>
        <w:spacing w:after="0" w:line="20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7"/>
          <w:szCs w:val="17"/>
          <w:color w:val="auto"/>
        </w:rPr>
        <w:t>☐</w:t>
      </w:r>
    </w:p>
    <w:p>
      <w:pPr>
        <w:spacing w:after="0" w:line="5"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50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9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44" w:lineRule="exact"/>
        <w:rPr>
          <w:sz w:val="24"/>
          <w:szCs w:val="24"/>
          <w:color w:val="auto"/>
        </w:rPr>
      </w:pPr>
    </w:p>
    <w:p>
      <w:pPr>
        <w:ind w:right="600"/>
        <w:spacing w:after="0" w:line="20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40"/>
        <w:spacing w:after="0" w:line="17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5"/>
          <w:szCs w:val="15"/>
          <w:color w:val="auto"/>
        </w:rPr>
        <w:t>☐</w:t>
      </w:r>
    </w:p>
    <w:p>
      <w:pPr>
        <w:ind w:right="100"/>
        <w:spacing w:after="0" w:line="176"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5"/>
          <w:szCs w:val="15"/>
          <w:color w:val="auto"/>
        </w:rPr>
        <w:t>☐</w:t>
      </w:r>
    </w:p>
    <w:p>
      <w:pPr>
        <w:spacing w:after="0" w:line="1" w:lineRule="exact"/>
        <w:rPr>
          <w:sz w:val="24"/>
          <w:szCs w:val="24"/>
          <w:color w:val="auto"/>
        </w:rPr>
      </w:pPr>
    </w:p>
    <w:p>
      <w:pPr>
        <w:ind w:right="220"/>
        <w:spacing w:after="0" w:line="187" w:lineRule="exact"/>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5"/>
          <w:szCs w:val="15"/>
          <w:color w:val="auto"/>
        </w:rPr>
        <w:t>ﬃ</w:t>
      </w:r>
      <w:r>
        <w:rPr>
          <w:rFonts w:ascii="Times New Roman" w:cs="Times New Roman" w:eastAsia="Times New Roman" w:hAnsi="Times New Roman"/>
          <w:sz w:val="15"/>
          <w:szCs w:val="15"/>
          <w:color w:val="auto"/>
        </w:rPr>
        <w:t xml:space="preserve">cers during the relevant recovery period pursuant to §240.10D-1(b). </w:t>
      </w:r>
      <w:r>
        <w:rPr>
          <w:rFonts w:ascii="Arial Unicode MS" w:cs="Arial Unicode MS" w:eastAsia="Arial Unicode MS" w:hAnsi="Arial Unicode MS"/>
          <w:sz w:val="15"/>
          <w:szCs w:val="15"/>
          <w:color w:val="auto"/>
        </w:rPr>
        <w:t>☐</w:t>
      </w:r>
    </w:p>
    <w:p>
      <w:pPr>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5"/>
          <w:szCs w:val="15"/>
          <w:color w:val="auto"/>
        </w:rPr>
        <w:t xml:space="preserve"> NO </w:t>
      </w:r>
      <w:r>
        <w:rPr>
          <w:rFonts w:ascii="Arial Unicode MS" w:cs="Arial Unicode MS" w:eastAsia="Arial Unicode MS" w:hAnsi="Arial Unicode MS"/>
          <w:sz w:val="15"/>
          <w:szCs w:val="15"/>
          <w:color w:val="auto"/>
        </w:rPr>
        <w:t>☒</w:t>
      </w:r>
    </w:p>
    <w:p>
      <w:pPr>
        <w:spacing w:after="0" w:line="54" w:lineRule="exact"/>
        <w:rPr>
          <w:sz w:val="24"/>
          <w:szCs w:val="24"/>
          <w:color w:val="auto"/>
        </w:rPr>
      </w:pPr>
    </w:p>
    <w:p>
      <w:pPr>
        <w:ind w:right="140"/>
        <w:spacing w:after="0" w:line="246" w:lineRule="auto"/>
        <w:rPr>
          <w:sz w:val="20"/>
          <w:szCs w:val="20"/>
          <w:color w:val="auto"/>
        </w:rPr>
      </w:pPr>
      <w:r>
        <w:rPr>
          <w:rFonts w:ascii="Times New Roman" w:cs="Times New Roman" w:eastAsia="Times New Roman" w:hAnsi="Times New Roman"/>
          <w:sz w:val="15"/>
          <w:szCs w:val="15"/>
          <w:color w:val="auto"/>
        </w:rPr>
        <w:t>As of June 30, 2022, the last business day of the registrant’s most recently completed second fiscal quarter, the aggregate market value of the registrant’s common stock held by non-affiliates of the registrant, based on the closing price of the shares of common stock on the Nasdaq Global Market on June 30, 2022, was approximately $136,818,741.</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The number of shares of registrant’s common stock outstanding as of March 2, 2023 was 61,758,994.</w:t>
      </w:r>
    </w:p>
    <w:p>
      <w:pPr>
        <w:spacing w:after="0" w:line="2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30" w:lineRule="exact"/>
        <w:rPr>
          <w:sz w:val="24"/>
          <w:szCs w:val="24"/>
          <w:color w:val="auto"/>
        </w:rPr>
      </w:pPr>
    </w:p>
    <w:p>
      <w:pPr>
        <w:ind w:right="280"/>
        <w:spacing w:after="0" w:line="237" w:lineRule="auto"/>
        <w:rPr>
          <w:sz w:val="20"/>
          <w:szCs w:val="20"/>
          <w:color w:val="auto"/>
        </w:rPr>
      </w:pPr>
      <w:r>
        <w:rPr>
          <w:rFonts w:ascii="Times New Roman" w:cs="Times New Roman" w:eastAsia="Times New Roman" w:hAnsi="Times New Roman"/>
          <w:sz w:val="15"/>
          <w:szCs w:val="15"/>
          <w:color w:val="auto"/>
        </w:rPr>
        <w:t>The registrant intends to file a definitive proxy statement pursuant to Regulation 14A relating to the 2022 Annual Meeting of Stockholders within 120 days of the end of the registrant’s fiscal year ended December 31, 2022. Portions of such definitive proxy statement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4"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5"/>
        </w:trPr>
        <w:tc>
          <w:tcPr>
            <w:tcW w:w="11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8"/>
                <w:szCs w:val="18"/>
                <w:color w:val="auto"/>
              </w:rPr>
            </w:pPr>
          </w:p>
        </w:tc>
        <w:tc>
          <w:tcPr>
            <w:tcW w:w="8540" w:type="dxa"/>
            <w:vAlign w:val="bottom"/>
            <w:gridSpan w:val="2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47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8"/>
                <w:szCs w:val="18"/>
                <w:color w:val="auto"/>
              </w:rPr>
            </w:pPr>
          </w:p>
        </w:tc>
        <w:tc>
          <w:tcPr>
            <w:tcW w:w="7380" w:type="dxa"/>
            <w:vAlign w:val="bottom"/>
            <w:tcBorders>
              <w:top w:val="single" w:sz="8" w:color="0000FF"/>
            </w:tcBorders>
            <w:gridSpan w:val="23"/>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8"/>
                <w:szCs w:val="18"/>
                <w:color w:val="auto"/>
              </w:rPr>
            </w:pPr>
          </w:p>
        </w:tc>
        <w:tc>
          <w:tcPr>
            <w:tcW w:w="1000" w:type="dxa"/>
            <w:vAlign w:val="bottom"/>
            <w:tcBorders>
              <w:top w:val="single" w:sz="8" w:color="0000FF"/>
            </w:tcBorders>
            <w:gridSpan w:val="2"/>
          </w:tcPr>
          <w:p>
            <w:pPr>
              <w:spacing w:after="0"/>
              <w:rPr>
                <w:sz w:val="18"/>
                <w:szCs w:val="18"/>
                <w:color w:val="auto"/>
              </w:rPr>
            </w:pP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7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47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8"/>
                <w:szCs w:val="18"/>
                <w:color w:val="auto"/>
              </w:rPr>
            </w:pPr>
          </w:p>
        </w:tc>
        <w:tc>
          <w:tcPr>
            <w:tcW w:w="2260" w:type="dxa"/>
            <w:vAlign w:val="bottom"/>
            <w:tcBorders>
              <w:top w:val="single" w:sz="8" w:color="0000FF"/>
            </w:tcBorders>
            <w:gridSpan w:val="6"/>
          </w:tcPr>
          <w:p>
            <w:pPr>
              <w:spacing w:after="0"/>
              <w:rPr>
                <w:sz w:val="18"/>
                <w:szCs w:val="18"/>
                <w:color w:val="auto"/>
              </w:rPr>
            </w:pPr>
          </w:p>
        </w:tc>
        <w:tc>
          <w:tcPr>
            <w:tcW w:w="520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8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3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475"/>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7"/>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20" w:type="dxa"/>
            <w:vAlign w:val="bottom"/>
            <w:tcBorders>
              <w:top w:val="single" w:sz="8" w:color="0000FF"/>
              <w:bottom w:val="single" w:sz="8" w:color="0000EE"/>
            </w:tcBorders>
          </w:tcPr>
          <w:p>
            <w:pPr>
              <w:spacing w:after="0"/>
              <w:rPr>
                <w:sz w:val="18"/>
                <w:szCs w:val="18"/>
                <w:color w:val="auto"/>
              </w:rPr>
            </w:pPr>
          </w:p>
        </w:tc>
        <w:tc>
          <w:tcPr>
            <w:tcW w:w="1580" w:type="dxa"/>
            <w:vAlign w:val="bottom"/>
            <w:tcBorders>
              <w:top w:val="single" w:sz="8" w:color="0000FF"/>
            </w:tcBorders>
            <w:gridSpan w:val="6"/>
          </w:tcPr>
          <w:p>
            <w:pPr>
              <w:spacing w:after="0"/>
              <w:rPr>
                <w:sz w:val="18"/>
                <w:szCs w:val="18"/>
                <w:color w:val="auto"/>
              </w:rPr>
            </w:pPr>
          </w:p>
        </w:tc>
        <w:tc>
          <w:tcPr>
            <w:tcW w:w="614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this Annual Report on Form 10-K, unless otherwise stated or as the context otherwise requires, references to “Fulcrum,” “Fulcrum Therapeutics,” “the Company,” “we,” “us,” “our” and similar references refer to Fulcrum Therapeutics, Inc. together with its consolidated subsidiary. The Fulcrum Therapeutics logo, FulcrumSeek and other trademarks or service marks of Fulcrum Therapeutics, Inc. appearing in this Annual Report on Form 10-K are the property of Fulcrum Therapeutics, Inc. This Annual Report on Form 10-K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which reflect our current views with respect to, among other things, our operations and financial performance.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and include, among other statements, statements regarding:</w:t>
      </w:r>
    </w:p>
    <w:p>
      <w:pPr>
        <w:spacing w:after="0" w:line="9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clinical trials of losmapimod;</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resume clinical trials of FTX-6058 by resolving the full clinical hold placed by the U.S. Food and Drug Administration, or FDA, on our investigational new drug application, or IND, for FTX-6058 on February 23, 2023;</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organizational streamlining and realignment of resources, including our anticipated cash runway;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our research and development programs;</w:t>
      </w:r>
    </w:p>
    <w:p>
      <w:pPr>
        <w:spacing w:after="0" w:line="53"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losmapimod, FTX-6058 and any other product candidates, including in combination with other drugs and therapies;</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obtain and maintain regulatory approvals for losmapimod, FTX-6058 and any other product candidates;</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cash equivalents, and marketable securities;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 if our product candidates are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900" w:right="6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collaboration with MyoKardia, Inc., or MyoKardia, a wholly-owned subsidiary of Bristol-Myers Squibb Company;</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our business and operations, including our clinical trials and development plans, as well as our future financial results;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funding; and</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or a smaller reporting company as defined under the federal securities laws.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statistical and other industry and market data that we obtained from industry publications and research, surveys and studies conducted by third parties as well as our own estimates of potential market opportunities. All of the market data used in this Annual Report on Form 10-K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right="240" w:firstLine="562"/>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Annual Report on Form 10-K. Our principal risks include the following:</w:t>
      </w:r>
    </w:p>
    <w:p>
      <w:pPr>
        <w:spacing w:after="0" w:line="68" w:lineRule="exact"/>
        <w:rPr>
          <w:sz w:val="20"/>
          <w:szCs w:val="20"/>
          <w:color w:val="auto"/>
        </w:rPr>
      </w:pPr>
    </w:p>
    <w:p>
      <w:pPr>
        <w:ind w:left="900" w:right="42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Our net loss was $109.9 million for the year ended December 31, 2022 and $80.8 million for the year ended December 31, 2021. We expect to incur losses over the next several years and may never achieve or maintain profitability. As of December 31, 2022, we had an accumulated deficit of $412.3 million.</w:t>
      </w:r>
    </w:p>
    <w:p>
      <w:pPr>
        <w:spacing w:after="0" w:line="67" w:lineRule="exact"/>
        <w:rPr>
          <w:rFonts w:ascii="Times New Roman" w:cs="Times New Roman" w:eastAsia="Times New Roman" w:hAnsi="Times New Roman"/>
          <w:sz w:val="18"/>
          <w:szCs w:val="18"/>
          <w:color w:val="auto"/>
        </w:rPr>
      </w:pPr>
    </w:p>
    <w:p>
      <w:pPr>
        <w:ind w:left="900" w:hanging="383"/>
        <w:spacing w:after="0" w:line="277"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currently subject to a full clinical hold on our IND for FTX-6058 for sickle cell disease, or SCD, and we withdrew our separate IND for FTX-6058 related to beta thalassemia. We will need to resolve the clinical hold issues with the FDA in order to resume our Phase 1b clinical trial in SCD, other healthy volunteer studies or pursue development of FTX-6058 for beta thalassemia and any other hemoglobinopathies. Our business may be adversely affected if the clinical hold is not resolved in a timely manner or at all, or if other regulatory concerns lead to additional delays. We cannot guarantee that we will be able to respond to FDA’s requests in order to resolve the clinical hold.</w:t>
      </w:r>
    </w:p>
    <w:p>
      <w:pPr>
        <w:spacing w:after="0" w:line="59" w:lineRule="exact"/>
        <w:rPr>
          <w:rFonts w:ascii="Times New Roman" w:cs="Times New Roman" w:eastAsia="Times New Roman" w:hAnsi="Times New Roman"/>
          <w:sz w:val="17"/>
          <w:szCs w:val="17"/>
          <w:color w:val="auto"/>
        </w:rPr>
      </w:pPr>
    </w:p>
    <w:p>
      <w:pPr>
        <w:ind w:left="900" w:right="20" w:hanging="383"/>
        <w:spacing w:after="0" w:line="281"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and, pending resolution of the clinical hold, of FTX-6058 and continue research and development and initiate additional clinical trials of, and seek regulatory approval for, these and other product candidates.</w:t>
      </w:r>
    </w:p>
    <w:p>
      <w:pPr>
        <w:spacing w:after="0" w:line="56" w:lineRule="exact"/>
        <w:rPr>
          <w:rFonts w:ascii="Times New Roman" w:cs="Times New Roman" w:eastAsia="Times New Roman" w:hAnsi="Times New Roman"/>
          <w:sz w:val="17"/>
          <w:szCs w:val="17"/>
          <w:color w:val="auto"/>
        </w:rPr>
      </w:pPr>
    </w:p>
    <w:p>
      <w:pPr>
        <w:ind w:left="900" w:right="4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53"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FulcrumSeek, our proprietary product engine to build a pipeline of product candidates. A key element of our strategy is to use FulcrumSeek to identify and validate cellular drug targets that can potentially modulate gene expression to address the root cause of genetically-defined rare diseases, with an initial focus on identifying small molecules specific to the identified cellular target.</w:t>
      </w:r>
    </w:p>
    <w:p>
      <w:pPr>
        <w:spacing w:after="0" w:line="71"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The results of preclinical studies and early clinical trials may not be predictive of future results. We may incur additional costs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 w:name="page5"/>
    <w:bookmarkEnd w:id="4"/>
    <w:p>
      <w:pPr>
        <w:ind w:left="383"/>
        <w:spacing w:after="0"/>
        <w:rPr>
          <w:sz w:val="20"/>
          <w:szCs w:val="20"/>
          <w:color w:val="auto"/>
        </w:rPr>
      </w:pPr>
      <w:r>
        <w:rPr>
          <w:rFonts w:ascii="Times New Roman" w:cs="Times New Roman" w:eastAsia="Times New Roman" w:hAnsi="Times New Roman"/>
          <w:sz w:val="18"/>
          <w:szCs w:val="18"/>
          <w:color w:val="auto"/>
        </w:rPr>
        <w:t>experience delays in completing, or ultimately be unable to complete, the development and commercialization of our product candidates.</w:t>
      </w:r>
    </w:p>
    <w:p>
      <w:pPr>
        <w:spacing w:after="0" w:line="117" w:lineRule="exact"/>
        <w:rPr>
          <w:sz w:val="20"/>
          <w:szCs w:val="20"/>
          <w:color w:val="auto"/>
        </w:rPr>
      </w:pPr>
    </w:p>
    <w:p>
      <w:pPr>
        <w:ind w:left="383" w:right="20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67" w:lineRule="exact"/>
        <w:rPr>
          <w:rFonts w:ascii="Times New Roman" w:cs="Times New Roman" w:eastAsia="Times New Roman" w:hAnsi="Times New Roman"/>
          <w:sz w:val="18"/>
          <w:szCs w:val="18"/>
          <w:color w:val="auto"/>
        </w:rPr>
      </w:pPr>
    </w:p>
    <w:p>
      <w:pPr>
        <w:ind w:left="383" w:right="28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67" w:lineRule="exact"/>
        <w:rPr>
          <w:rFonts w:ascii="Times New Roman" w:cs="Times New Roman" w:eastAsia="Times New Roman" w:hAnsi="Times New Roman"/>
          <w:sz w:val="18"/>
          <w:szCs w:val="18"/>
          <w:color w:val="auto"/>
        </w:rPr>
      </w:pPr>
    </w:p>
    <w:p>
      <w:pPr>
        <w:ind w:left="383"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53" w:lineRule="exact"/>
        <w:rPr>
          <w:rFonts w:ascii="Times New Roman" w:cs="Times New Roman" w:eastAsia="Times New Roman" w:hAnsi="Times New Roman"/>
          <w:sz w:val="18"/>
          <w:szCs w:val="18"/>
          <w:color w:val="auto"/>
        </w:rPr>
      </w:pPr>
    </w:p>
    <w:p>
      <w:pPr>
        <w:ind w:left="383" w:right="10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383" w:right="22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67" w:lineRule="exact"/>
        <w:rPr>
          <w:rFonts w:ascii="Times New Roman" w:cs="Times New Roman" w:eastAsia="Times New Roman" w:hAnsi="Times New Roman"/>
          <w:sz w:val="18"/>
          <w:szCs w:val="18"/>
          <w:color w:val="auto"/>
        </w:rPr>
      </w:pPr>
    </w:p>
    <w:p>
      <w:pPr>
        <w:ind w:left="383" w:right="380" w:hanging="383"/>
        <w:spacing w:after="0" w:line="282"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3" w:lineRule="exact"/>
        <w:rPr>
          <w:rFonts w:ascii="Times New Roman" w:cs="Times New Roman" w:eastAsia="Times New Roman" w:hAnsi="Times New Roman"/>
          <w:sz w:val="18"/>
          <w:szCs w:val="18"/>
          <w:color w:val="auto"/>
        </w:rPr>
      </w:pPr>
    </w:p>
    <w:p>
      <w:pPr>
        <w:jc w:val="both"/>
        <w:ind w:left="383" w:right="2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and may in the future enter into, collaborations with third parties for the discovery, development or commercialization of product candidates, including our collaboration with MyoKardia. If our collaboration is not successful, we may not be able to capitalize on the market potential of these product candidates and our business could be adversely affected.</w:t>
      </w:r>
    </w:p>
    <w:p>
      <w:pPr>
        <w:spacing w:after="0" w:line="67" w:lineRule="exact"/>
        <w:rPr>
          <w:rFonts w:ascii="Times New Roman" w:cs="Times New Roman" w:eastAsia="Times New Roman" w:hAnsi="Times New Roman"/>
          <w:sz w:val="18"/>
          <w:szCs w:val="18"/>
          <w:color w:val="auto"/>
        </w:rPr>
      </w:pPr>
    </w:p>
    <w:p>
      <w:pPr>
        <w:ind w:left="383" w:right="100" w:hanging="383"/>
        <w:spacing w:after="0" w:line="289" w:lineRule="auto"/>
        <w:tabs>
          <w:tab w:leader="none" w:pos="38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49" w:lineRule="exact"/>
        <w:rPr>
          <w:rFonts w:ascii="Times New Roman" w:cs="Times New Roman" w:eastAsia="Times New Roman" w:hAnsi="Times New Roman"/>
          <w:sz w:val="17"/>
          <w:szCs w:val="17"/>
          <w:color w:val="auto"/>
        </w:rPr>
      </w:pPr>
    </w:p>
    <w:p>
      <w:pPr>
        <w:ind w:left="383" w:right="460" w:hanging="383"/>
        <w:spacing w:after="0" w:line="26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45"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improving the lives of patients with genetically defined rare diseases in areas of high unmet medical need. Our most advanced clinical product candidate, losmapimod, is being developed for the potential treatment of facioscapulohumeral muscular dystrophy, or FSHD. Our other clinical product candidate is FTX-6058, which is being developed for the potential treatment of certain hemoglobinopathies, including sickle cell disease, or SCD. We initiated REACH, a randomized, double-blind, placebo-controlled, multi-national Phase 3 clinical trial of losmapimod in the second quarter of 2022 and plan to complete enrollment in the second half of 2023. In January 2023, we announced Phase 1b data from our clinical trial of FTX-6058 in SCD. We have completed enrollment in the 6 mg and 2 mg dose cohorts, and we do not plan to enroll additional subjects in these cohorts. Although we commenced enrollment in the 12 mg dose cohort, on February 23, 2023, the FDA placed a full clinical hold on the IND for FTX-6058 for SCD. We have suspended enrollment and dosing in the Phase 1b trial of FTX-6058, withdrew our separate IND for FTX-6058 for beta thalassemia and intend to work diligently with FDA to resolve the hold as soon as possible.</w:t>
      </w:r>
    </w:p>
    <w:p>
      <w:pPr>
        <w:spacing w:after="0" w:line="18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have developed a proprietary product engine, FulcrumSeek, that we employ to systematically identify and validate cellular drug targets that can potentially modulate gene expression to treat known root causes of genetically defined diseases. Our product engine integrates patient-derived tissue 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losmapimod for FSHD and FTX-6058 for hemoglobinopathies, as well as a robust discovery pipeline.</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most advanced product candidate, losmapimod, is a small molecule that we in-licensed from affiliates of GlaxoSmithKline plc, or GSK, and are developing for the treatment of FSHD, a rare, progressive and disabling disorder characterized by muscle degeneration and fat infiltration. Disease progression results in the accumulation of disability with many patients ultimately becoming dependent on wheelchairs and losing independence as their ability to perform activities of daily living decreases. Losmapimod selectively targets p38α/ß mitogen activated protein kinase, or p38α/ß. We utilized our product engine to discover that inhibition of p38α/ß reduced expression of the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gene in muscle cells derived from patients with FSHD. The aberrant expression of the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gene is the known root cause of FSHD. There are no approved therapies for FSHD, one of the most common forms of muscular dystrophy, with an estimated patient population of 16,000 to 38,000 in the United States and 300,000 to 780,000 globally. Losmapimod has received orphan drug designation from both the FDA and the European Medicines Agency, or EMA, for the treatment of FSHD, and in May 2021, received fast track designation from the FDA.</w:t>
      </w:r>
    </w:p>
    <w:p>
      <w:pPr>
        <w:spacing w:after="0" w:line="18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conducted a randomized, double-blind, placebo-controlled, multicenter, international Phase 2b clinical trial, referred to as ReDUX4, to evaluate losmapimod in 80 patients with FSHD. In this Phase 2b clinical trial, the primary endpoint was change in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-driven gene expression, an experimental molecular biomarker. Secondary endpoints included evaluation of safety and tolerability, pharmacokinetics, or PK, in blood, as well as measures of muscle health, structure and function, including muscle fat infiltration, or MFI, reachable workspace, or RWS, and patient-reported outcomes. Concurrently, we initiated a single-center open label Phase 2 clinical trial to investigate the safety and tolerability of chronic treatment with losmapimod in patients with FSHD. In the ongoing extension of the open label trial, we are also evaluating measures of muscle function, muscle strength, and patient reported quality of life.</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presented data through 48 weeks from the ReDUX4 trial in June 2021. While the primary endpoint was not met, results demonstrated clinically relevant benefits versus placebo on multiple measures of muscle health and function as well as patient reported outcomes at 48 weeks. Losmapimod-treated participants showed decreased progression of MFI as measured in intermediate muscles, which are muscles already affected by disease and most likely to show signs of disease progression. Normal appearing muscles appeared to be preserved in the losmapimod group versus placebo. Treatment with losmapimod was shown to slow the rate of decline and improve accessible surface area in RWS, which is a measure of function that assesses upper extremity range of motion and has been shown to be an important measure of independence. Additionally, patients reported feeling better when treated with losmapimod compared to placebo through the Patient Global Impression of Change, or PGIC, assessment. PGIC is a measure of self-reported change in how a patient feels and functions. Losmapimod was generally well-tolerated, with no drug-related serious adverse events reported.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firstLine="509"/>
        <w:spacing w:after="0" w:line="255" w:lineRule="auto"/>
        <w:rPr>
          <w:sz w:val="20"/>
          <w:szCs w:val="20"/>
          <w:color w:val="auto"/>
        </w:rPr>
      </w:pPr>
      <w:r>
        <w:rPr>
          <w:rFonts w:ascii="Times New Roman" w:cs="Times New Roman" w:eastAsia="Times New Roman" w:hAnsi="Times New Roman"/>
          <w:sz w:val="18"/>
          <w:szCs w:val="18"/>
          <w:color w:val="auto"/>
        </w:rPr>
        <w:t>Based on the ReDUX4 data, we engaged with U.S. and EU regulatory agencies, including FDA, and gained alignment on key aspects of the design of a Phase 3 trial. We initiated our Phase 3 trial, REACH, in the second quarter of 2022 and plan to complete enrollment in the second half of 2023. REACH is a randomized, double-blind, placebo-controlled, multi-national trial to evaluate the efficacy and safety of losmapimod for the treatment of FSHD. The trial is expected to enroll approximately 230 adults with FSHD. Patients are randomized 1:1 to receive either losmapimod, administered orally as a 15 mg tablet twice a day, or placebo, and are evaluated over a 48 week treatment period. The primary endpoint of the study is the absolute change from baseline in RWS. Secondary endpoints include MFI, PGIC, and Quality of Life in Neurological Disorders of the upper extremity, or Neuro QoL UE. The trial also includes patient-centered assessments of healthcare utilization.</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October 2022, we presented data through 96 weeks from the open label extension portion of ReDUX4. Data presented showed that patients in the initial treatment arm who continued to receive losmapimod experienced maintenance of effect through 96-weeks as measured by RWS mean change from baseline. Additionally, patients who crossed over from placebo to losmapimod after the initial 48-week trial period showed improvement and slowing of disease progression as measured by RWS mean change from baseline. Losmapimod continued to demonstrate an encouraging safety profile and continued to be generally well-tolerated.</w:t>
      </w:r>
    </w:p>
    <w:p>
      <w:pPr>
        <w:spacing w:after="0" w:line="183"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Our other product candidate, FTX-6058, is an investigational oral fetal hemoglobin, or HbF, inducer that is in development for the potential treatment of SCD and other certain hemoglobinopathies. FTX-6058 is designed to bind to embryonic ectoderm development, or EED, and inhibit the transcriptional silencing activity of the polycomb repressive complex 2, or PRC2. Inhibition of EED leads to potent downregulation of key fetal globin repressors, including BCL11A, thereby causing an increase in HbF. EED is a member of the PRC2 complex, which also includes EZH2. There are approved products in the EZH2 class of medications and their approved labeling outlines safety risks, including an increased risk of malignancies.</w:t>
      </w:r>
    </w:p>
    <w:p>
      <w:pPr>
        <w:spacing w:after="0" w:line="1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SCD is a genetic blood disorder caused by a mutation in the ß-subunit gene, or </w:t>
      </w:r>
      <w:r>
        <w:rPr>
          <w:rFonts w:ascii="Times New Roman" w:cs="Times New Roman" w:eastAsia="Times New Roman" w:hAnsi="Times New Roman"/>
          <w:sz w:val="18"/>
          <w:szCs w:val="18"/>
          <w:i w:val="1"/>
          <w:iCs w:val="1"/>
          <w:color w:val="auto"/>
        </w:rPr>
        <w:t>HBB</w:t>
      </w:r>
      <w:r>
        <w:rPr>
          <w:rFonts w:ascii="Times New Roman" w:cs="Times New Roman" w:eastAsia="Times New Roman" w:hAnsi="Times New Roman"/>
          <w:sz w:val="18"/>
          <w:szCs w:val="18"/>
          <w:color w:val="auto"/>
        </w:rPr>
        <w:t xml:space="preserve"> gene. This mutation results in the formation of abnormal hemoglobin, or HbS, which causes red blood cells, or RBCs, to change from a round shape into a sickle shape that significantly impairs their function. We designed FTX-6058 to compensate for the root cause of these hemoglobinopathies by inducing the expression of the two γ-globin genes, </w:t>
      </w:r>
      <w:r>
        <w:rPr>
          <w:rFonts w:ascii="Times New Roman" w:cs="Times New Roman" w:eastAsia="Times New Roman" w:hAnsi="Times New Roman"/>
          <w:sz w:val="18"/>
          <w:szCs w:val="18"/>
          <w:i w:val="1"/>
          <w:iCs w:val="1"/>
          <w:color w:val="auto"/>
        </w:rPr>
        <w:t>HBG1/2</w:t>
      </w:r>
      <w:r>
        <w:rPr>
          <w:rFonts w:ascii="Times New Roman" w:cs="Times New Roman" w:eastAsia="Times New Roman" w:hAnsi="Times New Roman"/>
          <w:sz w:val="18"/>
          <w:szCs w:val="18"/>
          <w:color w:val="auto"/>
        </w:rPr>
        <w:t xml:space="preserve">, whose expression is normally silenced shortly after birth. The </w:t>
      </w:r>
      <w:r>
        <w:rPr>
          <w:rFonts w:ascii="Times New Roman" w:cs="Times New Roman" w:eastAsia="Times New Roman" w:hAnsi="Times New Roman"/>
          <w:sz w:val="18"/>
          <w:szCs w:val="18"/>
          <w:i w:val="1"/>
          <w:iCs w:val="1"/>
          <w:color w:val="auto"/>
        </w:rPr>
        <w:t>HBG1/2</w:t>
      </w:r>
      <w:r>
        <w:rPr>
          <w:rFonts w:ascii="Times New Roman" w:cs="Times New Roman" w:eastAsia="Times New Roman" w:hAnsi="Times New Roman"/>
          <w:sz w:val="18"/>
          <w:szCs w:val="18"/>
          <w:color w:val="auto"/>
        </w:rPr>
        <w:t xml:space="preserve"> genes encode for γ-globin, a component of HbF, which is known to repair the abnormal RBC shape in SCD and to compensate for the presence of HbS in SCD. We have observed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activation of the </w:t>
      </w:r>
      <w:r>
        <w:rPr>
          <w:rFonts w:ascii="Times New Roman" w:cs="Times New Roman" w:eastAsia="Times New Roman" w:hAnsi="Times New Roman"/>
          <w:sz w:val="18"/>
          <w:szCs w:val="18"/>
          <w:i w:val="1"/>
          <w:iCs w:val="1"/>
          <w:color w:val="auto"/>
        </w:rPr>
        <w:t>HBG1/2</w:t>
      </w:r>
      <w:r>
        <w:rPr>
          <w:rFonts w:ascii="Times New Roman" w:cs="Times New Roman" w:eastAsia="Times New Roman" w:hAnsi="Times New Roman"/>
          <w:sz w:val="18"/>
          <w:szCs w:val="18"/>
          <w:color w:val="auto"/>
        </w:rPr>
        <w:t xml:space="preserve"> genes in preclinical studies with FTX-6058. We have also observed that FTX-6058 demonstrated robust levels of HbF elevation with no adverse effects on important cellular health markers. We conducted additional pre-clinical profiling in CD34+ derived cells and observed that treatment with FTX-6058 increased HbF levels to approximately 30% of total hemoglobin, as measured by mass spectrometry, high performance liquid chromatography, and fast protein liquid chromatography techniques. The elevation of HbF was significantly greater than we observed with hydroxyurea in the cell models.</w:t>
      </w:r>
    </w:p>
    <w:p>
      <w:pPr>
        <w:spacing w:after="0" w:line="19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Phase 1b trial of FTX-6058 in subjects with SCD (both on and off hydroxyurea) is currently subject to a full clinical hold. Although in January 2023 we announced data from subjects with SCD receiving 6 mg of FTX-6058, as well as completion of enrollment in the 6 mg and 2 mg dose cohorts and commencement of enrollment in the 12 mg dose cohort, in February 2023 FDA placed a full clinical hold on the IND for FTX-6058 for SCD. Accordingly, we have suspended enrollment and dosing in the Phase 1b trial of FTX-6058 and intend to work diligently with FDA to resolve the hold as soon as possible.</w:t>
      </w:r>
    </w:p>
    <w:p>
      <w:pPr>
        <w:spacing w:after="0" w:line="18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Phase 1b data from evaluable subjects as of the December 21, 2022 data cutoff in the 6 mg dose cohort (n=10) showed up to 9.5% absolute HbF increases from baseline; data suggested no difference in response in subjects on (n=3) and off (n=7) background hydroxyurea. We also observed improved biomarkers of hemolysis in evaluable subjects dosed at 6 mg. The figures below illustrate percentage HbF increase by HPLC and absolute percentage HbF change from baseline for evaluable subjects (n=7) in the 6 mg dose cohort (subjects with asterisks were on hydroxyurea).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2231390</wp:posOffset>
            </wp:positionH>
            <wp:positionV relativeFrom="page">
              <wp:posOffset>363220</wp:posOffset>
            </wp:positionV>
            <wp:extent cx="3385820" cy="3891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3385820"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have completed enrollment in the 6 mg and 2 mg dose cohorts, and we do not plan to enroll additional subjects in these cohorts, or in any other cohorts until such time as we are able to resolve the clinical hold. Data from subjects in the 2 mg dose cohort (n=2), showed up to 4.6% absolute HbF increases from baseline.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2256790</wp:posOffset>
            </wp:positionH>
            <wp:positionV relativeFrom="page">
              <wp:posOffset>363220</wp:posOffset>
            </wp:positionV>
            <wp:extent cx="3334385" cy="4054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3334385" cy="405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Enrollment and dosing in the 12 mg dose cohort (including subjects both on and off hydroxyurea) are currently suspended as the Phase 1b trial is on clinical hold. Data from subjects in the 12 mg dose cohort (n=3), prior to the suspension of the trial, showed up to 10.0% absolute HbF increases from baseline after 42 days of treatment. Subjects with asterisks were on hydroxyurea.</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2188210</wp:posOffset>
            </wp:positionH>
            <wp:positionV relativeFrom="page">
              <wp:posOffset>363220</wp:posOffset>
            </wp:positionV>
            <wp:extent cx="3463290" cy="4046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3463290"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Increases in HbF have been shown to reduce the frequency or severity of a broad range of SCD symptoms, including vaso-occlusive crises, or VOC, anemia, pain, infection, stroke and others. Based on a large body of genetic, clinical, and observational evidence showing the effects of higher levels of HbF in people with SCD, the induction of HbF by 5-10% over baseline could be associated with reduced disease burden and improved clinical outcomes. We believe these initial data showing that FTX-6058 increased HbF levels by up to 9.5% support its potential to become a transformative therapy for people living with SCD, if approved.</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FTX-6058 has been generally well-tolerated as of the March 3, 2023 data cutoff date. There have been 14 treatment emergent adverse effects, or TEAEs, reported to date, two of which were reported as possibly related to study drug (headache, lip numbness), neither of which were severe and were deemed non-serious. There have been no discontinuations due to TEAEs. Three of the 14 TEAEs were characterized as VOCs, and were deemed unrelated to FTX-6058, one of which was reported as a serious adverse event, or SAE, with acute chest syndrome in a non-adherent subject.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December 2022, we received Fast Track Designation from the FDA for FTX-6058 for the treatment of SCD.</w:t>
      </w:r>
    </w:p>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According to the National Institutes of Health, or NIH, there are approximately 7,000 rare, genetically defined human diseases, many of which have inadequate or no approved treatments. Our current drug target identification and development efforts are focused on rare muscular, hematologic and neurologic, disorders. We also anticipate utilizing FulcrumSeek to discover drug targets for genetically defined diseases in other therapeutic areas and for other disorders. In addition to drug targets that we prioritize for internal development, we may identify other drug targets that we would consider for development through partnerships. For example, we are utilizing FulcrumSeek to discover drug targets for the potential treatment of certain genetically defined cardiomyopathies under our collaboration and license agreement with MyoKardia, a wholly-owned subsidiary of Bristol-Myers Squibb Company.</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Using FulcrumSeek, we have generated a pipeline of potentially disease-modifying therapies that address the known root cause of rare genetic diseases. The following chart summarizes key information about our pipeline of clinical stage and pre-clinical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-22225</wp:posOffset>
            </wp:positionV>
            <wp:extent cx="5760720" cy="2511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072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leveraging the broad applicability of our proprietary product engine to discover and develop small molecule therapies that modulate gene expression to address the known root cause of genetically defined rare diseases in areas of high unmet medical need. We believe that our initial product candidates for the treatment of FSHD and SCD may have the potential to treat patients with these debilitating and, in some cases, life-threatening illnesses. The key components of our strategy include:</w:t>
      </w:r>
    </w:p>
    <w:p>
      <w:pPr>
        <w:spacing w:after="0" w:line="68" w:lineRule="exact"/>
        <w:rPr>
          <w:sz w:val="20"/>
          <w:szCs w:val="20"/>
          <w:color w:val="auto"/>
        </w:rPr>
      </w:pPr>
    </w:p>
    <w:p>
      <w:pPr>
        <w:ind w:left="900" w:hanging="368"/>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Rapidly develop losmapimod for the treatment of FSHD. </w:t>
      </w:r>
      <w:r>
        <w:rPr>
          <w:rFonts w:ascii="Times New Roman" w:cs="Times New Roman" w:eastAsia="Times New Roman" w:hAnsi="Times New Roman"/>
          <w:sz w:val="18"/>
          <w:szCs w:val="18"/>
          <w:color w:val="auto"/>
        </w:rPr>
        <w:t>We aim to rapidly develop losmapimod for the treatment of FSHD through 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regulatory approval. In the second quarter of 2022, we initiated REACH, a randomized, double-blind, placebo-controlled, 48-week Phase 3 trial to evaluate the efficacy and safety of losmapimod for the treatment of FSHD and plan to complete enrollment in the second half of 2023.</w:t>
      </w:r>
    </w:p>
    <w:p>
      <w:pPr>
        <w:spacing w:after="0" w:line="68" w:lineRule="exact"/>
        <w:rPr>
          <w:rFonts w:ascii="Times New Roman" w:cs="Times New Roman" w:eastAsia="Times New Roman" w:hAnsi="Times New Roman"/>
          <w:sz w:val="18"/>
          <w:szCs w:val="18"/>
          <w:color w:val="auto"/>
        </w:rPr>
      </w:pPr>
    </w:p>
    <w:p>
      <w:pPr>
        <w:ind w:left="900" w:right="120" w:hanging="368"/>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Rapidly develop FTX-6058 for the treatment of SCD. </w:t>
      </w:r>
      <w:r>
        <w:rPr>
          <w:rFonts w:ascii="Times New Roman" w:cs="Times New Roman" w:eastAsia="Times New Roman" w:hAnsi="Times New Roman"/>
          <w:sz w:val="18"/>
          <w:szCs w:val="18"/>
          <w:color w:val="auto"/>
        </w:rPr>
        <w:t>We aim to rapidly complete the clinical development of FTX-6058 for the treatment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SCD to support regulatory approval and intend to work diligently with FDA to resolve the full clinical hold imposed on February 23, 2023. Although we commenced enrollment in the 12 mg dose cohort in a Phase 1b clinical trial of FTX-6058 in subjects with SCD, dosing and enrollment in this trial are currently on hold.</w:t>
      </w:r>
    </w:p>
    <w:p>
      <w:pPr>
        <w:spacing w:after="0" w:line="68" w:lineRule="exact"/>
        <w:rPr>
          <w:rFonts w:ascii="Times New Roman" w:cs="Times New Roman" w:eastAsia="Times New Roman" w:hAnsi="Times New Roman"/>
          <w:sz w:val="18"/>
          <w:szCs w:val="18"/>
          <w:color w:val="auto"/>
        </w:rPr>
      </w:pPr>
    </w:p>
    <w:p>
      <w:pPr>
        <w:ind w:left="900" w:right="240" w:hanging="368"/>
        <w:spacing w:after="0" w:line="26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apply FulcrumSeek to grow our portfolio of product candidates for the treatment of genetically defined diseases.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developed a rigorous assessment and selection process to determine which of the approximately 7,000 rare, genetically defined diseases we intend to evaluate in drug target identification activities. We are applying FulcrumSeek to discover drug targets to modulate gene expression and develop product candidates for the potential treatment of the root cause of disease.</w:t>
      </w:r>
    </w:p>
    <w:p>
      <w:pPr>
        <w:spacing w:after="0" w:line="68" w:lineRule="exact"/>
        <w:rPr>
          <w:rFonts w:ascii="Times New Roman" w:cs="Times New Roman" w:eastAsia="Times New Roman" w:hAnsi="Times New Roman"/>
          <w:sz w:val="18"/>
          <w:szCs w:val="18"/>
          <w:color w:val="auto"/>
        </w:rPr>
      </w:pPr>
    </w:p>
    <w:p>
      <w:pPr>
        <w:ind w:left="900" w:right="100" w:hanging="368"/>
        <w:spacing w:after="0" w:line="28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Further expand our product engine capabilities. </w:t>
      </w:r>
      <w:r>
        <w:rPr>
          <w:rFonts w:ascii="Times New Roman" w:cs="Times New Roman" w:eastAsia="Times New Roman" w:hAnsi="Times New Roman"/>
          <w:sz w:val="18"/>
          <w:szCs w:val="18"/>
          <w:color w:val="auto"/>
        </w:rPr>
        <w:t>We have significantly enhanced the scale and power of FulcrumSeek to increase the pace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discovery and we intend to further expand our capabilities to enhance the therapeutic reach and productivity of our drug discovery process.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ind w:left="900" w:right="100" w:hanging="368"/>
        <w:spacing w:after="0" w:line="26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Maximize the commercial potential of our product candidates. </w:t>
      </w:r>
      <w:r>
        <w:rPr>
          <w:rFonts w:ascii="Times New Roman" w:cs="Times New Roman" w:eastAsia="Times New Roman" w:hAnsi="Times New Roman"/>
          <w:sz w:val="18"/>
          <w:szCs w:val="18"/>
          <w:color w:val="auto"/>
        </w:rPr>
        <w:t>We have retained all rights to our lead product candidates focused on rare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genetically defined diseases, and plan to commercialize any approved product for such rare genetically defined diseases using a targeted sales infrastructure. We may in the future pursue commercialization partnerships for certain product candidates and/or markets outside the United States.</w:t>
      </w:r>
    </w:p>
    <w:p>
      <w:pPr>
        <w:spacing w:after="0" w:line="68" w:lineRule="exact"/>
        <w:rPr>
          <w:rFonts w:ascii="Times New Roman" w:cs="Times New Roman" w:eastAsia="Times New Roman" w:hAnsi="Times New Roman"/>
          <w:sz w:val="18"/>
          <w:szCs w:val="18"/>
          <w:color w:val="auto"/>
        </w:rPr>
      </w:pPr>
    </w:p>
    <w:p>
      <w:pPr>
        <w:ind w:left="900" w:hanging="368"/>
        <w:spacing w:after="0" w:line="259"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Selectively enter into strategic partnerships to maximize the value of our product engine and pipeline. </w:t>
      </w:r>
      <w:r>
        <w:rPr>
          <w:rFonts w:ascii="Times New Roman" w:cs="Times New Roman" w:eastAsia="Times New Roman" w:hAnsi="Times New Roman"/>
          <w:sz w:val="18"/>
          <w:szCs w:val="18"/>
          <w:color w:val="auto"/>
        </w:rPr>
        <w:t>Given the breadth of opportunities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proprietary product engine to discover drug targets and develop product candidates for genetically defined diseases, we may enter into strategic partnerships for certain drug targets, product candidates or disease areas, such as our collaboration and license agreement with MyoKardia, a wholly-owned subsidiary of Bristol Myers Squibb. Partnerships may provide an attractive avenue for expanding the impact of our proprietary product engine.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Lead Product Candidates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have used our proprietary product engine and screening efforts to identify drug targets for our lead product candidates. We have two product candidates in clinical trials. The following chart summarizes key information about these lead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-22225</wp:posOffset>
            </wp:positionV>
            <wp:extent cx="5760720" cy="1062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Losmapimod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Facioscapulohumeral Muscular Dystrophy</w:t>
      </w:r>
    </w:p>
    <w:p>
      <w:pPr>
        <w:spacing w:after="0" w:line="119"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Facioscapulohumeral muscular dystrophy is a rare, progressive and disabling disease for which there are no approved treatments. FSHD is one of the most common forms of muscular dystrophy and affects both sexes equally, with onset typically in teens and young adults. FSHD is characterized by progressive skeletal muscle loss that initially causes weakness in muscles in the face, shoulders, arms and trunk and progresses to weakness in muscles in lower extremities and the pelvic girdle. Skeletal muscle weakness results in significant physical limitations, including progressive loss of independence, including impacts to facial muscles that can cause problems with communication, difficulty using arms for activities of daily living and difficulty getting out of bed, with many patients ultimately becoming dependent upon the use of a wheelchair for daily mobility activities. The majority of patients with FSHD also report experiencing chronic pain, anxiety and depression. The diagnosis and treatment of patients with FSHD is typically performed by neurologists.</w:t>
      </w:r>
    </w:p>
    <w:p>
      <w:pPr>
        <w:spacing w:after="0" w:line="19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FSH Society estimated that the prevalence of FSHD in the United States is approximately 1 in 20,000 people. A recent study conducted in the Netherlands reported a more frequent prevalence of 1 in 8,333. Based on these estimates and a U.S. population of 320 million, we estimate that the patient population is between 16,000 to 38,000 in the United States. We believe that there may be additional patients who are not formally diagnosed due to a perceived difficulty of obtaining a diagnosis and the fact that there are no approved treatments. Approximately two-thirds of cases are familial-inherited in an autosomal dominant fashion and one-third of cases are sporadic. FSHD affects all ethnic groups with similar incidence and prevalence.</w:t>
      </w:r>
    </w:p>
    <w:p>
      <w:pPr>
        <w:spacing w:after="0" w:line="7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There are no approved therapies for the treatment of FSHD. Current treatment is limited to symptomatic management including physical/ occupational therapy, low-intensity aerobic exercise tailored to the patient’s distribution of weakness, and general pain management, which may provide limited beneficial effect. Limited range of motion in the shoulder girdle can stem from periscapular muscle weakness leading to scapular winging and in such cases, surgical scapular fixation can result in some functional improvement for certain patients.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Losmapimod could face competition from other therapeutic approaches in development for patients with FSHD. Roche is evaluating RO7204239, a myostatin inhibitor, in a Phase 2 trial in adults with FSHD. Avidity is evaluating AOC 1020, an siRNA antibody-oligonucleotide complex, in a Phase 1/2 clinical trial in adults with FSHD. We are not aware of any product candidate currently in clinical development for FSHD with the same mechanism of action as losmapimod.</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FSHD Biology</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FSHD is caused by aberrant expression of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in skeletal muscle resulting in the inappropriate presence of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protein, a transcription factor causing the expression of other genes. Normally DUX4-driven gene expression is limited to early embryonic development, after which time the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gene is silenced. In patients with FSHD, aberrant production of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protein in skeletal muscle regulates other genes encoding proteins, some of which are toxic to the muscle. The result of aberrant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in FSHD is death of muscle and its replacement by fat, resulting in skeletal muscle weakness and progressive disability. We believe that reducing expression of the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gene and its downstream transcriptional program could provide a disease-modifying therapeutic approach for the treatment of FSHD at its root cause. Published preclinical and human data, in addition to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experiments that we have conducted, suggest that any reduction in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may be beneficial for patients. In preclinical studies, we have demonstrated that there is a direct relationship between muscle cell death (apoptosis) and the level of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and a reduction in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leads to a concomitant decrease in apoptosis. As illustrated in the graphic below, in animal models where expression of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in skeletal muscle is induced, a corresponding loss of function is observed with increasing levels of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In these animal models where low levels of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are expressed, the animals performed similarly to healthy animals in a mobility assessment, suggesting that complete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reduction is not required for a functional benefit. Data from human muscle biopsies likewise indicated that increased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activity is related to worsening muscle pathology.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219075</wp:posOffset>
            </wp:positionV>
            <wp:extent cx="2811780" cy="1714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1178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all patients with FSHD, the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gene is unsilenced, or de-repressed, as a result of one of two different types of genetic alterations, leading to FSHD1 or FSHD2. Approximately 95% of patients have FSHD1 and approximately 5% of patients have FSHD2. FSHD1 is caused by the contraction of an array of DNA, known as a D4Z4 repeat, from greater than ten repeat units to nine or fewer units. This contraction causes de-repression of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Patients with FSHD2 do not have meaningful D4Z4 repeat contraction, but have mutations in a regulatory gene, known as the </w:t>
      </w:r>
      <w:r>
        <w:rPr>
          <w:rFonts w:ascii="Times New Roman" w:cs="Times New Roman" w:eastAsia="Times New Roman" w:hAnsi="Times New Roman"/>
          <w:sz w:val="18"/>
          <w:szCs w:val="18"/>
          <w:i w:val="1"/>
          <w:iCs w:val="1"/>
          <w:color w:val="auto"/>
        </w:rPr>
        <w:t>SMCHD1</w:t>
      </w:r>
      <w:r>
        <w:rPr>
          <w:rFonts w:ascii="Times New Roman" w:cs="Times New Roman" w:eastAsia="Times New Roman" w:hAnsi="Times New Roman"/>
          <w:sz w:val="18"/>
          <w:szCs w:val="18"/>
          <w:color w:val="auto"/>
        </w:rPr>
        <w:t xml:space="preserve"> gene, that normally contributes to the repression of the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gene via DNA methylation.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FulcrumSeek Identified the Drug Target for FSHD</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utilized patient-derived FSHD1 muscle cells, known as myotubes, and screened them with our small molecule probe library to identify drug targets that reduced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We identified several potential drug targets, however the modulation of the majority of the targets adversely affected the health or differentiation of muscle cells. One drug target that we identified from our screening efforts for which we did not observe adverse cell health issues was p38α/ß, which had been studied extensively in other diseases, but had not been reported to be linked to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or FSHD until we conducted our screening efforts. We evaluated multiple small molecule p38α/ß inhibitors and observed a consistent reduction of both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and DUX4-driven gene transcripts with each p38α/ß inhibitor. We conducted further validation experiments to confirm that inhibition of p38α using genetic approaches such as siRNA and CRISPR single-guide RNAs, also led to a reduction in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Additionally, researchers from Saint Louis University independently published the results of a study which concluded that inhibitors of p38α/ß, including losmapimod, suppressed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in cellular and animal FSHD models.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Losmapimod Overview</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After identifying p38α/ß as a potential drug target, we evaluated multiple small molecule inhibitors of p38α/ß. Each of these inhibitors had previously been evaluated in clinical trials for the treatment of various diseases but never in muscle disorders. As a result of our evaluation and relative to other p38α/ß inhibitors, we identified losmapimod as the preferred development candidate based on substantial and attractive preclinical and clinical data regarding safety, PK and target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3" w:name="page14"/>
    <w:bookmarkEnd w:id="13"/>
    <w:p>
      <w:pPr>
        <w:spacing w:after="0" w:line="256" w:lineRule="auto"/>
        <w:rPr>
          <w:sz w:val="20"/>
          <w:szCs w:val="20"/>
          <w:color w:val="auto"/>
        </w:rPr>
      </w:pPr>
      <w:r>
        <w:rPr>
          <w:rFonts w:ascii="Times New Roman" w:cs="Times New Roman" w:eastAsia="Times New Roman" w:hAnsi="Times New Roman"/>
          <w:sz w:val="18"/>
          <w:szCs w:val="18"/>
          <w:color w:val="auto"/>
        </w:rPr>
        <w:t xml:space="preserve">inhibition, and its advanced stage of development. Losmapimod was originally evaluated by GSK in nearly 3,500 subjects in clinical trials across multiple indications and in multiple countries. GSK did not evaluate losmapimod in FSHD or in any other muscle disorder. Although GSK did not pursue regulatory approval in the indications evaluated, losmapimod demonstrated an attractive PK, PD, safety and tolerability profile, including in chronic dosing. Additionally, we observed in preclinical studies using losmapimod that inhibition of the p38α/ß pathway reduced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expression and downstream gene expression. After identifying losmapimod, we in-licensed the molecule from GSK because we believed that its safety and pharmacology history would significantly expedite our development plan and enhance our future regulatory submissions.</w:t>
      </w:r>
    </w:p>
    <w:p>
      <w:pPr>
        <w:spacing w:after="0" w:line="7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In June 2021, we reported full data from the randomized, double-blind placebo-controlled multicenter international Phase 2b clinical trial, or ReDUX4. Although the primary endpoint was not met, we demonstrated slowing of disease progression and improved function in FSHD patients treated with losmapimod compared to placebo. In October 2022, we presented data through 96 weeks from the open label extension portion of ReDUX4, which showed that patients in the initial treatment-arm who continued to receive losmapimod experienced maintenance of effect through 96 weeks as measured by RWS mean change from baseline. Additionally, patients who crossed over from placebo to losmapimod after the initial 48 week trial period showed improvement and slowing of disease progression as measured by RWS mean change from baseline.</w:t>
      </w:r>
    </w:p>
    <w:p>
      <w:pPr>
        <w:spacing w:after="0" w:line="7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the second quarter of 2022, we initiated REACH, a randomized, double-blind, placebo-controlled, 48-week Phase 3 trial to evaluate the efficacy of losmapimod for the treatment of FSHD and plan to complete enrollment in the second half of 2023.</w:t>
      </w:r>
    </w:p>
    <w:p>
      <w:pPr>
        <w:spacing w:after="0" w:line="54"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In January 2020, the FDA granted orphan drug designation to losmapimod for the treatment of FSHD. In March 2020, the EMA granted orphan drug designation to losmapimod for the treatment of FSHD. In May 2021, the FDA granted fast track designation to losmapimod for the treatment of FSHD.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Phase 2b (ReDUX4)</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June 2021, at the FSHD International Research Congress, we presented full data from our randomized, double-blind, placebo-controlled multicenter international Phase 2b clinical trial, the ReDUX4 trial, in 80 patients with FSHD1 and clinical severity scores of two to four on the Ricci scale. In this trial, we evaluated treatment with 15 mg of losmapimod or placebo tablets twice per day over a 24 or 48-week period. Enrollment was completed in February 2020. Patients were randomized 1:1 between the treatment and placebo arms. The FDA accepted the IND for losmapimod in June 2019, and we also submitted CTAs at various dates during 2019 to conduct the trial at sites in Europe and Canada, all of which were accepted. We presented data from a pre-specified interim analysis in August 2020. We completed the ReDUX4 trial in January 2021 and presented full data from the trial at the FSHD International Research Congress on June 24, 2021.</w:t>
      </w:r>
    </w:p>
    <w:p>
      <w:pPr>
        <w:spacing w:after="0" w:line="79"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 xml:space="preserve">The primary endpoint was the change in </w:t>
      </w:r>
      <w:r>
        <w:rPr>
          <w:rFonts w:ascii="Times New Roman" w:cs="Times New Roman" w:eastAsia="Times New Roman" w:hAnsi="Times New Roman"/>
          <w:sz w:val="17"/>
          <w:szCs w:val="17"/>
          <w:i w:val="1"/>
          <w:iCs w:val="1"/>
          <w:color w:val="auto"/>
        </w:rPr>
        <w:t>DUX4</w:t>
      </w:r>
      <w:r>
        <w:rPr>
          <w:rFonts w:ascii="Times New Roman" w:cs="Times New Roman" w:eastAsia="Times New Roman" w:hAnsi="Times New Roman"/>
          <w:sz w:val="17"/>
          <w:szCs w:val="17"/>
          <w:color w:val="auto"/>
        </w:rPr>
        <w:t>-driven gene expression in affected skeletal muscle at 16 or 36 weeks, which was included as an experimental biomarker. The trial was also designed to capture a wide range of data relating to FSHD progression in addition to safety, target engagement and PK data. The secondary endpoints were evaluation of safety and tolerability in FSHD patients, PK in blood, losmapimod concentration in skeletal muscle biopsies, target engagement in blood and in muscle biopsies, and efficacy based on the whole-body skeletal muscle MRI biomarker. The whole-body MRI scans evaluated changes in MFI , muscle fat fraction and lean muscle volume. The muscles evaluated in the trial were classified as normal appearing (not affected by disease), intermediate (clearly affected by disease but not so severely fat replaced to have lost all function) or end stage (severely fat replaced and have lost most if not all function). The exploratory endpoints included RWS, timed up and go, or TUG test, an optimized timed up and go test for FSHD, or FSHD TUG, muscle strength measured by hand-held dynamometry, other muscle function measures and patient reported outcomes.</w:t>
      </w:r>
    </w:p>
    <w:p>
      <w:pPr>
        <w:spacing w:after="0" w:line="6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original design of ReDUX4 included a muscle biopsy at week 16 during the 24-week treatment period followed by an open label extension. Sixteen of the 80 subjects in trial completed the 24-week treatment period and rolled over to the open label extension portion of the trial. As a result of the ongoing COVID-19 pandemic, we extended the ReDUX4 treatment period from 24 to 48 weeks through a protocol amendment to ensure the safety of the subjects and to allow for the opportunity for a biopsy at week 16 as originally intended or at week 36. Approximately 64 subjects who did not complete the original 24-week treatment period continued in the 48-week treatment period in the randomized portion of the trial. The extension from 24 to 48 weeks also allowed for a longer assessment in a placebo-controlled design of the skeletal muscle MRI secondary endpoint and the various exploratory clinical endpoints, such as RWS, optimized FSHD TUG test, muscle function measures and patient reported outcomes.</w:t>
      </w:r>
    </w:p>
    <w:p>
      <w:pPr>
        <w:spacing w:after="0" w:line="8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August 2020, we announced results from a pre-specified interim analysis of the primary endpoint of the ReDUX4 trial, which is the reduction from baseline of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-driven gene expression in affected skeletal muscle after subjects have been treated with losmapimod or placebo. Secondary and exploratory endpoints were not assessed as part of this analysis. Results from the interim analysis in the first 29 randomized subjects indicate that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-driven gene expression did not show a separation from placebo at 16 weeks. However, in a pre-specified sensitivity analysis, those with the highest pre-treatment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 w:name="page15"/>
    <w:bookmarkEnd w:id="14"/>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-driven gene expression in their muscle biopsy sample showed a large reduction in</w:t>
      </w:r>
      <w:r>
        <w:rPr>
          <w:rFonts w:ascii="Times New Roman" w:cs="Times New Roman" w:eastAsia="Times New Roman" w:hAnsi="Times New Roman"/>
          <w:sz w:val="18"/>
          <w:szCs w:val="18"/>
          <w:i w:val="1"/>
          <w:iCs w:val="1"/>
          <w:color w:val="auto"/>
        </w:rPr>
        <w:t xml:space="preserve"> DUX4</w:t>
      </w:r>
      <w:r>
        <w:rPr>
          <w:rFonts w:ascii="Times New Roman" w:cs="Times New Roman" w:eastAsia="Times New Roman" w:hAnsi="Times New Roman"/>
          <w:sz w:val="18"/>
          <w:szCs w:val="18"/>
          <w:color w:val="auto"/>
        </w:rPr>
        <w:t>-driven gene expression following treatment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losmapimod compared to placebo. The highest expressing muscle biopsies represent the top quartile of biopsies assessed based on baseline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-driven gene expression.</w:t>
      </w:r>
    </w:p>
    <w:p>
      <w:pPr>
        <w:spacing w:after="0" w:line="6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 interim results included an analysis of the first 29 subjects who completed their 16-week biopsy. PK, demographics and the primary endpoint were assessed. The interim analysis was not powered for statistical significance and did not include individual patient level data. Subjects were randomized to receive an oral dose of losmapimod 15mg (n=15) or placebo (n=14) twice per day. While results showed a significant reduction in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-driven gene expression in the muscle biopsies of subjects whose baseline biopsy showed the highest levels of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 gene expression (38-fold decrease with losmapimod, n=3, and 5.4 fold-decrease with placebo, n=5), the population level data analysis of the reduction in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 xml:space="preserve">-driven gene expression from all 29 subjects did not show a separation of losmapimod from placebo (3.7 fold increase with losmapimod, n=15, and 2.8 fold increase with placebo, n=14). Results suggested that muscle biopsies within the higher range of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-driven gene expression at baseline may be needed to observe a reduction.</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June 2021, we reported full results from ReDUX4. The trial did not meet the primary endpoint, change from baseline in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-driven gene expression in affected skeletal muscle at Week 16 or Week 36. Secondary and exploratory endpoints showed clinically relevant and nominally statistically significant benefits in the losmapimod treated group versus placebo on multiple measures of structural and functional FSHD progression and patient reported outcomes at 48 weeks. As the primary endpoint was not met, all comparative analyses are reported with nominal statistical p-values.</w:t>
      </w:r>
    </w:p>
    <w:p>
      <w:pPr>
        <w:spacing w:after="0" w:line="74" w:lineRule="exact"/>
        <w:rPr>
          <w:sz w:val="20"/>
          <w:szCs w:val="20"/>
          <w:color w:val="auto"/>
        </w:rPr>
      </w:pPr>
    </w:p>
    <w:p>
      <w:pPr>
        <w:ind w:left="1020" w:right="8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Losmapimod-treated participants showed decreased progression in the treatment efficacy composite measure of MFI as measured in intermediate muscles, those most likely to change (p=0.01). Normal appearing muscles appeared to be preserved in the losmapimod group versus placebo based on a post hoc analysis. MFI is a measure of diffuse fatty infiltration in lean muscle tissue that is correlated with disease severity in FSHD.</w:t>
      </w:r>
    </w:p>
    <w:p>
      <w:pPr>
        <w:spacing w:after="0" w:line="71" w:lineRule="exact"/>
        <w:rPr>
          <w:rFonts w:ascii="Times New Roman" w:cs="Times New Roman" w:eastAsia="Times New Roman" w:hAnsi="Times New Roman"/>
          <w:sz w:val="18"/>
          <w:szCs w:val="18"/>
          <w:color w:val="auto"/>
        </w:rPr>
      </w:pPr>
    </w:p>
    <w:p>
      <w:pPr>
        <w:ind w:left="1020" w:right="40" w:hanging="503"/>
        <w:spacing w:after="0" w:line="272"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Treatment with losmapimod was shown to slow the rate of decline and improve accessible surface area in RWS measures (p&lt;0.05). RWS is a measure of function that assesses upper extremity range of motion. Prior studies have shown that RWS correlates with changes in the ability of patients to independently perform activities of daily living. Based on published results, RWS is an important measure of independence.</w:t>
      </w:r>
    </w:p>
    <w:p>
      <w:pPr>
        <w:spacing w:after="0" w:line="1" w:lineRule="exact"/>
        <w:rPr>
          <w:rFonts w:ascii="Times New Roman" w:cs="Times New Roman" w:eastAsia="Times New Roman" w:hAnsi="Times New Roman"/>
          <w:sz w:val="17"/>
          <w:szCs w:val="17"/>
          <w:color w:val="auto"/>
        </w:rPr>
      </w:pPr>
    </w:p>
    <w:p>
      <w:pPr>
        <w:ind w:left="1020"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disease tends to progress from the upper body down, and loss of shoulder movement leads to loss of mobility. Participants in the losmapimod group showed improvements of up to 1.5 points from baseline in the accessible surface area when using a 500g weight on their wrist compared to placebo. Participants in the placebo group were able to access 2 to 4 points less total surface area (with and without 500g weights) measured by RWS after 48 weeks. The net difference between the groups at 48 weeks was 3.5 to 5 points, which in some patients is the difference between functional independence and dependence.</w:t>
      </w:r>
    </w:p>
    <w:p>
      <w:pPr>
        <w:spacing w:after="0" w:line="78" w:lineRule="exact"/>
        <w:rPr>
          <w:rFonts w:ascii="Times New Roman" w:cs="Times New Roman" w:eastAsia="Times New Roman" w:hAnsi="Times New Roman"/>
          <w:sz w:val="17"/>
          <w:szCs w:val="17"/>
          <w:color w:val="auto"/>
        </w:rPr>
      </w:pPr>
    </w:p>
    <w:p>
      <w:pPr>
        <w:ind w:left="1020" w:right="80" w:hanging="503"/>
        <w:spacing w:after="0" w:line="25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reported feeling better when treated with losmapimod compared to placebo through the PGIC assessment (p=0.02). PGIC, a measure of self-reported change in how a patient feels and functions, showed that participants were able to recognize improvements after 48 weeks of treatment. More participants in the losmapimod group reported improvement at 48 weeks compared to placebo. Four times more losmapimod participants reported improvement over time as compared to participants treated with placebo. Importantly, fewer losmapimod participants reported worsening as compared to placebo, and no losmapimod participants reported being “much worse” as compared to more than 13% of placebo participants, who reported that their disease had become “much worse.”</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Additional secondary and exploratory endpoints measuring disease progression and function demonstrated differences between losmapimod and placebo at week 48. In a post hoc analysis, dynamometry, which measures muscle strength, demonstrated that participants in the losmapimod group showed non-statistically significant trends of slower progression, as well as meaningful improvements (12-27%) in the strength of bilateral shoulder abductors and ankle dorsiflexors, two muscle groups particularly affected in FSHD, compared to placebo. Functional scales including RWS and TUG showed improvements in limb function consistent with dynamometry results. Two recently designed scales (FSHD TUG, and FSHD Health Index), did not demonstrate changes from baseline in either group or differences between losmapimod and placebo groups, suggesting that these tests are not sensitive to change over the 48-week time period. Motor function measure also showed no changes in either group or differences between the groups over 48 weeks. There was no difference in muscle fat fraction or lean muscle volume between losmapimod and placebo groups at 48 weeks in intermediate muscles.</w:t>
      </w:r>
    </w:p>
    <w:p>
      <w:pPr>
        <w:spacing w:after="0" w:line="84"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Safety and tolerability data were consistent with previously reported results with no drug-related SAEs reported. Losmapimod was generally well-tolerated and the majority of TEAEs were deemed unlikely related or not related to study drug by the investigator. There were three SAEs (post-op wound infection, alcohol poisoning and a suicide attempt) reported in two participants in the losmapimod group, each assessed as unrelated to losmapimod. There were no deaths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5" w:name="page16"/>
    <w:bookmarkEnd w:id="15"/>
    <w:p>
      <w:pPr>
        <w:ind w:right="140"/>
        <w:spacing w:after="0" w:line="282" w:lineRule="auto"/>
        <w:rPr>
          <w:sz w:val="20"/>
          <w:szCs w:val="20"/>
          <w:color w:val="auto"/>
        </w:rPr>
      </w:pPr>
      <w:r>
        <w:rPr>
          <w:rFonts w:ascii="Times New Roman" w:cs="Times New Roman" w:eastAsia="Times New Roman" w:hAnsi="Times New Roman"/>
          <w:sz w:val="18"/>
          <w:szCs w:val="18"/>
          <w:color w:val="auto"/>
        </w:rPr>
        <w:t>discontinuations due to adverse events. Losmapimod has now been evaluated in over 3,600 subjects in clinical trials across multiple indications, including FSHD.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REACH, a Phase 3 Registrational Trial</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initiated REACH, a Phase 3 trial of losmapimod in FSHD, in the second quarter of 2022 and plan to complete enrollment in the second half of 2023. Based on data from the ReDUX4 Phase 2b study, we engaged with U.S. and EU regulatory agencies, including the FDA, and gained alignment on key aspects of the design of a Phase 3 trial intended to support a full registration approval. REACH is a randomized, double-blind, placebo-controlled, multi-national trial to evaluate the efficacy and safety of losmapimod for the treatment of FSHD. The trial is expected to enroll approximately 230 adults with FSHD. Patients will be randomized 1:1 to receive either losmapimod, administered orally as a 15 mg tablet twice a day, or placebo, and evaluated over a 48-week treatment period. The primary endpoint of the study is the absolute change from baseline in RWS. Secondary endpoints include MFI, PGIC, and Neuro QoL UE. The trial will also include patient-centered assessments of healthcare utilization.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ReDUX4 Open Label Extension</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February 2020 we initiated an open label extension of the ReDUX4 trial to enable patients who have completed the 24-week or 48-week treatment period with losmapimod or placebo in ReDUX4 to receive long term treatment with losmapimod. This open label extension includes clinical assessments of safety and efficacy every three months, whole-body musculoskeletal MRI every six months, and a muscle needle biopsy once after six months of treatment over the first 96 weeks. Subsequent to week 96, patients will only be monitored for safety and tolerability. We anticipate that this trial will continue until such time as the drug is approved and available in the commercial setting or the clinical development of losmapimod in FSHD is terminated.</w:t>
      </w:r>
    </w:p>
    <w:p>
      <w:pPr>
        <w:spacing w:after="0" w:line="7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October 2022, we presented data through 96 weeks from the open label extension portion of ReDUX4. Data presented showed that patients in the initial treatment-arm who continued to receive losmapimod experienced maintenance of effect through 96 weeks as measured by RWS mean change from baseline. Additionally, patients who crossed over from placebo to losmapimod after the initial 48-week trial period showed improvement and slowing of disease progression as measured by RWS mean change from baseline. Losmapimod continued to demonstrate an encouraging safety profile and was generally well tolerated. 97% of participants in the initial 48 week study remained in the open label extension at week 96. The figures below illustrate percentage change in dominant and non-dominant reachable surface area, or RSA, with 500 gram weights.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62230</wp:posOffset>
            </wp:positionV>
            <wp:extent cx="5760720" cy="2160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Phase 2 Open Label Study Trial</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parallel with the ReDUX4 Phase 2b clinical trial, we also initiated in August 2019 an open label, single center Phase 2 clinical trial of losmapimod in up to 16 patients with FSHD and clinical severity scores of two to four on the Ricci scale. In the first part of the trial, patients received tablets containing 15 mg of losmapimod twice per day for up to 52 weeks. The treatment period was preceded by eight weeks of pre-treatment assessments to establish a baseline for musculoskeletal MRI biomarkers and clinical outcome assessments. We also performed an outpatient mobility assessment using wearable sensors. After the 52-week treatment period, participants had the option to elect to continue in an extension of the study, which is ongoing. We are conducting the trial at a single center in the Netherlands.</w:t>
      </w:r>
    </w:p>
    <w:p>
      <w:pPr>
        <w:spacing w:after="0" w:line="7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primary objective is to investigate the safety and tolerability of losmapimod for chronic dosing in FSHD patients. The primary endpoints are to assess safety and tolerability over the 52-week period. The secondary endpoints are the change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from baseline in pHSP27 and the ratio of pHSP27 to total HSP27 in blood and muscle for assessment of the inhibition of p38α/ß during the dosing period. This trial is also designed to provide initial data regarding changes in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-driven gene expression, MRI biomarkers, objective clinical outcome assessments and patient-reported outcomes that may occur at various times following initiation of treatment with losmapimod relative to the pre-treatment period. We intend to use this data to further guide our clinical development strategy for losmapimod in FSHD.</w:t>
      </w:r>
    </w:p>
    <w:p>
      <w:pPr>
        <w:spacing w:after="0" w:line="7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the 52-week treatment period, we measured </w:t>
      </w:r>
      <w:r>
        <w:rPr>
          <w:rFonts w:ascii="Times New Roman" w:cs="Times New Roman" w:eastAsia="Times New Roman" w:hAnsi="Times New Roman"/>
          <w:sz w:val="18"/>
          <w:szCs w:val="18"/>
          <w:i w:val="1"/>
          <w:iCs w:val="1"/>
          <w:color w:val="auto"/>
        </w:rPr>
        <w:t>DUX4</w:t>
      </w:r>
      <w:r>
        <w:rPr>
          <w:rFonts w:ascii="Times New Roman" w:cs="Times New Roman" w:eastAsia="Times New Roman" w:hAnsi="Times New Roman"/>
          <w:sz w:val="18"/>
          <w:szCs w:val="18"/>
          <w:color w:val="auto"/>
        </w:rPr>
        <w:t>-driven gene expression before and during treatment using muscle needle biopsies in affected muscles. All patients had a pre-treatment biopsy and we will obtain a second muscle needle biopsy from each patient after four or eight weeks of treatment. The original trial design included an additional biopsy during chronic treatment at week 48, but we have removed this assessment from the trial protocol because the open label extension of ReDUX4 includes a biopsy during chronic treatment.</w:t>
      </w:r>
    </w:p>
    <w:p>
      <w:pPr>
        <w:spacing w:after="0" w:line="7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measure potential losmapimod treatment effects on shoulder and upper arm function and mobility/ambulation, as well as on muscle strength and function and quality of life and activities of daily living, similar to the assessments in the Phase 2b clinical trial. The clinical outcome assessments are RWS, FSHD-TUG, muscle strength, motor function ability and generic and FSHD-specific patient reports of quality of life and activities of daily living. Other exploratory assessments include the six minute walk test, spirometry, and muscle ultrasound. There is also an assessment of day-to-day mobility using wearable sensors.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ReSOLVE Natural History Study</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Clinical Trial Readiness to Solve Barriers to Drug Development in FSHD, or ReSOLVE study, is an ongoing natural history study funded by the NIH to help identify the patient population, efficacy biomarker and clinical outcome assessments for future FSHD drug trials. The study is being coordinated by the University of Rochester and University of Kansas Medical Center and enrolled the first subject in April 2018. The study will follow up to 160 subjects for 24 months across a network of eight U.S. clinical centers and will evaluate multiple biomarkers and clinical outcome assessments that may be suitable for clinical trials and will evaluate patient selection criteria based on genetic, demographic or clinical characteristics. Three sites in the European Union have joined the ReSOLVE protocol and will follow 60 subjects for 24 months. We believe that the results of this natural history study will inform the design and implementation of clinical trials and will inform discussions with regulatory agencies. We also believe that this study may provide valuable insights into the timeline for disease progression and functional changes in FSHD in the absence of treatment.</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ReSOLVE study, we have funded the addition of a clinical outcome assessment, which we refer to as RWS. RWS is a measure of function that assesses upper extremity range of motion. Specifically, it evaluates total shoulder and proximal arm mobility by utilizing 3D motion sensor technology. Preserving function, as assessed by RWS, is critical for maintaining abilities for self-care and other activities of daily living that directly influence quality of life. Based on published results, RWS is an important measure of independence. The RWS assessments are analyzed by a central reader. We have provided standardized hardware, software, and testing conditions to evaluate RWS at eight sites that are part of the ReSOLVE study in the United States and at three European sites. Furthermore, the RWS assessment has been registered as a medical device in the United States, Canada and Europe.</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 recent third-party study assessed changes in RWS for 18 subjects with FSHD for up to five years. As illustrated in the figure below, the study concluded that the RWS measure is able to detect slow declines in upper extremity function in subjects with FSHD as early as 1 year. The study also found that the most notable declines in RWS were in above-the-shoulder level quadrants with no significant changes in lower quadrants and that RWS declined more significantly if the subjects wore 500-gram weights on their wrists.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2505710</wp:posOffset>
            </wp:positionH>
            <wp:positionV relativeFrom="page">
              <wp:posOffset>380365</wp:posOffset>
            </wp:positionV>
            <wp:extent cx="2511425" cy="2160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51142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figure above illustrates RWS in four quadrants. The optimized RWS includes an additional domain for the lower back, as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45720</wp:posOffset>
            </wp:positionV>
            <wp:extent cx="2691765" cy="1842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9176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Prior Clinical Development of Losmapimod by GSK</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GSK conducted multiple Phase 1 and Phase 2 clinical trials and one Phase 3 clinical trial of losmapimod, including in patients with chronic obstructive pulmonary disease, or COPD, acute coronary syndrome and other cardiovascular diseases, neuropathic pain, major depression disorder, focal segmental glomerulosclerosis, and rheumatoid arthritis. Nearly 3,500 subjects in 24 trials were given losmapimod with single doses as high as 60 mg and repeated oral doses as high as 15 mg twice per day for up to 52 weeks. We are using a dose of 15 mg twice per day in our clinical trials of losmapimod in FSHD. GSK did not conduct a clinical trial of losmapimod in patients with FSHD or any other muscle disorder.</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clinical trials of losmapimod conducted by GSK, no significant differences were observed in the frequency of adverse events, or AEs, in subjects given losmapimod and subjects given placebo. GSK generally observed a similar frequency of serious adverse events, or SAEs, and deaths between patients given losmapimod and patients given placebo. These trials included extensive evaluation of the cardiovascular risk profile of losmapimod, including completion of an evaluation of the potential to prolong corrected QT. GSK reported that there was no clinically relevant difference with regard to the occurrence of electrocardiogram abnormalities post-baseline or vital signs with losmapimod as compared to placebo. GSK did not identify a safety signal attributed to losmapimod in any of these trials. There were no SAEs reported in 14 of these 24 clinical trials of losmapimod.</w:t>
      </w:r>
    </w:p>
    <w:p>
      <w:pPr>
        <w:spacing w:after="0" w:line="79"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The largest placebo-controlled clinical trial of losmapimod conducted by GSK was a Phase 3 clinical trial for the treatment of acute coronary syndrome following a heart attack, in which over 1,700 patients were given 7.5 mg of losmapimod or placebo twice per day for 12 weeks and were followed for an additional 12 weeks. In this trial, GSK observed a similar proportion of AEs and SAEs in the placebo group as compared to the losmapimod group.</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were also ten SAEs of fatality in the placebo group and 13 SAEs of fatality in the losmapimod group. In the placebo group, the SAEs of fatality were infections and infestations (two), general disorders and administrative site conditions (two), respiratory, thoracic and mediastinal disorders (three), cardiac disorder (one), gastrointestinal disorder (one) and neoplasm (one). In the losmapimod group, the SAEs of fatatity were infections and infestations (four), general disorders and administrative site conditions (three), respiratory, thoracic and mediastinal disorders (two), cardiac disorder (one), injury poisoning and procedural complications (one), gastrointestinal disorder (one) and neoplasm (one).</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Among the total of 14 Phase 1 and Phase2 placebo-controlled clinical trials of losmapimod (N=1327 on losmapimod; N=735 on placebo), the distribution of SAEs was similar among losmapimod-treated and placebo-treated subjects. The most common SAEs were cardiac disorders (2% placebo; 3% losmapimod) and respiratory, thoracic and mediastinal disorders (1% placebo; 2% losmapimod). SAEs were reported in 11 of these 14 trials; 3 trials reported no SAEs.</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24 trials conducted by GSK, another sponsor conducted a placebo-controlled Phase 2 clinical trial of losmapimod in which 73 subjects with COPD with cardiovascular manifestations were given 7.5 mg of losmapimod or placebo for 16 weeks. There were 36 subjects in the losmapimod group and 37 in the placebo group. In this trial, there were a total of six (17%) SAEs in the losmapimod group, consisting of exacerbations of COPD and pneumonia, and there was one (3%) SAE in the placebo group.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FTX-6058</w:t>
      </w:r>
    </w:p>
    <w:p>
      <w:pPr>
        <w:spacing w:after="0" w:line="12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Hemoglobinopathies are a category of genetic disorders affecting hemoglobin, a critical component of RBCs. The function of hemoglobin is to deliver oxygen to tissues: hemoglobin picks up oxygen as RBCs circulate through the lungs and then drops off oxygen to the tissues so that they may function normally. Hemoglobinopathies result in either abnormal (mutant) hemoglobin or low levels of hemoglobin, and both of these conditions are associated with significant morbidity and mortality risks. We are developing FTX-6058, which is designed elevate the level of HbF for the treatment of people with certain hemoglobinopathies, including SCD. We also believe that people with some types of ß-thalassemia may benefit from treatment with FTX-6058.</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Sickle Cell Disease</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Sickle cell disease is a genetic disorder of RBCs. The root cause of SCD is a mutant hemoglobin that polymerizes in low oxygen conditions. This polymerization creates the abnormal, elongated, or sickle, shape of the RBC and results in, ultimately, hemolysis and vascular injury that causes major morbidities and significantly limits lifespan in people with SCD. People with SCD typically suffer from serious clinical consequences, which may include vaso-occlusive crises, anemia, pain, infections, stroke, heart disease, pulmonary hypertension, kidney failure, liver disease and reduced life expectancy. According to a study published by the American Medical Association, approximately 32.5% of adults with SCD were hospitalized three or more times per year due to pain crises. SCD is reported to shorten life expectancy by approximately 20 to 30 years. People with SCD are primarily treated by hematologists.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9" w:right="399" w:bottom="1440" w:gutter="0" w:footer="0" w:header="0"/>
        </w:sectPr>
      </w:pPr>
    </w:p>
    <w:bookmarkStart w:id="19" w:name="page20"/>
    <w:bookmarkEnd w:id="19"/>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the United States, where newborn screening for SCD is mandatory, the estimated prevalence is approximately 100,000 individuals. In Europe, the estimated prevalence is approximately 50,000 individuals. According to the World Health Organization, the global incidence is estimated to be approximately 300,000 births annually. SCD is most prevalent in Africa and the Middle East.</w:t>
      </w:r>
    </w:p>
    <w:p>
      <w:pPr>
        <w:spacing w:after="0" w:line="68" w:lineRule="exact"/>
        <w:rPr>
          <w:sz w:val="20"/>
          <w:szCs w:val="20"/>
          <w:color w:val="auto"/>
        </w:rPr>
      </w:pPr>
    </w:p>
    <w:p>
      <w:pPr>
        <w:ind w:right="280" w:firstLine="509"/>
        <w:spacing w:after="0" w:line="254" w:lineRule="auto"/>
        <w:rPr>
          <w:sz w:val="20"/>
          <w:szCs w:val="20"/>
          <w:color w:val="auto"/>
        </w:rPr>
      </w:pPr>
      <w:r>
        <w:rPr>
          <w:rFonts w:ascii="Times New Roman" w:cs="Times New Roman" w:eastAsia="Times New Roman" w:hAnsi="Times New Roman"/>
          <w:sz w:val="18"/>
          <w:szCs w:val="18"/>
          <w:color w:val="auto"/>
        </w:rPr>
        <w:t>Approved drug treatments for SCD focus primarily on the management and reduction of painful vaso-occlusive crises, and improvement of hemolytic anemia. The four drug treatments approved in the United States are hydroxyurea, voxelotor, crizanlizumab, and L-glutamine. Hydroxyurea is approved for the treatment of SCD to reduce the frequency of painful crises and to reduce the need for blood transfusions. Hydroxyurea has a black box warning for myelosuppression and malignancy. In general, it is limited by its adverse side effects, inconsistent responses and concerns regarding the cytotoxic effect of the drug. Voxelotor, marketed by Pfizer, Inc., is approved under accelerated approval as a hemoglobin polymerization inhibitor to increase hemoglobin. This approach maintains or increases the total amount of HbS, the mutant hemoglobin in SCD, by holding on to oxygen longer. Crizanlizumab, a fully-human monoclonal antibody p-selectin inhibitor marketed by Novartis AG, or Novartis, is approved for the reduction in the frequency of vaso-occlusive crises. L-glutamine is approved to reduce acute complications of the disorder.</w:t>
      </w:r>
    </w:p>
    <w:p>
      <w:pPr>
        <w:spacing w:after="0" w:line="8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only potentially curative treatment currently approved for severe SCD is hematopoeitic stem cell transplant (HSCT). However, HSCT is more commonly offered to pediatric individuals with an available HLA-matched sibling donor. The 5-year survival rates in this young SCD population is quite high but for older individuals (&gt;16 years), the survival rates can be considerably lower. There are also significant risks associated with HSCT including infertility and graft-versus-host disease.</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While multiple experimental approaches to treat SCD are being explored in clinical trials, the majority are focused on symptomatic relief or as last-line gene therapy approaches. Symptomatic approaches under investigation aim to affect issues associated with cell adhesion, sickling, thrombosis and iron homeostasis. We anticipate that a novel oral HbF inducer that affects the root cause of SCD by inhibiting the pathological polymerization caused by the mutant hemoglobin may become the standard of care for SCD. Novartis and Pfizer, Inc. have received approval for therapies aiming to provide relief for specific elements of SCD (low hemoglobin and VOCs respectively). Several gene therapy approaches to treat SCD are focused on elevating HbF, however no gene therapy approaches have been approved for SCD and the efficacy, safety and durability of gene therapy approaches have yet to be established. Gene therapies need to be administered in an in-patient procedure through HSCT. As part of the transplant process, the patient receives myeloablative chemotherapy which kills cells in the bone marrow in order to support the gene therapy. Despite ongoing efforts to develop gene therapies for SCD, we believe there is still a high unmet need that could be better addressed by a small molecule, oral therapy to treat the disease by increasing HbF.</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SCD Biology</w:t>
      </w:r>
    </w:p>
    <w:p>
      <w:pPr>
        <w:spacing w:after="0" w:line="11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SCD is caused by a mutation in the </w:t>
      </w:r>
      <w:r>
        <w:rPr>
          <w:rFonts w:ascii="Times New Roman" w:cs="Times New Roman" w:eastAsia="Times New Roman" w:hAnsi="Times New Roman"/>
          <w:sz w:val="18"/>
          <w:szCs w:val="18"/>
          <w:i w:val="1"/>
          <w:iCs w:val="1"/>
          <w:color w:val="auto"/>
        </w:rPr>
        <w:t>HBB</w:t>
      </w:r>
      <w:r>
        <w:rPr>
          <w:rFonts w:ascii="Times New Roman" w:cs="Times New Roman" w:eastAsia="Times New Roman" w:hAnsi="Times New Roman"/>
          <w:sz w:val="18"/>
          <w:szCs w:val="18"/>
          <w:color w:val="auto"/>
        </w:rPr>
        <w:t xml:space="preserve"> gene. This gene encodes a protein that is a key component of hemoglobin, a protein complex whose function is to transport oxygen in the body. Hemoglobin in adults is a complex of four proteins, two hemoglobin ß-subunits and two hemoglobin α-subunits. In people with SCD, hemoglobin is composed of two mutant ß-subunits and two α-subunits and the result is the formation of HbS. The result of the mutation is less efficient oxygen transport and the formation of RBCs that have a sickle shape. These sickle shaped cells are much less flexible than healthy cells and can block blood vessels (vaso-occlusion) or rupture cells (lysis), leading to pain, anemia, irreversible organ damage or even death.</w:t>
      </w:r>
    </w:p>
    <w:p>
      <w:pPr>
        <w:spacing w:after="0" w:line="7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During fetal development, the major form of hemoglobin is HbF. Similar to hemoglobin in adults, HbF is also a complex of four proteins, two α-subunits and two γ-subunits. Shortly after birth, the genes encoding the γ-subunits, the </w:t>
      </w:r>
      <w:r>
        <w:rPr>
          <w:rFonts w:ascii="Times New Roman" w:cs="Times New Roman" w:eastAsia="Times New Roman" w:hAnsi="Times New Roman"/>
          <w:sz w:val="18"/>
          <w:szCs w:val="18"/>
          <w:i w:val="1"/>
          <w:iCs w:val="1"/>
          <w:color w:val="auto"/>
        </w:rPr>
        <w:t>HBG1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HBG2</w:t>
      </w:r>
      <w:r>
        <w:rPr>
          <w:rFonts w:ascii="Times New Roman" w:cs="Times New Roman" w:eastAsia="Times New Roman" w:hAnsi="Times New Roman"/>
          <w:sz w:val="18"/>
          <w:szCs w:val="18"/>
          <w:color w:val="auto"/>
        </w:rPr>
        <w:t xml:space="preserve"> genes, are silenced and the </w:t>
      </w:r>
      <w:r>
        <w:rPr>
          <w:rFonts w:ascii="Times New Roman" w:cs="Times New Roman" w:eastAsia="Times New Roman" w:hAnsi="Times New Roman"/>
          <w:sz w:val="18"/>
          <w:szCs w:val="18"/>
          <w:i w:val="1"/>
          <w:iCs w:val="1"/>
          <w:color w:val="auto"/>
        </w:rPr>
        <w:t>HBB</w:t>
      </w:r>
      <w:r>
        <w:rPr>
          <w:rFonts w:ascii="Times New Roman" w:cs="Times New Roman" w:eastAsia="Times New Roman" w:hAnsi="Times New Roman"/>
          <w:sz w:val="18"/>
          <w:szCs w:val="18"/>
          <w:color w:val="auto"/>
        </w:rPr>
        <w:t xml:space="preserve"> gene is activated. As described above, SCD is caused by a mutation in the </w:t>
      </w:r>
      <w:r>
        <w:rPr>
          <w:rFonts w:ascii="Times New Roman" w:cs="Times New Roman" w:eastAsia="Times New Roman" w:hAnsi="Times New Roman"/>
          <w:sz w:val="18"/>
          <w:szCs w:val="18"/>
          <w:i w:val="1"/>
          <w:iCs w:val="1"/>
          <w:color w:val="auto"/>
        </w:rPr>
        <w:t>HBB</w:t>
      </w:r>
      <w:r>
        <w:rPr>
          <w:rFonts w:ascii="Times New Roman" w:cs="Times New Roman" w:eastAsia="Times New Roman" w:hAnsi="Times New Roman"/>
          <w:sz w:val="18"/>
          <w:szCs w:val="18"/>
          <w:color w:val="auto"/>
        </w:rPr>
        <w:t xml:space="preserve"> gene that gives rise to mutated ß-subunits.</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small subset of individuals with the sickle cell mutation continue to produce high levels of HbF due to inheritance of additional genetic mutations, which is called Hereditary Persistence of HbF, or HPFH. Individuals with elevated HbF exhibit minimal clinical manifestations of SCD. HbF levels as low as 3% over baseline in individuals without HPFH, due to either therapeutic intervention or the inheritance of other genetic traits, can result in reduced clinical manifestations of the disease.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868045</wp:posOffset>
            </wp:positionH>
            <wp:positionV relativeFrom="page">
              <wp:posOffset>226060</wp:posOffset>
            </wp:positionV>
            <wp:extent cx="5760720" cy="2425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Approach to Address the Root Cause of SCD</w:t>
      </w:r>
    </w:p>
    <w:p>
      <w:pPr>
        <w:spacing w:after="0" w:line="11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strategy to address the root cause of SCD was to identify a drug mechanism that induces expression of HbF. We believe that FTX-6058 may address the root cause of SCD through this mechanism of action.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Overview of </w:t>
      </w:r>
      <w:r>
        <w:rPr>
          <w:rFonts w:ascii="Times New Roman" w:cs="Times New Roman" w:eastAsia="Times New Roman" w:hAnsi="Times New Roman"/>
          <w:sz w:val="18"/>
          <w:szCs w:val="18"/>
          <w:color w:val="auto"/>
        </w:rPr>
        <w:t>ß</w:t>
      </w:r>
      <w:r>
        <w:rPr>
          <w:rFonts w:ascii="Times New Roman" w:cs="Times New Roman" w:eastAsia="Times New Roman" w:hAnsi="Times New Roman"/>
          <w:sz w:val="18"/>
          <w:szCs w:val="18"/>
          <w:i w:val="1"/>
          <w:iCs w:val="1"/>
          <w:color w:val="auto"/>
        </w:rPr>
        <w:t>-Thalassemia</w:t>
      </w:r>
    </w:p>
    <w:p>
      <w:pPr>
        <w:spacing w:after="0" w:line="119"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 xml:space="preserve">ß-thalassemia is a rare blood disorder associated with the absence or reduced production of ß-globin, which is one of the two proteins that comprise adult hemoglobin. This results in an abnormally low level of hemoglobin as well as an excess of α-globin chains that cause destruction of RBCs. The severity of the phenotype is related to the degree of imbalance between α- and non-α-globin chain synthesis. The absence of ß-globin due to </w:t>
      </w:r>
      <w:r>
        <w:rPr>
          <w:rFonts w:ascii="Times New Roman" w:cs="Times New Roman" w:eastAsia="Times New Roman" w:hAnsi="Times New Roman"/>
          <w:sz w:val="18"/>
          <w:szCs w:val="18"/>
          <w:i w:val="1"/>
          <w:iCs w:val="1"/>
          <w:color w:val="auto"/>
        </w:rPr>
        <w:t>HBB</w:t>
      </w:r>
      <w:r>
        <w:rPr>
          <w:rFonts w:ascii="Times New Roman" w:cs="Times New Roman" w:eastAsia="Times New Roman" w:hAnsi="Times New Roman"/>
          <w:sz w:val="18"/>
          <w:szCs w:val="18"/>
          <w:color w:val="auto"/>
        </w:rPr>
        <w:t xml:space="preserve"> gene deletions is referred to as ß</w:t>
      </w:r>
      <w:r>
        <w:rPr>
          <w:rFonts w:ascii="Times New Roman" w:cs="Times New Roman" w:eastAsia="Times New Roman" w:hAnsi="Times New Roman"/>
          <w:sz w:val="24"/>
          <w:szCs w:val="24"/>
          <w:color w:val="auto"/>
          <w:vertAlign w:val="superscript"/>
        </w:rPr>
        <w:t>0</w:t>
      </w:r>
      <w:r>
        <w:rPr>
          <w:rFonts w:ascii="Times New Roman" w:cs="Times New Roman" w:eastAsia="Times New Roman" w:hAnsi="Times New Roman"/>
          <w:sz w:val="18"/>
          <w:szCs w:val="18"/>
          <w:color w:val="auto"/>
        </w:rPr>
        <w:t xml:space="preserve"> thalassemia. Other </w:t>
      </w:r>
      <w:r>
        <w:rPr>
          <w:rFonts w:ascii="Times New Roman" w:cs="Times New Roman" w:eastAsia="Times New Roman" w:hAnsi="Times New Roman"/>
          <w:sz w:val="18"/>
          <w:szCs w:val="18"/>
          <w:i w:val="1"/>
          <w:iCs w:val="1"/>
          <w:color w:val="auto"/>
        </w:rPr>
        <w:t>HBB</w:t>
      </w:r>
      <w:r>
        <w:rPr>
          <w:rFonts w:ascii="Times New Roman" w:cs="Times New Roman" w:eastAsia="Times New Roman" w:hAnsi="Times New Roman"/>
          <w:sz w:val="18"/>
          <w:szCs w:val="18"/>
          <w:color w:val="auto"/>
        </w:rPr>
        <w:t xml:space="preserve"> gene alterations allow some ß-globin to be produced but in reduced amounts. A reduced amount of ß-globin is called ß</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thalassemia. Many patients with ß-thalassemia require chronic blood transfusions due to severe anemia that results from low hemoglobin levels, which are referred to as transfusion-dependent patients. It is estimated that 40,000 babies are born worldwide with ß-thalassemia per year of whom 25,000 require blood transfusions. Patients with ß-thalassemia are primarily treated by hematologists.</w:t>
      </w:r>
    </w:p>
    <w:p>
      <w:pPr>
        <w:spacing w:after="0" w:line="93"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8"/>
          <w:szCs w:val="18"/>
          <w:color w:val="auto"/>
        </w:rPr>
        <w:t>ß-thalassemia has been clinically characterized into three forms, depending on disease severity: major, intermedia and minor. The most severe form, ß-thalassemia major (also known as Cooley’s anemia), is generally diagnosed shortly after birth and patients have life-threatening anemia. Pediatric patients do not grow and gain weight at the typical rates, and often have liver, heart and bone problems. Many ß-thalassemia major patients require frequent blood transfusions to prevent severe anemia, a treatment that itself can cause long-term problems due to a build-up of iron in the body. ß-thalassemia intermedia is a less severe form of the disease that results in mild to moderate anemia. These patients sometimes require blood transfusions depending on the severity of the symptoms. Patients with ß-thalassemia minor suffer from very mild anemia and generally do not require treatment. Having either ß</w:t>
      </w:r>
      <w:r>
        <w:rPr>
          <w:rFonts w:ascii="Times New Roman" w:cs="Times New Roman" w:eastAsia="Times New Roman" w:hAnsi="Times New Roman"/>
          <w:sz w:val="24"/>
          <w:szCs w:val="24"/>
          <w:color w:val="auto"/>
          <w:vertAlign w:val="superscript"/>
        </w:rPr>
        <w:t>0</w:t>
      </w:r>
      <w:r>
        <w:rPr>
          <w:rFonts w:ascii="Times New Roman" w:cs="Times New Roman" w:eastAsia="Times New Roman" w:hAnsi="Times New Roman"/>
          <w:sz w:val="18"/>
          <w:szCs w:val="18"/>
          <w:color w:val="auto"/>
        </w:rPr>
        <w:t xml:space="preserve"> or ß</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thalassemia does not necessarily predict clinical disease severity as people with both types have been diagnosed with thalassemia major and thalassemia intermedia.</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current standard of care for many patients with transfusion dependent ß-thalassemia is frequent red blood transfusions to manage anemia. These frequent transfusions may lead to complications of iron overload, which has to be treated with iron chelation therapies. While allogeneic HSCT is a potentially curative treatment for ß-thalassemia, usage of this intervention is limited due to risks of complications, including mortality, and challenges of identifying a suitable HLA-matched sibling donor. In June 2019, the European Commission granted conditional marketing authorization for ZYNTEGLO, a gene therapy developed by bluebird bio, Inc., or bluebird, for the treatment of adult and adolescent patients with transfusion-dependent ß-thalassemia and with certain genotypes, in Europe. However, in August 2021, bluebird announced plans to end commercial operations in Europe and has decided to focus on the U.S. market. ZYNTEGLO was approved by the FDA in August 2022 for the treatment of adult and pediatric patients with beta-thalassemia who require regular red blood cell transfusions. Reblozyl (luspatercept), an erythroid maturation agent, is approved for the treatment of adult patients with anemia associated with ß-thalassemia and who require frequent transfusions. Despite these recently approved gene therapies and small molecule, we believe there is still a high unmet need that could be addressed by a small molecule, oral therapy to treatment the disease by increasing HbF.</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Biology of ß-Thalassemia</w:t>
      </w:r>
    </w:p>
    <w:p>
      <w:pPr>
        <w:spacing w:after="0" w:line="117" w:lineRule="exact"/>
        <w:rPr>
          <w:sz w:val="20"/>
          <w:szCs w:val="20"/>
          <w:color w:val="auto"/>
        </w:rPr>
      </w:pPr>
    </w:p>
    <w:p>
      <w:pPr>
        <w:ind w:right="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ß-thalassemia is caused by genetic mutations in the </w:t>
      </w:r>
      <w:r>
        <w:rPr>
          <w:rFonts w:ascii="Times New Roman" w:cs="Times New Roman" w:eastAsia="Times New Roman" w:hAnsi="Times New Roman"/>
          <w:sz w:val="18"/>
          <w:szCs w:val="18"/>
          <w:i w:val="1"/>
          <w:iCs w:val="1"/>
          <w:color w:val="auto"/>
        </w:rPr>
        <w:t>HBB</w:t>
      </w:r>
      <w:r>
        <w:rPr>
          <w:rFonts w:ascii="Times New Roman" w:cs="Times New Roman" w:eastAsia="Times New Roman" w:hAnsi="Times New Roman"/>
          <w:sz w:val="18"/>
          <w:szCs w:val="18"/>
          <w:color w:val="auto"/>
        </w:rPr>
        <w:t xml:space="preserve"> gene. The mutations interfere with the production of ß-globin. Some mutations result in no ß-globin being produced, while other mutations result in a decreased amount of ß-globin being produced.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Approach to Address the Root Cause of ß-Thalassemia</w:t>
      </w:r>
    </w:p>
    <w:p>
      <w:pPr>
        <w:spacing w:after="0" w:line="119"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8"/>
          <w:szCs w:val="18"/>
          <w:color w:val="auto"/>
        </w:rPr>
        <w:t>We believe that some types of ß-thalassemia may be treated by a therapy that upregulates HbF. Babies born with ß-thalassemia major generally do not have any symptoms shortly after birth because they have HbF in their blood. As the HbF levels decrease after birth and the ß-globin fails to increase, anemia appears and the babies with ß-thalassemia begin to exhibit symptoms of the disease. Patients with ß-thalassemia intermedia that have higher levels of HbF have fewer symptoms than patients with low levels of HbF. We believe that FTX-6058 may be suitable for clinical development for the treatment of patients who are not ß</w:t>
      </w:r>
      <w:r>
        <w:rPr>
          <w:rFonts w:ascii="Times New Roman" w:cs="Times New Roman" w:eastAsia="Times New Roman" w:hAnsi="Times New Roman"/>
          <w:sz w:val="24"/>
          <w:szCs w:val="24"/>
          <w:color w:val="auto"/>
          <w:vertAlign w:val="superscript"/>
        </w:rPr>
        <w:t>0</w:t>
      </w:r>
      <w:r>
        <w:rPr>
          <w:rFonts w:ascii="Times New Roman" w:cs="Times New Roman" w:eastAsia="Times New Roman" w:hAnsi="Times New Roman"/>
          <w:sz w:val="18"/>
          <w:szCs w:val="18"/>
          <w:color w:val="auto"/>
        </w:rPr>
        <w:t xml:space="preserve"> but who are transfusion dependent.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FulcrumSeek Identified the Drug Target for Certain Hemoglobinopathies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Applying FulcrumSeek, we conducted target identification and validation activities using human umbilical cord blood-derived erythroid progenitor 2, or HUDEP2, cells as a model to study HbF reactivation. HUDEP2 cells are immature RBCs. By screening our small molecule probe library and a CRISPR library, we identified several potential drug targets that activated the </w:t>
      </w:r>
      <w:r>
        <w:rPr>
          <w:rFonts w:ascii="Times New Roman" w:cs="Times New Roman" w:eastAsia="Times New Roman" w:hAnsi="Times New Roman"/>
          <w:sz w:val="18"/>
          <w:szCs w:val="18"/>
          <w:i w:val="1"/>
          <w:iCs w:val="1"/>
          <w:color w:val="auto"/>
        </w:rPr>
        <w:t>HBG1/2</w:t>
      </w:r>
      <w:r>
        <w:rPr>
          <w:rFonts w:ascii="Times New Roman" w:cs="Times New Roman" w:eastAsia="Times New Roman" w:hAnsi="Times New Roman"/>
          <w:sz w:val="18"/>
          <w:szCs w:val="18"/>
          <w:color w:val="auto"/>
        </w:rPr>
        <w:t xml:space="preserve"> genes and resulted in HbF elevation. Each screening approach identified the same protein complex which we believe plays an important role in the expression of genes responsible for the production of HbF. We conducted additional validation experiments in which we observed that inhibition of several components of this complex resulted in the desired elevation of HbF. We also observed that inhibition of these components did not adversely affect important cell health markers.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selected a member of this protein complex for drug discovery activities following an assessment of its tractability as a drug target, which we refer to as the HbF drug target. The normal physiological role of the HbF drug target is to facilitate a post-translational protein modification, and the goal of our medicinal chemistry program was to optimize inhibitors of the HbF drug target. We developed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target engagement assays, as well as enabled X-ray crystallography, to discover and develop FTX-6058, a novel small molecule inhibitor of the HbF drug target.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FTX-6058</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FTX-6058 is an oral HbF inducer that is in development for certain hemoglobinopathies, including SCD. FTX-6058 is designed to bind to EED and inhibit the transcriptional silencing activity of PRC2. Inhibition of EED leads to potent downregulation of key fetal globin repressors, including BCL11A, thereby causing an increase in HbF. EED is a member of the PRC2 complex, which also includes EZH2. There are approved products in the EZH2 class of medications and their approved labeling outlines safety risks, including an increased risk of malignancies. We initiated our Phase 1b clinical trial of FTX-6058 in people with SCD in the fourth quarter of 2021. In February 2022, the FDA granted orphan drug designation to FTX-6058 for the treatment of SCD. In December 2022, the FDA granted fast track designation to FTX-6058 for SCD. On February 23, 2023, the FDA placed the IND for FTX-6058 for the potential treatment of SCD on full clinical hold. Accordingly, we suspended enrollment and dosing in the Phase 1b trial of FTX-6058 and withdrew our separate IND for FTX-6058 in beta thalassemia. The FDA’s clinical hold referenced the data from toxicology studies in rats and dogs that we submitted to the IND in April, October, and December 2022, as well as a response to an early February 2023 information request from the FDA about these toxicology studies that we submitted in mid-February 2023.</w:t>
      </w:r>
    </w:p>
    <w:p>
      <w:pPr>
        <w:spacing w:after="0" w:line="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part of our FTX-6058 development program, we have conducted numerous non-clinical toxicology studies, including studies conducted under good laboratory practice, or GLP. These toxicology studies have included repeat-dose maximum tolerated dose and dose range finding studies; 28-day, 13-week, 17-week, and 26-week studies in rats; and 28-day, 13-week, and 39-week studies in dogs. In connection with the clinical hold, the FDA noted that the profile of hematological malignancies observed in the toxicology studies of FTX-6058 is similar to that observed with other inhibitors of PRC2 and that hematological malignancies have been reported clinically with other inhibitors of PRC2. We intend to work diligently to provide, as expeditiously as possible, the information that the FDA will require for resolution of the clinical hold.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Clinical Trial: Phase 1b</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2023, we announced Phase 1b data from subjects in the 6 mg dose cohort, as well as completion of enrollment in the 6 mg and 2 mg dose cohorts and commencement of enrollment in the 12 mg dose cohort. Until being placed on clinical hold, the Phase 1b trial was evaluating subjects both on and off hydroxyurea.</w:t>
      </w:r>
    </w:p>
    <w:p>
      <w:pPr>
        <w:spacing w:after="0" w:line="17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Phase 1b data from subjects in the 6 mg dose cohort (n=10) showed up to 9.5% absolute HbF increases from baseline. These data suggested no difference in response in subjects on (n=3) and off (n=7) background hydroxyurea. We also observed improved biomarkers of hemolysis in evaluable subjects dosed at 6 mg. The figures below illustrate percentage HbF increase by HPLC and absolute percentage HbF change from baseline for evaluable subjects (n=7) in the 6 mg dose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125730</wp:posOffset>
            </wp:positionV>
            <wp:extent cx="3385820" cy="38919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85820"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We have completed enrollment and dosing in the 6 mg and 2 mg dose cohorts, and we do not plan to enroll or dose additional subjects in these cohorts if we are able to resolve the clinical hold. Data from subjects in the 2 mg dose cohort (n=2), showed up to 4.6% absolute HbF increases from baseline.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9" w:right="37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2265680</wp:posOffset>
            </wp:positionH>
            <wp:positionV relativeFrom="page">
              <wp:posOffset>363220</wp:posOffset>
            </wp:positionV>
            <wp:extent cx="3334385" cy="40544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3334385" cy="405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Enrollment and dosing of additional subjects in the 12 mg dose cohort (including subjects both on and off hydroxyurea), is currently on hold. Data from subjects in the 12 mg dose cohort (n=3), prior to the suspension of the trial, showed up to 10.0% absolute HbF increases from baseline after 42 days of treatment. Subjects with asterisks were on hydroxyurea.</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2171065</wp:posOffset>
            </wp:positionH>
            <wp:positionV relativeFrom="page">
              <wp:posOffset>363220</wp:posOffset>
            </wp:positionV>
            <wp:extent cx="3505835" cy="4088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3505835" cy="4088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Increases in HbF have been shown to reduce the frequency or severity of a broad range of SCD symptoms, including VOC, anemia, pain, infection, stroke and others. Based on a large body of genetic, clinical, and observational evidence showing the effects of higher levels of HbF in people with SCD, the induction of HbF by 5-10% over baseline could be associated with reduced disease burden and improved clinical outcomes. We believe these initial data showing that FTX-6058 increases HbF levels by up to 9.5% support its potential to become a transformative therapy for people living with SCD.</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FTX-6058 was generally well-tolerated as of the March 3, 2023 data cutoff date. There have been 14 TEAEs reported to date, two of which were reported as possibly related to study drug (headache, lip numbness), neither of which were severe and were deemed non-serious. There have been no discontinuations due to TEAEs. Three of the 14 TEAEs were characterized as VOCs, and were deemed unrelated to FTX-6058, one of which was reported as a serious adverse event, or SAE, with acute chest syndrome in a non-adherent subject.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this time, we are not certain when we will be able to resume the Phase 1b trial, if at all.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Phase 1 Healthy Volunteers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fourth quarter of 2020, we initiated a Phase 1 clinical trial of FTX-6058 in healthy adult volunteers. The Phase 1 randomized, double-blind, placebo-controlled trial was designed to evaluate the safety, tolerability, and PK of ascending doses of FTX-6058. In the SAD cohorts, healthy volunteers received one dose of either placebo or 2, 4, 10, 20, 30, 40 or 60mg of FTX-6058. In the MAD cohorts, healthy volunteers received a once-daily dose of placebo or 2, 6, 10, 20 or 30mg of FTX-6058 for 14 consecutive days. Each MAD cohort had six subjects on drug and two on placebo. Food effect was also studied in a separate 20mg dose cohort. Exploratory measures were included in the MAD cohorts to assess target engagement, changes in HBG mRNA and HbF-containing reticulocytes (F-reticulocytes).</w:t>
      </w:r>
    </w:p>
    <w:p>
      <w:pPr>
        <w:spacing w:after="0" w:line="7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reported data from the 2, 4, 10, 20, 30 and 40mg SAD cohorts and the 2, 6 and 10 mg MAD cohorts in healthy volunteers in August 2021, and we reported data from the 60 mg SAD cohort and the 20 and 30 mg MAD cohorts in healthy volunteers, as well as data from the 20 mg cohort assessing food effect in December 2021.</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FTX-6058 was generally well-tolerated with no SAEs reported and no discontinuations due to TEAEs across all SAD and MAD cohorts. Data continued to show dose-proportional PK, with a mean half-life of approximately 6-7 hours in the MAD cohorts, supporting once-daily dosing, and no food effect was observed with FTX-6058. Data from the MAD cohorts continued to show robust target engagement, as evidenced by an approximately 75-95% reduction from baseline in H3K27me3 after 14 days of treatment. Based on our preclinical studies, this level of target engagement is predicted to result in robust induction of </w:t>
      </w:r>
      <w:r>
        <w:rPr>
          <w:rFonts w:ascii="Times New Roman" w:cs="Times New Roman" w:eastAsia="Times New Roman" w:hAnsi="Times New Roman"/>
          <w:sz w:val="18"/>
          <w:szCs w:val="18"/>
          <w:i w:val="1"/>
          <w:iCs w:val="1"/>
          <w:color w:val="auto"/>
        </w:rPr>
        <w:t>HBG1/2</w:t>
      </w:r>
      <w:r>
        <w:rPr>
          <w:rFonts w:ascii="Times New Roman" w:cs="Times New Roman" w:eastAsia="Times New Roman" w:hAnsi="Times New Roman"/>
          <w:sz w:val="18"/>
          <w:szCs w:val="18"/>
          <w:color w:val="auto"/>
        </w:rPr>
        <w:t xml:space="preserve"> and subsequently increase HbF production.</w:t>
      </w:r>
    </w:p>
    <w:p>
      <w:pPr>
        <w:spacing w:after="0" w:line="75"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Data from the MAD cohorts also showed time- and dose-dependent HBG mRNA induction, as shown in the chart below, demonstrating proof-of-biology. Persistent HBG mRNA induction was observed for 7-10 days after treatment. In preclinical studies of FTX-6058, increases in HBG mRNA have consistently translated to the same fold increases in HbF protein. Notably, human genetics show that 2-3-fold increases in HbF over typical baseline levels (5-10% HbF) are associated with significantly improved outcomes, and even functional cures, in people with SCD. .</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HBG mRNA Mean Fold Induction for FTX-6058 versus Placebo</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2500" w:type="dxa"/>
            <w:vAlign w:val="bottom"/>
            <w:tcBorders>
              <w:right w:val="single" w:sz="8" w:color="auto"/>
            </w:tcBorders>
          </w:tcPr>
          <w:p>
            <w:pPr>
              <w:spacing w:after="0"/>
              <w:rPr>
                <w:sz w:val="24"/>
                <w:szCs w:val="24"/>
                <w:color w:val="auto"/>
              </w:rPr>
            </w:pPr>
          </w:p>
        </w:tc>
        <w:tc>
          <w:tcPr>
            <w:tcW w:w="1000" w:type="dxa"/>
            <w:vAlign w:val="bottom"/>
            <w:tcBorders>
              <w:top w:val="single" w:sz="8" w:color="auto"/>
              <w:bottom w:val="single" w:sz="8" w:color="auto"/>
            </w:tcBorders>
            <w:gridSpan w:val="2"/>
          </w:tcPr>
          <w:p>
            <w:pPr>
              <w:ind w:left="600"/>
              <w:spacing w:after="0"/>
              <w:rPr>
                <w:sz w:val="20"/>
                <w:szCs w:val="20"/>
                <w:color w:val="auto"/>
              </w:rPr>
            </w:pPr>
            <w:r>
              <w:rPr>
                <w:rFonts w:ascii="Times New Roman" w:cs="Times New Roman" w:eastAsia="Times New Roman" w:hAnsi="Times New Roman"/>
                <w:sz w:val="16"/>
                <w:szCs w:val="16"/>
                <w:color w:val="auto"/>
              </w:rPr>
              <w:t>2mg*</w:t>
            </w:r>
          </w:p>
        </w:tc>
        <w:tc>
          <w:tcPr>
            <w:tcW w:w="620" w:type="dxa"/>
            <w:vAlign w:val="bottom"/>
            <w:tcBorders>
              <w:top w:val="single" w:sz="8" w:color="auto"/>
              <w:bottom w:val="single" w:sz="8" w:color="auto"/>
              <w:right w:val="single" w:sz="8" w:color="auto"/>
            </w:tcBorders>
          </w:tcPr>
          <w:p>
            <w:pPr>
              <w:spacing w:after="0"/>
              <w:rPr>
                <w:sz w:val="24"/>
                <w:szCs w:val="24"/>
                <w:color w:val="auto"/>
              </w:rPr>
            </w:pPr>
          </w:p>
        </w:tc>
        <w:tc>
          <w:tcPr>
            <w:tcW w:w="106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color w:val="auto"/>
                <w:w w:val="93"/>
              </w:rPr>
              <w:t>6mg*</w:t>
            </w:r>
          </w:p>
        </w:tc>
        <w:tc>
          <w:tcPr>
            <w:tcW w:w="720" w:type="dxa"/>
            <w:vAlign w:val="bottom"/>
            <w:tcBorders>
              <w:top w:val="single" w:sz="8" w:color="auto"/>
              <w:bottom w:val="single" w:sz="8" w:color="auto"/>
              <w:right w:val="single" w:sz="8" w:color="auto"/>
            </w:tcBorders>
          </w:tcPr>
          <w:p>
            <w:pPr>
              <w:spacing w:after="0"/>
              <w:rPr>
                <w:sz w:val="24"/>
                <w:szCs w:val="24"/>
                <w:color w:val="auto"/>
              </w:rPr>
            </w:pPr>
          </w:p>
        </w:tc>
        <w:tc>
          <w:tcPr>
            <w:tcW w:w="116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color w:val="auto"/>
              </w:rPr>
              <w:t>10mg*</w:t>
            </w:r>
          </w:p>
        </w:tc>
        <w:tc>
          <w:tcPr>
            <w:tcW w:w="700" w:type="dxa"/>
            <w:vAlign w:val="bottom"/>
            <w:tcBorders>
              <w:top w:val="single" w:sz="8" w:color="auto"/>
              <w:bottom w:val="single" w:sz="8" w:color="auto"/>
              <w:right w:val="single" w:sz="8" w:color="auto"/>
            </w:tcBorders>
          </w:tcPr>
          <w:p>
            <w:pPr>
              <w:spacing w:after="0"/>
              <w:rPr>
                <w:sz w:val="24"/>
                <w:szCs w:val="24"/>
                <w:color w:val="auto"/>
              </w:rPr>
            </w:pPr>
          </w:p>
        </w:tc>
        <w:tc>
          <w:tcPr>
            <w:tcW w:w="1740" w:type="dxa"/>
            <w:vAlign w:val="bottom"/>
            <w:tcBorders>
              <w:top w:val="single" w:sz="8" w:color="auto"/>
              <w:bottom w:val="single" w:sz="8" w:color="auto"/>
              <w:right w:val="single" w:sz="8" w:color="auto"/>
            </w:tcBorders>
            <w:gridSpan w:val="2"/>
          </w:tcPr>
          <w:p>
            <w:pPr>
              <w:ind w:left="640"/>
              <w:spacing w:after="0"/>
              <w:rPr>
                <w:sz w:val="20"/>
                <w:szCs w:val="20"/>
                <w:color w:val="auto"/>
              </w:rPr>
            </w:pPr>
            <w:r>
              <w:rPr>
                <w:rFonts w:ascii="Times New Roman" w:cs="Times New Roman" w:eastAsia="Times New Roman" w:hAnsi="Times New Roman"/>
                <w:sz w:val="16"/>
                <w:szCs w:val="16"/>
                <w:color w:val="auto"/>
              </w:rPr>
              <w:t>20 mg</w:t>
            </w:r>
          </w:p>
        </w:tc>
        <w:tc>
          <w:tcPr>
            <w:tcW w:w="104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6"/>
                <w:szCs w:val="16"/>
                <w:color w:val="auto"/>
                <w:w w:val="93"/>
              </w:rPr>
              <w:t>30mg</w:t>
            </w:r>
          </w:p>
        </w:tc>
        <w:tc>
          <w:tcPr>
            <w:tcW w:w="720" w:type="dxa"/>
            <w:vAlign w:val="bottom"/>
            <w:tcBorders>
              <w:top w:val="single" w:sz="8" w:color="auto"/>
              <w:bottom w:val="single" w:sz="8" w:color="auto"/>
              <w:right w:val="single" w:sz="8" w:color="auto"/>
            </w:tcBorders>
          </w:tcPr>
          <w:p>
            <w:pPr>
              <w:spacing w:after="0"/>
              <w:rPr>
                <w:sz w:val="24"/>
                <w:szCs w:val="24"/>
                <w:color w:val="auto"/>
              </w:rPr>
            </w:pPr>
          </w:p>
        </w:tc>
      </w:tr>
      <w:tr>
        <w:trPr>
          <w:trHeight w:val="162"/>
        </w:trPr>
        <w:tc>
          <w:tcPr>
            <w:tcW w:w="25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6"/>
                <w:szCs w:val="16"/>
                <w:color w:val="auto"/>
              </w:rPr>
              <w:t>Mean Fold</w:t>
            </w:r>
          </w:p>
        </w:tc>
        <w:tc>
          <w:tcPr>
            <w:tcW w:w="80" w:type="dxa"/>
            <w:vAlign w:val="bottom"/>
          </w:tcPr>
          <w:p>
            <w:pPr>
              <w:spacing w:after="0"/>
              <w:rPr>
                <w:sz w:val="14"/>
                <w:szCs w:val="14"/>
                <w:color w:val="auto"/>
              </w:rPr>
            </w:pPr>
          </w:p>
        </w:tc>
        <w:tc>
          <w:tcPr>
            <w:tcW w:w="620" w:type="dxa"/>
            <w:vAlign w:val="bottom"/>
            <w:tcBorders>
              <w:right w:val="single" w:sz="8" w:color="auto"/>
            </w:tcBorders>
          </w:tcPr>
          <w:p>
            <w:pPr>
              <w:jc w:val="center"/>
              <w:ind w:right="19"/>
              <w:spacing w:after="0" w:line="162" w:lineRule="exact"/>
              <w:rPr>
                <w:sz w:val="20"/>
                <w:szCs w:val="20"/>
                <w:color w:val="auto"/>
              </w:rPr>
            </w:pPr>
            <w:r>
              <w:rPr>
                <w:rFonts w:ascii="Times New Roman" w:cs="Times New Roman" w:eastAsia="Times New Roman" w:hAnsi="Times New Roman"/>
                <w:sz w:val="16"/>
                <w:szCs w:val="16"/>
                <w:color w:val="auto"/>
                <w:w w:val="98"/>
              </w:rPr>
              <w:t>P-value</w:t>
            </w:r>
          </w:p>
        </w:tc>
        <w:tc>
          <w:tcPr>
            <w:tcW w:w="9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Mean Fold</w:t>
            </w:r>
          </w:p>
        </w:tc>
        <w:tc>
          <w:tcPr>
            <w:tcW w:w="120" w:type="dxa"/>
            <w:vAlign w:val="bottom"/>
          </w:tcPr>
          <w:p>
            <w:pPr>
              <w:spacing w:after="0"/>
              <w:rPr>
                <w:sz w:val="14"/>
                <w:szCs w:val="14"/>
                <w:color w:val="auto"/>
              </w:rPr>
            </w:pPr>
          </w:p>
        </w:tc>
        <w:tc>
          <w:tcPr>
            <w:tcW w:w="720" w:type="dxa"/>
            <w:vAlign w:val="bottom"/>
            <w:tcBorders>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6"/>
                <w:szCs w:val="16"/>
                <w:color w:val="auto"/>
              </w:rPr>
              <w:t>P-value</w:t>
            </w:r>
          </w:p>
        </w:tc>
        <w:tc>
          <w:tcPr>
            <w:tcW w:w="104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Mean Fold</w:t>
            </w:r>
          </w:p>
        </w:tc>
        <w:tc>
          <w:tcPr>
            <w:tcW w:w="120" w:type="dxa"/>
            <w:vAlign w:val="bottom"/>
          </w:tcPr>
          <w:p>
            <w:pPr>
              <w:spacing w:after="0"/>
              <w:rPr>
                <w:sz w:val="14"/>
                <w:szCs w:val="14"/>
                <w:color w:val="auto"/>
              </w:rPr>
            </w:pPr>
          </w:p>
        </w:tc>
        <w:tc>
          <w:tcPr>
            <w:tcW w:w="700" w:type="dxa"/>
            <w:vAlign w:val="bottom"/>
            <w:tcBorders>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P-value</w:t>
            </w:r>
          </w:p>
        </w:tc>
        <w:tc>
          <w:tcPr>
            <w:tcW w:w="9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Mean Fold</w:t>
            </w:r>
          </w:p>
        </w:tc>
        <w:tc>
          <w:tcPr>
            <w:tcW w:w="820" w:type="dxa"/>
            <w:vAlign w:val="bottom"/>
            <w:tcBorders>
              <w:right w:val="single" w:sz="8" w:color="auto"/>
            </w:tcBorders>
          </w:tcPr>
          <w:p>
            <w:pPr>
              <w:ind w:left="160"/>
              <w:spacing w:after="0" w:line="162" w:lineRule="exact"/>
              <w:rPr>
                <w:sz w:val="20"/>
                <w:szCs w:val="20"/>
                <w:color w:val="auto"/>
              </w:rPr>
            </w:pPr>
            <w:r>
              <w:rPr>
                <w:rFonts w:ascii="Times New Roman" w:cs="Times New Roman" w:eastAsia="Times New Roman" w:hAnsi="Times New Roman"/>
                <w:sz w:val="16"/>
                <w:szCs w:val="16"/>
                <w:color w:val="auto"/>
              </w:rPr>
              <w:t>P-value</w:t>
            </w:r>
          </w:p>
        </w:tc>
        <w:tc>
          <w:tcPr>
            <w:tcW w:w="92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Mean Fold</w:t>
            </w:r>
          </w:p>
        </w:tc>
        <w:tc>
          <w:tcPr>
            <w:tcW w:w="120" w:type="dxa"/>
            <w:vAlign w:val="bottom"/>
          </w:tcPr>
          <w:p>
            <w:pPr>
              <w:spacing w:after="0"/>
              <w:rPr>
                <w:sz w:val="14"/>
                <w:szCs w:val="14"/>
                <w:color w:val="auto"/>
              </w:rPr>
            </w:pPr>
          </w:p>
        </w:tc>
        <w:tc>
          <w:tcPr>
            <w:tcW w:w="720" w:type="dxa"/>
            <w:vAlign w:val="bottom"/>
            <w:tcBorders>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6"/>
                <w:szCs w:val="16"/>
                <w:color w:val="auto"/>
              </w:rPr>
              <w:t>P-value</w:t>
            </w:r>
          </w:p>
        </w:tc>
      </w:tr>
      <w:tr>
        <w:trPr>
          <w:trHeight w:val="257"/>
        </w:trPr>
        <w:tc>
          <w:tcPr>
            <w:tcW w:w="250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Induction</w:t>
            </w: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Induction</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Induction</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Induction</w:t>
            </w:r>
          </w:p>
        </w:tc>
        <w:tc>
          <w:tcPr>
            <w:tcW w:w="82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Induction</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r>
      <w:tr>
        <w:trPr>
          <w:trHeight w:val="217"/>
        </w:trPr>
        <w:tc>
          <w:tcPr>
            <w:tcW w:w="2500" w:type="dxa"/>
            <w:vAlign w:val="bottom"/>
            <w:tcBorders>
              <w:left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Day 7</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1.28</w:t>
            </w: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0.3494</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1.94</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0.0135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2.08</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9"/>
              </w:rPr>
              <w:t>0.0063</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2.06</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0.0072</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0.0025</w:t>
            </w:r>
          </w:p>
        </w:tc>
      </w:tr>
      <w:tr>
        <w:trPr>
          <w:trHeight w:val="210"/>
        </w:trPr>
        <w:tc>
          <w:tcPr>
            <w:tcW w:w="250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Day 14</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80" w:type="dxa"/>
            <w:vAlign w:val="bottom"/>
          </w:tcPr>
          <w:p>
            <w:pPr>
              <w:spacing w:after="0"/>
              <w:rPr>
                <w:sz w:val="18"/>
                <w:szCs w:val="18"/>
                <w:color w:val="auto"/>
              </w:rPr>
            </w:pPr>
          </w:p>
        </w:tc>
        <w:tc>
          <w:tcPr>
            <w:tcW w:w="62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0.5122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2.45</w:t>
            </w:r>
          </w:p>
        </w:tc>
        <w:tc>
          <w:tcPr>
            <w:tcW w:w="120" w:type="dxa"/>
            <w:vAlign w:val="bottom"/>
          </w:tcPr>
          <w:p>
            <w:pPr>
              <w:spacing w:after="0"/>
              <w:rPr>
                <w:sz w:val="18"/>
                <w:szCs w:val="18"/>
                <w:color w:val="auto"/>
              </w:rPr>
            </w:pPr>
          </w:p>
        </w:tc>
        <w:tc>
          <w:tcPr>
            <w:tcW w:w="720" w:type="dxa"/>
            <w:vAlign w:val="bottom"/>
            <w:tcBorders>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0.0025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3.54</w:t>
            </w:r>
          </w:p>
        </w:tc>
        <w:tc>
          <w:tcPr>
            <w:tcW w:w="120" w:type="dxa"/>
            <w:vAlign w:val="bottom"/>
          </w:tcPr>
          <w:p>
            <w:pPr>
              <w:spacing w:after="0"/>
              <w:rPr>
                <w:sz w:val="18"/>
                <w:szCs w:val="18"/>
                <w:color w:val="auto"/>
              </w:rPr>
            </w:pPr>
          </w:p>
        </w:tc>
        <w:tc>
          <w:tcPr>
            <w:tcW w:w="700" w:type="dxa"/>
            <w:vAlign w:val="bottom"/>
            <w:tcBorders>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&lt;0.0001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5.63</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&lt;0.0001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Pr>
          <w:p>
            <w:pPr>
              <w:spacing w:after="0"/>
              <w:rPr>
                <w:sz w:val="18"/>
                <w:szCs w:val="18"/>
                <w:color w:val="auto"/>
              </w:rPr>
            </w:pPr>
          </w:p>
        </w:tc>
        <w:tc>
          <w:tcPr>
            <w:tcW w:w="720" w:type="dxa"/>
            <w:vAlign w:val="bottom"/>
            <w:tcBorders>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7"/>
              </w:rPr>
              <w:t>&lt;0.0001</w:t>
            </w:r>
          </w:p>
        </w:tc>
      </w:tr>
      <w:tr>
        <w:trPr>
          <w:trHeight w:val="3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r>
        <w:trPr>
          <w:trHeight w:val="204"/>
        </w:trPr>
        <w:tc>
          <w:tcPr>
            <w:tcW w:w="250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Safety Follow-up (Day 21-24)</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1.21</w:t>
            </w:r>
          </w:p>
        </w:tc>
        <w:tc>
          <w:tcPr>
            <w:tcW w:w="80" w:type="dxa"/>
            <w:vAlign w:val="bottom"/>
          </w:tcPr>
          <w:p>
            <w:pPr>
              <w:spacing w:after="0"/>
              <w:rPr>
                <w:sz w:val="17"/>
                <w:szCs w:val="17"/>
                <w:color w:val="auto"/>
              </w:rPr>
            </w:pPr>
          </w:p>
        </w:tc>
        <w:tc>
          <w:tcPr>
            <w:tcW w:w="620" w:type="dxa"/>
            <w:vAlign w:val="bottom"/>
            <w:tcBorders>
              <w:right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0.3736</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2.75</w:t>
            </w:r>
          </w:p>
        </w:tc>
        <w:tc>
          <w:tcPr>
            <w:tcW w:w="120" w:type="dxa"/>
            <w:vAlign w:val="bottom"/>
          </w:tcPr>
          <w:p>
            <w:pPr>
              <w:spacing w:after="0"/>
              <w:rPr>
                <w:sz w:val="17"/>
                <w:szCs w:val="17"/>
                <w:color w:val="auto"/>
              </w:rPr>
            </w:pPr>
          </w:p>
        </w:tc>
        <w:tc>
          <w:tcPr>
            <w:tcW w:w="72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&lt;0.0001</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3.22</w:t>
            </w:r>
          </w:p>
        </w:tc>
        <w:tc>
          <w:tcPr>
            <w:tcW w:w="120" w:type="dxa"/>
            <w:vAlign w:val="bottom"/>
          </w:tcPr>
          <w:p>
            <w:pPr>
              <w:spacing w:after="0"/>
              <w:rPr>
                <w:sz w:val="17"/>
                <w:szCs w:val="17"/>
                <w:color w:val="auto"/>
              </w:rPr>
            </w:pPr>
          </w:p>
        </w:tc>
        <w:tc>
          <w:tcPr>
            <w:tcW w:w="700" w:type="dxa"/>
            <w:vAlign w:val="bottom"/>
            <w:tcBorders>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&lt;0.0001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6.45</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&lt;0.0001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tcPr>
          <w:p>
            <w:pPr>
              <w:spacing w:after="0"/>
              <w:rPr>
                <w:sz w:val="17"/>
                <w:szCs w:val="17"/>
                <w:color w:val="auto"/>
              </w:rPr>
            </w:pPr>
          </w:p>
        </w:tc>
        <w:tc>
          <w:tcPr>
            <w:tcW w:w="720" w:type="dxa"/>
            <w:vAlign w:val="bottom"/>
            <w:tcBorders>
              <w:right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7"/>
              </w:rPr>
              <w:t>&lt;0.0001</w:t>
            </w:r>
          </w:p>
        </w:tc>
      </w:tr>
      <w:tr>
        <w:trPr>
          <w:trHeight w:val="33"/>
        </w:trPr>
        <w:tc>
          <w:tcPr>
            <w:tcW w:w="250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FTX-6058 Activity in Preclinical Studies</w:t>
      </w:r>
    </w:p>
    <w:p>
      <w:pPr>
        <w:spacing w:after="0" w:line="11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have observed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activation of the </w:t>
      </w:r>
      <w:r>
        <w:rPr>
          <w:rFonts w:ascii="Times New Roman" w:cs="Times New Roman" w:eastAsia="Times New Roman" w:hAnsi="Times New Roman"/>
          <w:sz w:val="18"/>
          <w:szCs w:val="18"/>
          <w:i w:val="1"/>
          <w:iCs w:val="1"/>
          <w:color w:val="auto"/>
        </w:rPr>
        <w:t>HBG1/2</w:t>
      </w:r>
      <w:r>
        <w:rPr>
          <w:rFonts w:ascii="Times New Roman" w:cs="Times New Roman" w:eastAsia="Times New Roman" w:hAnsi="Times New Roman"/>
          <w:sz w:val="18"/>
          <w:szCs w:val="18"/>
          <w:color w:val="auto"/>
        </w:rPr>
        <w:t xml:space="preserve"> genes in preclinical studies with FTX-6058. We observed that FTX-6058 elevated levels of HbF with minimal adverse effects on important cellular health markers. As depicted in the graphic below, we also observed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upregulation of HbF in primary human CD34+ cells differentiated into RBCs from 14 donors, including nine different healthy human donors, four SCD donors and one sickle cell trait donor, after seven days of drug treatment. FTX-6058 showed a significant elevation of HbF over baseline in each of these 14 donor cell lines. We have conducted additional preclinical profiling in CD34+ derived cells and observed that treatment with FTX-6058 increased HbF levels to approximately 30% of total hemoglobin, as measured by mass spectrometry, high performance liquid chromatography, and fast protein liquid chromatography techniques. Notably, based on a review of data from other mechanisms, HbF fold induction in CD34+ cells has translated reliably into the clinic.</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Effect of FTX-6058 treatment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differentiated primary human CD34+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160020</wp:posOffset>
            </wp:positionV>
            <wp:extent cx="2991485" cy="1971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9148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Additionally, we compared the effect of FTX-6058 in CD34+ derived cells relative to that of hydroxyurea. We observed that hydroxyurea had a minimal impact on HbF elevation, whereas we observed that FTX-6058 significantly elevated HbF. In cells treated with the combination of FTX-6058 and hydroxyurea, we observed an increased effect relative to either compound alone.</w:t>
      </w:r>
    </w:p>
    <w:p>
      <w:pPr>
        <w:spacing w:after="0" w:line="6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Additionally, we studied FTX-6058 in a mouse model of SCD, known as the Townes mouse model. In this model, mouse globin genes have been replaced with human globin genes, thereby allowing investigations of mechanisms that may regulate human hemoglobin gene expression. The Townes mouse model has been widely used to study potential treatments for SCD. As shown in the figures below, we observed that FTX-6058 resulted in a significant increase in HbF-expressing cells, or F-cells, and HbF protein levels after 13 days of dosing at 5 mg/kg once per day whereas hydroxyurea resulted in modest increases in F-cells and HbF.</w:t>
      </w:r>
    </w:p>
    <w:p>
      <w:pPr>
        <w:sectPr>
          <w:pgSz w:w="11900" w:h="16838" w:orient="portrait"/>
          <w:cols w:equalWidth="0" w:num="1">
            <w:col w:w="11220"/>
          </w:cols>
          <w:pgMar w:left="320" w:top="445" w:right="359" w:bottom="1440" w:gutter="0" w:footer="0" w:header="0"/>
        </w:sectPr>
      </w:pPr>
    </w:p>
    <w:p>
      <w:pPr>
        <w:spacing w:after="0" w:line="220"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Percentage of F-cells in Townes mice</w:t>
      </w:r>
    </w:p>
    <w:p>
      <w:pPr>
        <w:spacing w:after="0" w:line="4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treated with FTX-6058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31750</wp:posOffset>
            </wp:positionV>
            <wp:extent cx="2983230" cy="1551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83230" cy="1551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7"/>
          <w:szCs w:val="17"/>
          <w:b w:val="1"/>
          <w:bCs w:val="1"/>
          <w:color w:val="auto"/>
        </w:rPr>
        <w:t>HbF protein levels in Townes mice</w:t>
      </w:r>
    </w:p>
    <w:p>
      <w:pPr>
        <w:spacing w:after="0" w:line="43"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treated with FTX-6058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31750</wp:posOffset>
            </wp:positionV>
            <wp:extent cx="2537460" cy="1680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37460" cy="1680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40" w:space="720"/>
            <w:col w:w="3960"/>
          </w:cols>
          <w:pgMar w:left="320" w:top="44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the graphic on the left, we quantified the percentage of F-cells as a percentage of total cells (%F-cells) for the three treatment conditions from mouse blood, shown as a percentage of vehicle-alone-treated SCD mice. In the graphic on the right, we determined the level of human HbF protein for the three treatment conditions, quantifying HbF protein as a percentage of total hemoglobin. Each value represents the mean value from eight mice per treatment after 13 days of treatment. In these studies, we used a conventional method of assessing statistical significance known as a one-way analysis of variance, or ANOVA. The p-value for FTX-6058 was less than 0.001 for both studies and the p-value for hydroxyurea in the study depicted on the right was less than 0.01.</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Discovery Platform</w:t>
      </w:r>
    </w:p>
    <w:p>
      <w:pPr>
        <w:spacing w:after="0" w:line="22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FulcrumSeek is our high-throughput discovery platform that we designed to identify and validate drug targets for our rare disease portfolio. According to the National Institutes of Health, or NIH, there are approximately 7,000 rare, genetically defined human diseases, many of which have inadequate or no approved treatments. In our approach, we obtain patient-derived, tissue-relevant cell lines or other disease relevant cell lines, which we differentiate to recapitulate and interrogate the targeted disease pathology.</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These cell lines are interrogated at scale, using our proprietary automation systems to study the effects of chemical and genomic perturbations on the disease phenotype or transcriptome. We apply our highly annotated, proprietary small-molecule compound library of chemogenomic probes, designed with the intent to optimize biological diversity. In contrast with other small molecule screening approaches that optimize chemical diversity, our highly annotated library enables the rapid identification and validation of targets, as well as potential lead molecules that modulate these targets.</w:t>
      </w:r>
    </w:p>
    <w:p>
      <w:pPr>
        <w:spacing w:after="0" w:line="180"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also employ computational biology, such as machine learning algorithms, to guide drug target selection. Our iterative and systematic approach enables us to explore diseases with less-defined genetic links, and instead screen for targets that modulate root cause biology. As a result, we believe that we can greatly expand the number of diseases that we can potentially interrogate with FulcrumSeek.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Discovery Screening Programs</w:t>
      </w:r>
    </w:p>
    <w:p>
      <w:pPr>
        <w:spacing w:after="0" w:line="121"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We have leveraged FulcrumSeek to discover targets that we are pursuing with small molecules for FSHD and SCD. We are leveraging the broad applicability of FulcrumSeek to discover drug targets for other rare, genetically defined diseases across muscular, hematologic and neurologic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-36195</wp:posOffset>
            </wp:positionV>
            <wp:extent cx="5760720" cy="20231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6072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target identification strategy and approach continue to evolve. In addition to conducting screens to identify targets that modulate the expression of a single root cause gene, we are able to simultaneously interrogate multiple (approximately 10) root cause genes and to monitor effects on cell health all in a single screen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multiplexed screening). We believe that this new approach provides significant efficiencies in productivity and allows us to test multiple hypotheses in parallel. Importantly, the expansion of FulcrumSeek with the use of high content molecular profiling, including RNAseq and cellular imaging, allows us to simultaneously measure the expression of 8,000-10,000 genes and integrate key measures related to cell health and biology, which enables us to scale our screening capacity and productivity. With the use of our small molecule probe library and our functional genomics capabilities, we aim to conduct target identification at a significantly increased scale and with cost-effectiveness. Moreover, we are using our product engine in hypothesis testing mode and in hypothesis generation mode, which we expect to increase the probability of identifying attractive targets to advance in our portfolio or in collaboration with partners.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Collaborations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of Reference and License Agreement with GlaxoSmithKline</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February 2019, we entered into a right of reference and license agreement with affiliates of GSK, as amended in September 2020, pursuant to which GSK granted us a right of reference to certain INDs filed with the FDA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reference and license agreement. The agreement obligates us to use commercially reasonable efforts to develop and commercialize a licensed product for the treatment of FSHD.</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agreement grants us an exclusive, sublicensable license under the licensed patent rights and data rights to research, develop and commercialize losmapimod or any product containing losmapimod as an API, which we refer to as a licensed product, to treat disease in humans. GSK retained the right, without the right to grant sublicenses, to conduct nonclinical research under the licensed patents and data rights and, with our consent, GSK may engage in certain developmental activities relating to the use of a licensed product in connection with a specified prophylactic use. GSK also agreed to and has since transferred to us its existing manufactured supply of losmapimod.</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Under the agreement, we will be obligated to make milestone payments to GSK aggregating up to $37.5 million upon the achievement of specified development and regulatory milestones with respect to the first licensed product to first achieve such milestones, including a $5.0 million milestone payment that we made to GSK during the year ended December 31, 2022 upon the initiation of the REACH Phase 3 clinical trial and a $2.5 million milestone payment we made to GSK during the year ended December 31, 2019 upon the initiation of ReDUX4, and up to $60.0 million upon the first achievement of one-time aggregate annual worldwide net sales milestones for a licensed product. We will also be obligated to pay royalties</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7" w:right="419" w:bottom="1440" w:gutter="0" w:footer="0" w:header="0"/>
        </w:sectPr>
      </w:pPr>
    </w:p>
    <w:bookmarkStart w:id="28" w:name="page29"/>
    <w:bookmarkEnd w:id="28"/>
    <w:p>
      <w:pPr>
        <w:ind w:right="60"/>
        <w:spacing w:after="0" w:line="266" w:lineRule="auto"/>
        <w:rPr>
          <w:sz w:val="20"/>
          <w:szCs w:val="20"/>
          <w:color w:val="auto"/>
        </w:rPr>
      </w:pPr>
      <w:r>
        <w:rPr>
          <w:rFonts w:ascii="Times New Roman" w:cs="Times New Roman" w:eastAsia="Times New Roman" w:hAnsi="Times New Roman"/>
          <w:sz w:val="18"/>
          <w:szCs w:val="18"/>
          <w:color w:val="auto"/>
        </w:rPr>
        <w:t>ranging from a mid single-digit percentage to a low double-digit, but less than teens, percentage to GSK based on our, and any of our affiliates’ and sublicensees’, annual net sales of licensed products. The royalties are payable on a licensed product-by-licensed product and country-by-country basis, and may be reduced in specified circumstances.</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obligation to make royalty payments extends with respect to a licensed product in a country until the earlier of the approval of a generic version of such licensed product by the applicable regulatory agency in such country or the tenth anniversary of the first commercial sale of such licensed product in such country, which we refer to as the royalty term. Following the expiration of any exclusive marketing rights or data exclusivity rights granted by a regulatory authority, other than patent rights, for any licensed product on a country-by-country basis, the applicable royalty rate will be reduced in such country. Additionally, if we or our affiliates or sublicensees determine that it is necessary to obtain a license from a third party under any patent rights to exploit a licensed product in a country, then we may deduct a certain percentage of the license fees under such third party license payable by us to the third party from the royalty payment that would otherwise be due to GSK in such country.</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agreement continues on a country-by-country and licensed product-by-licensed product basis until the expiration of the royalty term in each country, at which time the agreement expires with respect to such licensed product in such country and we shall have a fully-paid up, royalty-free and perpetual license to the licensed patent rights and data rights with respect to such licensed product in such country. Either party has the right to terminate the agreement if the other party has materially breached in the performance of its obligations under the agreement and such breach has not been cured within the applicable cure period.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and License Agreement with MyoKardia, a wholly-owned subsidiary of Bristol-Myers Squibb Company</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July 2020, we entered into a collaboration and license agreement with MyoKardia to identify biological targets that are capable of modulating genes of interest with relevance to certain genetically defined cardiomyopathies. Under the terms of the agreement, we granted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certain genes of interest with relevance to certain genetically defined cardiomyopathies.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Pursuant to a mutually agreed research plan, we will perform assay screening and related research activities to identify and validate up to a specified number of potential cardiomyopathy gene targets, or the Identified Targets, for further research, development, manufacture and commercialization by MyoKardia. We and MyoKardia will work together to determine how best to advance at each stage of the research activities under the research plan and to identify which of the Identified Targets, if any, meet the criteria set forth in the research plan, or the Cardiomyopathy Target Candidates. Upon completion of the research plan, the parties will work together to prepare a final data package and MyoKardia may designate certain Cardiomyopathy Target Candidates for MyoKardia’s further exploitation under the agreement, or the Cardiomyopathy Targets. If MyoKardia does not designate any Cardiomyopathy Targets during the designated period, then the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During the period in which we are performing the research activities pursuant to the research plan, or the Research Term and for a specified period beyond the Research Term if MyoKardia designates a Cardiomyopathy Target, we may only use the data generated from such research activities for MyoKardia in accordance with the agreement. During the Research Term and for a specified period thereafter, we may not research, develop, manufacture, commercialize, use, or otherwise exploit any compound or product (a) that is a compound or product under the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agreement, MyoKardia made a $10.0 million upfront payment and a $2.5 million payment as prepaid research funding to us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sales-based milestones, we will be entitled to preclinical milestone payments, development milestone payments and sales-based milestone payments of up to $298.5 million in the aggregate per target for certain Identified Targets, and of up to $150.0 million in the aggregate per target for certain other Identified Targets. To date, we have achieved a $2.5 million specified preclinical milestone. MyoKardia will also pay us tiered royalties ranging from a mid single-digit percentage to a low double-digit percentage based on MyoKardia’s, and any of its affiliates’ and sublicensees’, annual worldwide net sales of products under the agreement directed against any Identified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Target. The royalties are payable on a product-by-product basis during a specified royalty term, and may be reduced in specified circumstances.</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agreement continues on a country-by-country and product-by-product basis until the expiration of the last to expire royalty term for a product, at which time the agreement expires with respect to such product in such country, unless the agreement is terminated earlier in accordance with its terms. Either party has the right to terminate the agreement if the other party has materially breached in the performance of its obligations and such breach has not been cured within the applicable cure period. MyoKardia also has the right to terminate the agreement for convenience in its entirety or on a target-by-target, product-by-product or molecule-by-molecule basis, upon prior written notice to 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the development of our business, including by seeking, maintaining and defending patent rights, whether developed internally or licensed from third parties. We also rely on trade secrets, know-how, continuing technological innovation and in-licensing opportunities to develop, strengthen and maintain our proprietary position in our field.</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future commercial success depends, in part, on our ability to: obtain and maintain patent and other proprietary protection for commercially important technology, inventions and know-how related to our business; defend and enforce in our intellectual property rights, in particular our patents rights; preserve the confidentiality of our trade secrets; and operate without infringing, misappropriating or violating the valid and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like ours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We also cannot ensure that patents will issue with respect to any patent applications that we or our licensors may file in the future, nor can we ensure that any of our owned or licensed patents or future patents will be commercially useful in protecting our product candidates and methods of manufacturing the same. In addition, the coverage claimed in a patent application may be significantly reduced before a patent is issued, and its scope can be reinterpreted and even challenged after issuance. As a result, we cannot guarantee that any of our products will be protected or remain protectable by enforceable patents. Moreover, any patents that we hold may be challenged, circumvented or invalidated by third parties. See “Risk Factors—Risks Related to Our Intellectual Property” for a more comprehensive description of risks related to our intellectual property.</w:t>
      </w:r>
    </w:p>
    <w:p>
      <w:pPr>
        <w:spacing w:after="0" w:line="80"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generally file patent applications directed to our key programs in an effort to secure our intellectual property positions vis-a-vis these programs. As of March 2, 2023, we owned or in-licensed 11 U.S. patents, seven U.S. pending non-provisional patent applications and related pending foreign patent applications, and three pending U.S. provisional patent applications.</w:t>
      </w:r>
    </w:p>
    <w:p>
      <w:pPr>
        <w:spacing w:after="0" w:line="68"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intellectual property portfolio for our most advanced programs as of March 2, 2023, is summarized below. Prosecution is a lengthy process, during which the scope of the claims initially submitted for examination by the U.S. Patent and Trademark Office may be significantly narrowed before issuance, if issued at all. We expect this may be the case with respect to some of our pending patent applications referred to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Losmapimod</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With respect to losmapimod, we own one U.S. patent covering the method of use of losmapimod for the treatment of patients with FSHD and two U.S. patent covering the use of other clinical-stage p38 inhibitors for the treatment of patients with FSHD, each of which are expected to expire in 2038, and related patents and pending patent applications in Canada and Mexico, Europe, Africa, Australia and New Zealand, South America, and Asia with expiration dates in 2038. We also own three related pending U.S. non-provisional applications, one pending PCT application and one pending U.S. provisional application relating to method of using losmapimod for FSHD and other disorders that, if resulting in issued patents, are expected to expire between 2038 and 2043. The patents to losmapimod licensed from GSK as a composition of matter and pharmaceutical composition have expired.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FTX-6058</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Currently, our patent portfolio related to FTX-6058 includes two issued U.S. patents directed to composition of matter that is expected to expire in 2040, two U.S. non-provisional applications and related pending patent applications in Canada</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0" w:name="page31"/>
    <w:bookmarkEnd w:id="30"/>
    <w:p>
      <w:pPr>
        <w:ind w:right="140"/>
        <w:spacing w:after="0" w:line="266" w:lineRule="auto"/>
        <w:rPr>
          <w:sz w:val="20"/>
          <w:szCs w:val="20"/>
          <w:color w:val="auto"/>
        </w:rPr>
      </w:pPr>
      <w:r>
        <w:rPr>
          <w:rFonts w:ascii="Times New Roman" w:cs="Times New Roman" w:eastAsia="Times New Roman" w:hAnsi="Times New Roman"/>
          <w:sz w:val="18"/>
          <w:szCs w:val="18"/>
          <w:color w:val="auto"/>
        </w:rPr>
        <w:t>and Mexico, Europe, Africa, Australia and New Zealand, South America, and Asia that, if issued, are expected to expire between 2039 and 2040. We also own three pending PCT applications and two pending U.S. provisional applications directed to FTX-6058 methods of use and formulations, that, if resulting in issued patents, would be expected to expire between 2042 and 2043.</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 term of a patent covering an FDA-approved drug may, in certain cases, be eligible for a patent term extension under the Drug Price Competition and Patent Term Restoration Act of 1984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the use of losmapimod and products from our intellectual property may be entitled to patent term extensions. If our use of drug candidates or the drug candidate itself receive FDA approval, we intend to apply for patent term extensions, if available, to extend the term of patents that cover the approved use or drug candidate. We also intend to seek patent term extensions in any jurisdictions where available, however, there is no guarantee that the applicable authorities, including the FDA, will agree with our assessment of whether such extensions should be granted, and even if granted, the length of such extensions.</w:t>
      </w:r>
    </w:p>
    <w:p>
      <w:pPr>
        <w:spacing w:after="0" w:line="86"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upon unpatented trade secrets and confidential know-how and continuing technological innovation to develop and maintain our competitive position. However, trade secrets and confidential know-how are difficult to protect. We seek to protect our proprietary information, in part, using confidentiality agreements with any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for a more comprehensive description of risks related to our intellectual property.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do not have any manufacturing facilities. We have obtained sufficient quantities of losmapimod from a contract manufacturing organization to complete our ongoing Phase 3 clinical trial in FSHD.</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have obtained sufficient quantities of FTX-6058 from a contract manufacturing organization to complete our Phase 1b clinical trial, which is currently on clinical hold.</w:t>
      </w:r>
    </w:p>
    <w:p>
      <w:pPr>
        <w:spacing w:after="0" w:line="54"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7"/>
          <w:szCs w:val="17"/>
          <w:color w:val="auto"/>
        </w:rPr>
        <w:t>We expect to continue to rely on third parties for the manufacture of FTX-6058 for any future clinical trials and for the manufacture of any future product candidates for preclinical and clinical testing, as well as for commercial manufacture if our product candidates receive marketing approval. Our lead product candidates are small molecules and can be manufactured in reliable and reproducible synthetic processes from readily available starting materials. We expect to continue to develop product candidates that can be produced cost-effectively at contract manufacturing facilities.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1" w:name="page32"/>
    <w:bookmarkEnd w:id="31"/>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8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therapeutic product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spacing w:after="0" w:line="6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or emergency use authorizations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7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If our lead product candidates are approved for the indications for which we are currently undertaking clinical trials, they will compete with the therapies and currently marketed drugs discussed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FSHD</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There are no approved therapies for the treatment of FSHD. Current treatment is limited to symptomatic management including physical/ occupational therapy, low-intensity aerobic exercise tailored to the patient’s distribution of weakness, and general pain management, which may provide limited beneficial effect. Limited range of motion in the shoulder girdle can stem from periscapular muscle weakness leading to scapular winging and in such cases, surgical scapular fixation can result in some functional improvement for certain patients.</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Losmapimod could face competition from other therapeutic approaches in development for patients with FSHD. Roche is evaluating RO7204239, a myostatin inhibitor, in a Phase 2 study in adults with FSHD. Avidity is evaluating AOC 1020, an siRNA antibody-oligonucleotide complex, in a Phase½2 clinical trial in adults with FSHD. We are not aware of any product candidate currently in clinical development for FSHD with the same mechanism of action as losmapimod.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Approved drug treatments for SCD focus primarily on the management and reduction of painful vaso-occlusive crises, and improvement of hemolytic anemia. The four drug treatments approved in the United States are hydroxyurea, voxelotor, crizanlizumab, and L-glutamine. Hydroxyurea is approved for the treatment of SCD, to reduce the frequency of painful crises and to reduce the need for blood transfusions. Hydroxyurea is available in both generic and brand name formulations including DROXIA manufactured by Bristol Myers Squibb, and SIKLOS manufactured by Addmedica. Voxelotor, brand name OXBRYTA, marketed by Pfizer Inc., is approved under accelerated approval as a hemoglobin polymerization inhibitor to increase hemoglobin. Crizanlizumab, a fully-human monoclonal antibody p-selectin inhibitor marketed by Novartis, is approved for the reduction in the frequency of VOCs. L-glutamine, brand name ENDARI, marketed by Emmaus Life Sciences, Inc., is approved to reduce acute complications of the disorder.</w:t>
      </w:r>
    </w:p>
    <w:p>
      <w:pPr>
        <w:spacing w:after="0" w:line="8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A supportive care option for management of SCD is red blood cell transfusion but this can potentially be complicated by alloimmunization, transfusion reactions, and iron overload.</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only potentially curative treatment currently approved for severe SCD populations is HSCT. However, HSCT is more commonly offered to pediatric individuals with an available HLA-matched sibling donor. The 5-year survival rates in this young population is quite high but for older individuals (&gt;16 years), the survival rates can be considerably lower. There are also significant risks associated with HSCT including infertility and graft-versus-host disease.</w:t>
      </w:r>
    </w:p>
    <w:p>
      <w:pPr>
        <w:spacing w:after="0" w:line="7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FTX-6058 could face competition from a number of different therapeutic approaches in development for people with SCD. Novo Nordisk A/S, or Novo, is evaluating nDec (decitabine-tetrahydrouridine), a small molecule designed to increase production of HbF, in a Phase 2 clinical trial that began enrolling in the summer of 2022. Novo is also evaluating etavopivat,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ind w:right="20"/>
        <w:spacing w:after="0" w:line="253" w:lineRule="auto"/>
        <w:rPr>
          <w:sz w:val="20"/>
          <w:szCs w:val="20"/>
          <w:color w:val="auto"/>
        </w:rPr>
      </w:pPr>
      <w:r>
        <w:rPr>
          <w:rFonts w:ascii="Times New Roman" w:cs="Times New Roman" w:eastAsia="Times New Roman" w:hAnsi="Times New Roman"/>
          <w:sz w:val="18"/>
          <w:szCs w:val="18"/>
          <w:color w:val="auto"/>
        </w:rPr>
        <w:t>a PKR agonist, in a Phase 2/3 clinical trial. Agios Pharmaceuticals, Inc., is evaluating mitapivat, a PKR agonist, in a Phase 2/3 clinical trial in subjects with SCD. Pfizer, Inc. is evaluating GBT-601, an HbS polymerization inhibitor, that is anticipated to initiate a Phase 3 clinical trial in 2023, inclacumab, a P-selectin inhibitor that is being evaluated in two Phase 3 clinical trials, and PF-07209326, an anti-E-selectin inhibitor, in a Phase 1 clinical trial. Takeda Pharmaceutical Company Limited, is evaluating TAK-755, recombinant ADAMTS13 protein, in a Phase 1 clinical trial in participants with baseline health SCD and SCD with acute VOCs. Vertex Pharmaceuticals Incorporated, or Vertex, expects to complete a rolling BLA submission in the first quarter of 2023 for exagamglogene autotemcel (exa-cel), a gene therapy for the potential treatment of SCD. Vertex has announced that they intend to focus initial commercialization efforts on 32,000 people with severe SCD and ß-thalassemia in the United States and the EU. Sangamo Therapeutics Inc., or Sangamo, is developing SAR445136, a gene editing cell therapy that modifies cells to produce functional RBCs using HbF, in a Phase 1/2 clinical trial. bluebird is evaluating lovo-cel, a gene therapy, in a Phase 3 clinical trial and expects to submit a BLA in the first quarter of 2023. There are also several other gene editing approaches being evaluated by Intellia Therapeutics, Inc. (in collaboration with Novartis), Editas Medicine, Inc., Graphite Bio, and Beam Therapeutics.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ß-thalassemia</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current standard of care for many patients with transfusion dependent ß-thalassemia is frequent red blood transfusions to manage anemia. These frequent transfusions may lead to complications of iron overload, which has to be treated with iron chelation therapies. While allogeneic HSCT is a potentially curative treatment for ß-thalassemia, usage of this intervention is limited due to risks of complications, including mortality, and challenges of identifying a HLA-matched sibling. In June 2019, European Commission granted conditional marketing authorization for ZYNTEGLO, a gene therapy developed by bluebird, for the treatment of adult and adolescent patients with transfusion-dependent ß-thalassemia and with certain genotypes, in Europe. However, in August 2021, bluebird announced plans to end commercial operations in Europe and has decided to focus on the U.S. market. ZYNTEGLO was approved by the FDA in August 2022 for the treatment of adult and pediatric patients with beta-thalassemia who require regular red blood cell transfusions. Reblozyl (luspatercept), an erythroid maturation agent, is approved for the treatment of adult patients with anemia associated with ß-thalassemia and who require frequent transfusions. Despite these recently approved gene therapies and small molecule, we believe there is still a high unmet need that could be addressed by a small molecule, oral therapy to treatment the disease by increasing HbF.</w:t>
      </w:r>
    </w:p>
    <w:p>
      <w:pPr>
        <w:spacing w:after="0" w:line="8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FTX-6058 could face competition from a number of different therapeutic approaches in development for patients with transfusion-dependent ß-thalassemia. Agios Pharmaceuticals, Inc., is evaluating mitapivat, a PKR agonist, in two Phase 3 clinical trials in patients with non-transfusion dependent and transfusion-dependent ß-thalassemia. Novo is evaluating etavopivat , a PKR agonist, in a Phase 2 clinical trial in non-transfusion and transfusion-dependent ß-thalassemia. Ionis Pharmaceuticals, Inc., is evaluating sapablursen (formerly IONIS TMPRSS6-LRx), an ASO therapy targeting TMPRSS6, in a Phase 2 clinical trial of non-transfusion dependent β-thalassemia intermedia. Disc Medicine is developing MWTX-003, a monoclonal antibody against TMPRSS6 and plans to initiate a Phase 1 clinical trial in the second half of 2023. Silence Therapeutics is investigating SLN124, an siRNA therapy targeting TMPRSS6, in a Phase 1 healthy volunteer study. Vertex expects to complete a rolling BLA submission in the first quarter of 2023 for exagamglogene autotemcel (exa-cel), a gene therapy for the potential treatment of transfusion dependent ß-thalassemia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and Regulation of Drugs in the United States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drug products are regulated under the Federal Food, Drug and Cosmetic Act, or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An applicant seeking approval to market and distribute a new drug in the United States generally must satisfactorily complete each of the following steps before the product candidate will be approved by the FDA:</w:t>
      </w:r>
    </w:p>
    <w:p>
      <w:pPr>
        <w:spacing w:after="0" w:line="54" w:lineRule="exact"/>
        <w:rPr>
          <w:sz w:val="20"/>
          <w:szCs w:val="20"/>
          <w:color w:val="auto"/>
        </w:rPr>
      </w:pPr>
    </w:p>
    <w:p>
      <w:pPr>
        <w:ind w:left="900" w:right="200" w:hanging="368"/>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including laboratory tests, animal studies and formulation studies, which must be performed in accordance with the FDA’s GLP regulations and standards;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for human clinical testing,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900" w:right="140" w:hanging="368"/>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53" w:lineRule="exact"/>
        <w:rPr>
          <w:rFonts w:ascii="Times New Roman" w:cs="Times New Roman" w:eastAsia="Times New Roman" w:hAnsi="Times New Roman"/>
          <w:sz w:val="18"/>
          <w:szCs w:val="18"/>
          <w:color w:val="auto"/>
        </w:rPr>
      </w:pPr>
    </w:p>
    <w:p>
      <w:pPr>
        <w:ind w:left="900" w:right="540" w:hanging="368"/>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new drug application, or NDA, for a drug product which includes not only the results of the clinical trials, but also, detailed information on the chemistry, manufacture and quality controls for the product candidate and proposed labelling for one or more proposed indication(s);</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where appropriate or if applicable;</w:t>
      </w:r>
    </w:p>
    <w:p>
      <w:pPr>
        <w:spacing w:after="0" w:line="117" w:lineRule="exact"/>
        <w:rPr>
          <w:rFonts w:ascii="Times New Roman" w:cs="Times New Roman" w:eastAsia="Times New Roman" w:hAnsi="Times New Roman"/>
          <w:sz w:val="18"/>
          <w:szCs w:val="18"/>
          <w:color w:val="auto"/>
        </w:rPr>
      </w:pPr>
    </w:p>
    <w:p>
      <w:pPr>
        <w:jc w:val="both"/>
        <w:ind w:left="900" w:right="220" w:hanging="368"/>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including those of third parties, at which the product candidate or components thereof are manufactured to assess compliance with current good manufacturing practices, or cGMP, requirements and to assure that the facilities, methods and controls are adequate to preserve the product’s identity, strength, quality and purity;</w:t>
      </w:r>
    </w:p>
    <w:p>
      <w:pPr>
        <w:spacing w:after="0" w:line="67"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non-clinical and clinical trial sites to assure compliance with GCP and the integrity of clinical data in support of the NDA;</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 securing FDA approval of the NDA to allow marketing of the new drug product; and</w:t>
      </w:r>
    </w:p>
    <w:p>
      <w:pPr>
        <w:spacing w:after="0" w:line="117" w:lineRule="exact"/>
        <w:rPr>
          <w:rFonts w:ascii="Times New Roman" w:cs="Times New Roman" w:eastAsia="Times New Roman" w:hAnsi="Times New Roman"/>
          <w:sz w:val="18"/>
          <w:szCs w:val="18"/>
          <w:color w:val="auto"/>
        </w:rPr>
      </w:pPr>
    </w:p>
    <w:p>
      <w:pPr>
        <w:ind w:left="900" w:right="80" w:hanging="368"/>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Before an applicant begins testing a product candidate with potential therapeutic value in humans, the product candidate enters the preclinical testing stage,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safety and activity of the drug for initial testing in humans and to establish a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and long-term toxicity studies may continue after the IND is submitted.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IND and IRB Processes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spacing w:after="0" w:line="7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among other things, whether human research subjects will be exposed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unreasonable health risks. At any time during this 30-day period, the FDA may raise concerns or questions about the conduct of the trials as outlined in the IND and impose a clinical hold or partial clinical hold. In these cases, the IND sponsor and the FDA must resolve any outstanding concerns before clinical trials can begin.</w:t>
      </w:r>
    </w:p>
    <w:p>
      <w:pPr>
        <w:spacing w:after="0" w:line="68"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Following commencement of a clinical trial under an IND, the FDA may also place a clinical hold or partial clinical hold on that trial. Clinical holds are imposed by the FDA whenever there is concern for patient safety and may be a result of new data, findings, or developments in clinical, nonclinical, and/or chemistry, manufacturing, and controls areas.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may not be allowed to proceed, while other protocols may be allowed. No more than 30 days after imposition of a clinical hold or partial clinical hold, the FDA will provide the sponsor a written explanation of the basis for the hold. Following issuance of a clinical hold or partial clinical hold, a clinical trial may only resume after the FDA has so notified the sponsor. The FDA will base that determination on information provided by the sponsor correcting the deficiencies previously cited or otherwise satisfying the FDA that the clinical trial can proceed.</w:t>
      </w:r>
    </w:p>
    <w:p>
      <w:pPr>
        <w:spacing w:after="0" w:line="6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including GCP requirements, of the FDA in order to use the study as support for an IND or application for marketing approval. The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the protocol, or other requirements or if the product candidate has been associated with unexpected serious harm to patients.</w:t>
      </w:r>
    </w:p>
    <w:p>
      <w:pPr>
        <w:spacing w:after="0" w:line="79"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Suspension or termination of development during any phase of clinical trials can occur for many reasons, including if the FDA, an IRB, a data safety monitoring board, or we determine that the participants or patients are being exposed to an unacceptable health risk. Other reasons for suspension or termination may be made by us based on factors such as evolving business objectives and/or the competitive environment.</w:t>
      </w:r>
    </w:p>
    <w:p>
      <w:pPr>
        <w:spacing w:after="0" w:line="6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Information about clinical trials must be submitted within specific timeframes to the NIH for public dissemination on its ClinicalTrials.gov website. Similar requirements for posting clinical trial information are present in the European Union (EudraCT) website: https://eudract.ema.europa.eu/ and other countries, as well.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Expanded Access to an Investigational Drug for Treatment Use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new drug products outside of registrational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that do not conflict with registrational trials.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ind w:firstLine="509"/>
        <w:spacing w:after="0" w:line="256"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the FDA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7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There is no obligation for a sponsor to make its drug products available for expanded access; however, sponsor must make its expanded access policy publicly available upon the earlier of initiation of a Phase 2 or Phase 3 clinical trial; or 15 days after the drug or biologic receives designation as a breakthrough therapy, fast track product, or regenerative medicine advanced therapy.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an NDA</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but the phases may overlap or be combined. Additional studies may also be required after approval.</w:t>
      </w:r>
    </w:p>
    <w:p>
      <w:pPr>
        <w:spacing w:after="0" w:line="5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pharmacodynamics in healthy humans or in patients. During Phase 1 clinical trials, information about the investigational drug product’s PK and pharmacological effects may be obtained to permit the design of scientifically valid Phase 2 clinical trials.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 effects and safety risks,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proceed if the Phase 2 clinical trials demonstrate that a dose range of the product candidate is potentially effective and has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that is designed to deliver the data that regulatory authorities will use to decide whether or not to approve, and, if approved, how to appropriately label a drug, is referred to as “pivotal.”</w:t>
      </w:r>
    </w:p>
    <w:p>
      <w:pPr>
        <w:spacing w:after="0" w:line="7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IND annual reports detailing, among other things, the results of the clinical trials must be submitted to the FDA and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75" w:lineRule="exact"/>
        <w:rPr>
          <w:sz w:val="20"/>
          <w:szCs w:val="20"/>
          <w:color w:val="auto"/>
        </w:rPr>
      </w:pPr>
    </w:p>
    <w:p>
      <w:pPr>
        <w:ind w:right="120" w:firstLine="509"/>
        <w:spacing w:after="0" w:line="277" w:lineRule="auto"/>
        <w:rPr>
          <w:sz w:val="20"/>
          <w:szCs w:val="20"/>
          <w:color w:val="auto"/>
        </w:rPr>
      </w:pPr>
      <w:r>
        <w:rPr>
          <w:rFonts w:ascii="Times New Roman" w:cs="Times New Roman" w:eastAsia="Times New Roman" w:hAnsi="Times New Roman"/>
          <w:sz w:val="17"/>
          <w:szCs w:val="17"/>
          <w:color w:val="auto"/>
        </w:rPr>
        <w:t>Concurrent with clinical trials, companies often complete additional animal studies. They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of 2003, or PREA,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that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grant full or partial waivers from the pediatric data requirements. The FDA maintains a list of diseases that are exempt from the requirements of PREA, due to low prevalence of disease in the pediatric population, and product candidates that have received orphan drug designation are generally exempt from PREA requirements, although orphan-designated drugs intended for treatment of certain molecularly targeted cancer indications are not eligible for the exemption.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Review and Approval of an NDA</w:t>
      </w:r>
    </w:p>
    <w:p>
      <w:pPr>
        <w:spacing w:after="0" w:line="11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In order to obtain approval to market a drug product in the United States, a marketing application must be submitted to the FDA that provides sufficient data establishing the safety and effectiveness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8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NDA is a vehicle through which applicants formally propose that the FDA approve a new drug product for marketing and sale in the United States for one or more indications. Every new non-biologic drug product candidate must be the subject of an approved NDA before it may be commercialized in the United States. BLAs are submitted for approval of biologic products. Under federal law, the submission of most NDAs is subject to an application user fee, which for federal fiscal year 2023 is $3,242,026 for an application requiring clinical data. The sponsor of an approved NDA is also subject to an annual program fee, which for fiscal year 2023 is $393,933. Certain exceptions and waivers are available for some of these fees, such as an exception from the application fee for products with orphan designation, an exception from the program fee when the program does not engage in manufacturing the drug during a particular fiscal year and a waiver for certain small businesses.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FDA conducts a preliminary review of the application, generally within 60 calendar days of its receipt, and strives to inform the sponsor within 74 days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Under certain circumstances, the FDA may determine the application is not sufficiently complete to permit a substantive review and will issue a refuse to file letter. 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ten months from the date on which the FDA accepts the application for filing, and 90% of applications for NMEs that have been designated for Priority Review are meant to be reviewed within six months of the filing date. The review process and the Prescription Drug User Fee Act, or PDUFA, goal date may be extended by the FDA to consider new information or clarification provided by the applicant, to address a deficiency identified by the FDA in the original submission, or for other reasons.</w:t>
      </w:r>
    </w:p>
    <w:p>
      <w:pPr>
        <w:spacing w:after="0" w:line="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Before approving an application, the FDA typically will inspect the facility or facilities where the product is being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37" w:name="page38"/>
    <w:bookmarkEnd w:id="37"/>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product to an advisory committee or explain why such referral was not made. Typically, an advisory committee is a panel of independent experts, including clinicians and other scientific experts, that review, evaluate and provide a recommendation as to whether the application should be approved and under what conditions. The FDA is not bound by the recommendations of an advisory committee, but the FDA considers such recommendations carefully when making decisions.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Track, Breakthrough Therapy, Priority Review</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FDA has certain programs designed to expedite the development and review of product candidates intended to address an unmet medical need in the treatment of a serious or life-threatening disease or condition. These programs include Fast Track designation, Breakthrough Therapy designation, Priority Review designation and Regenerative Medicine Advanced Therapy designation. Sponsors must request these designations at appropriate points in the development process.</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 with the FDA, and the FDA may initiate review of sections of a Fast Track product’s application before the application is complete, in a process called rolling review. The sponsor must also provide, and the FDA must approve, a schedule for the submission of the remaining information, and the sponsor must pay applicable user fees. However, the FDA’s PDUFA goal for reviewing a Fast Track application does not begin until the last section of the application is submitted. In addition, the Fast Track designation may be withdrawn if the FDA believes that the designation is no longer supported by data emerging in the clinical trial process or for the other reasons.</w:t>
      </w:r>
    </w:p>
    <w:p>
      <w:pPr>
        <w:spacing w:after="0" w:line="8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A product that receives Breakthrough Therapy Designation is eligible for all of the features of Fast Track Designation, and additionally is eligible for intensive guidance throughout the development process and a commitment to involve senior staff.</w:t>
      </w:r>
    </w:p>
    <w:p>
      <w:pPr>
        <w:spacing w:after="0" w:line="7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FDA may designate a product for Priority Review if it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Approval Pathway</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based on epidemiologic, therapeutic, pathophysiologic, or other evidence,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efficacy biomarker or other measure that is thought to predict clinical benefit but is not itself a measure of clinical benefit. Surrogate endpoints can often be measured more easily or more rapidly than clinical endpoints.</w:t>
      </w:r>
    </w:p>
    <w:p>
      <w:pPr>
        <w:spacing w:after="0" w:line="6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accelerated approval pathway is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Under the Food and Drug Omnibus Reform Act of 2022, or FDORA, the FDA is now permitted to require, as appropriate, that such trials be underway prior to approval or within a specific time period after the date accelerated approval is granted. Under FDORA, the FDA has increased authority for expedited procedures to withdraw approval of the product if, for example, the confirmatory trial fails to verify the predicted clinical benefit of the product. In addition, the FDA generally requires, unless otherwise informed by the agency, pre-approval of promotional materials, which could adversely impact the timing of the commercial launch of the product.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FDA’s Decision on an NDA</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Risk Evaluation and Mitigation Strategies (REMS), to help ensure that the benefits of the product outweigh the potential risks. REMS programs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or after approval if it becomes aware of a serious risk associated with use of the product. The requirement for a REMS can materially affect the potential market and profitability of a product. After approval, many types of changes to the approved product, such as adding new indications, changing manufacturing processes and adding labeling claims, are subject to further testing requirements and FDA review and approval.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sponsor that obtains regulatory approval for marketing of a new product or a new indication for an existing product, will be subject to numerous post-approval regulatory requirements. The sponsor will be required to report, among other things, certain adverse reactions and manufacturing problems to the FDA, provide updated safety and efficacy information, comply with requirements concerning advertising and promotional labeling requirements, and submit NDA annual reports. Manufacturers and certain of their subcontractors, including those supplying products, ingredients and components,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being implemented. Accordingly, the sponsor and its third-party manufacturers must continue to expend time, money and effort to maintain compliance with cGMP regulations and other regulatory requirements.</w:t>
      </w:r>
    </w:p>
    <w:p>
      <w:pPr>
        <w:spacing w:after="0" w:line="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may result in revisions to the approved labeling to add new safety information, requirements for post-market studies or clinical trials to assess safety risks; or imposition of distribution or other restrictions under a REMS program. Other potential consequences may include:</w:t>
      </w:r>
    </w:p>
    <w:p>
      <w:pPr>
        <w:spacing w:after="0" w:line="72" w:lineRule="exact"/>
        <w:rPr>
          <w:sz w:val="20"/>
          <w:szCs w:val="20"/>
          <w:color w:val="auto"/>
        </w:rPr>
      </w:pPr>
    </w:p>
    <w:p>
      <w:pPr>
        <w:ind w:left="900" w:hanging="368"/>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9" w:name="page40"/>
    <w:bookmarkEnd w:id="39"/>
    <w:p>
      <w:pPr>
        <w:ind w:left="900" w:right="220" w:hanging="368"/>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conditions, for a manufacturer to engage in nonpromotional, non-misleading communication regarding off-label information, such as distributing scientific or medical journal information.</w:t>
      </w:r>
    </w:p>
    <w:p>
      <w:pPr>
        <w:spacing w:after="0" w:line="80"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administrative and judicial enforcement by the FDA, the Department of Justice, or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manufacturers and other parties involved in the drug supply chain for prescription drug products must comply with product tracking and tracing requirements and for notify the FDA of counterfeit, diverted, stolen and intentionally adulterated products or products that are otherwise unfit for distribution in the United States.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505(b)(2) NDAs</w:t>
      </w:r>
    </w:p>
    <w:p>
      <w:pPr>
        <w:spacing w:after="0" w:line="11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or literature for a previously approved drug product, also known as a listed drug. Specifically, Section 505(b)(2) applies to NDAs for which certain investigations made to show whether or not the drug is safe and effective “were not conducted by or for the applicant and for which the applicant has not obtained a right of reference or use from the person by or for whom the investigations were conducted.”</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NDAs filed under Section 505(b)(2)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listed drug has been approved, subject to any regulatory exclusivities or patents for the listed drug (as further described below), as well as for any new indication or use sought by the Section 505(b)(2) applicant.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Abbreviated New Drug Applications for Generic Drugs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known as the reference listed drugs, or RLDs. Abbreviated new drug applications, or ANDAs, generally do not include preclinical and clinical data to demonstrate safety and effectiveness. Instead, the applicant must provide information and data showing that its proposed generic version is identical to the RLD with respect to the active ingredients, route of administration, dosage form, strength and conditions of use of the drug. The FDA must also determine whether the generic drug is bioequivalent to the RLD. Under the statute, a generic drug is bioequivalent to a RLD if “the rate and extent of absorption of the drug do not show a significant difference from the rate and extent of absorption of the listed drug.” Upon approval of an ANDA, the FDA indicates whether the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0" w:name="page41"/>
    <w:bookmarkEnd w:id="40"/>
    <w:p>
      <w:pPr>
        <w:ind w:right="140"/>
        <w:spacing w:after="0" w:line="266" w:lineRule="auto"/>
        <w:rPr>
          <w:sz w:val="20"/>
          <w:szCs w:val="20"/>
          <w:color w:val="auto"/>
        </w:rPr>
      </w:pPr>
      <w:r>
        <w:rPr>
          <w:rFonts w:ascii="Times New Roman" w:cs="Times New Roman" w:eastAsia="Times New Roman" w:hAnsi="Times New Roman"/>
          <w:sz w:val="18"/>
          <w:szCs w:val="18"/>
          <w:color w:val="auto"/>
        </w:rPr>
        <w:t>generic product is “therapeutically equivalent” to the RLD in its publication “Approved Drug Products with Therapeutic Equivalence Evaluations,” also referred to as the “Orange Book.” Depending on state laws, generic drugs that are found to be therapeutically equivalent may be automatically substituted for prescriptions for the RLD by the dispensing pharmacist, without the intervention of the prescriber.</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30-Month Stay</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w:t>
      </w:r>
    </w:p>
    <w:p>
      <w:pPr>
        <w:spacing w:after="0" w:line="3" w:lineRule="exact"/>
        <w:rPr>
          <w:sz w:val="20"/>
          <w:szCs w:val="20"/>
          <w:color w:val="auto"/>
        </w:rPr>
      </w:pPr>
    </w:p>
    <w:p>
      <w:pPr>
        <w:ind w:right="520" w:firstLine="8"/>
        <w:spacing w:after="0" w:line="26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applicant is relying on studies conducted for an already approved product, the applicant is required to certify to the FDA concerning any relevant patents listed for the approved product in the Orange Book in the same manner as an ANDA applicant.</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Specifically, the applicant must certify with respect to each patent that:</w:t>
      </w:r>
    </w:p>
    <w:p>
      <w:pPr>
        <w:spacing w:after="0" w:line="117" w:lineRule="exact"/>
        <w:rPr>
          <w:sz w:val="20"/>
          <w:szCs w:val="20"/>
          <w:color w:val="auto"/>
        </w:rPr>
      </w:pPr>
    </w:p>
    <w:p>
      <w:pPr>
        <w:ind w:left="900" w:hanging="3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the application will not be approved until all the listed patents claiming the referenced product have expired (other than method of use patents involving indications for which the applicant is not seeking approval).</w:t>
      </w:r>
    </w:p>
    <w:p>
      <w:pPr>
        <w:spacing w:after="0" w:line="68"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the ANDA or Section 505(b)(2) NDA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notice. The filing of a patent infringement lawsuit within 45 days after the receipt of a Paragraph IV certification automatically prevents the FDA from approving the ANDA or 505(b)(2) application until the earlier of 30 months after the receipt of the Paragraph IV notice, the expiration of the patent, or a decision in the infringement case that is favorable to the ANDA applicant.</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a result, approval of a Section 505(b)(2) NDA or ANDA may be delayed until all the listed patents claiming the referenced product have expired, until any non-patent exclusivity, such as exclusivity for obtaining approval of a new chemical entity, listed in the Orange Book for the referenced product has expired, or, in the case of a Paragraph IV certification and subsequent patent infringement suit, until the earlier of 30 months, settlement of the lawsuit or a decision in the infringement case that is favorable to the applicant.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Exclusivity</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six months of marketing protection to the term of an existing regulatory exclusivity or certain patents.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If a product with orphan designation receives the first FDA approval for the disease or condition for which it has such designation or for an indication or use within the rare disease or condition for which it was designated, the product generally will receive orphan drug exclusivity. Orphan drug exclusivity means that the FDA may not approve another sponsor’s marketing application for the same drug for the same condition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spacing w:after="0" w:line="7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Orphan drug exclusivity also may not bar approval of another product under certain specified circumstances, including if a subsequent product with the same drug for the same condition is shown to be clinically superior to the approved product on the basis of greater efficacy or safety, or providing a major contribution to patient care, or if the company with orphan drug exclusivity is not able to meet market demand.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Act, which permits a patent restoration of up to five years for patent term lost during the FDA regulatory review. The restoration period granted on a patent covering a product is typically one-half the time between the effective date of an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Care Law and Regulation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72" w:lineRule="exact"/>
        <w:rPr>
          <w:sz w:val="20"/>
          <w:szCs w:val="20"/>
          <w:color w:val="auto"/>
        </w:rPr>
      </w:pPr>
    </w:p>
    <w:p>
      <w:pPr>
        <w:ind w:left="900" w:right="80" w:hanging="368"/>
        <w:spacing w:after="0" w:line="261"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71" w:lineRule="exact"/>
        <w:rPr>
          <w:rFonts w:ascii="Times New Roman" w:cs="Times New Roman" w:eastAsia="Times New Roman" w:hAnsi="Times New Roman"/>
          <w:sz w:val="18"/>
          <w:szCs w:val="18"/>
          <w:color w:val="auto"/>
        </w:rPr>
      </w:pPr>
    </w:p>
    <w:p>
      <w:pPr>
        <w:ind w:left="900" w:right="360" w:hanging="368"/>
        <w:spacing w:after="0" w:line="261"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900" w:right="600" w:hanging="368"/>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laws that prohibit, among other things, knowingly and willfully executing, or attempting to</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42" w:name="page43"/>
    <w:bookmarkEnd w:id="42"/>
    <w:p>
      <w:pPr>
        <w:ind w:left="900"/>
        <w:spacing w:after="0"/>
        <w:rPr>
          <w:sz w:val="20"/>
          <w:szCs w:val="20"/>
          <w:color w:val="auto"/>
        </w:rPr>
      </w:pPr>
      <w:r>
        <w:rPr>
          <w:rFonts w:ascii="Times New Roman" w:cs="Times New Roman" w:eastAsia="Times New Roman" w:hAnsi="Times New Roman"/>
          <w:sz w:val="18"/>
          <w:szCs w:val="18"/>
          <w:color w:val="auto"/>
        </w:rPr>
        <w:t>execute, a scheme to defraud any health care benefit program or making false statements relating to health care matters;</w:t>
      </w:r>
    </w:p>
    <w:p>
      <w:pPr>
        <w:spacing w:after="0" w:line="117" w:lineRule="exact"/>
        <w:rPr>
          <w:sz w:val="20"/>
          <w:szCs w:val="20"/>
          <w:color w:val="auto"/>
        </w:rPr>
      </w:pPr>
    </w:p>
    <w:p>
      <w:pPr>
        <w:ind w:left="900" w:right="180" w:hanging="368"/>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67"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53" w:lineRule="exact"/>
        <w:rPr>
          <w:rFonts w:ascii="Times New Roman" w:cs="Times New Roman" w:eastAsia="Times New Roman" w:hAnsi="Times New Roman"/>
          <w:sz w:val="18"/>
          <w:szCs w:val="18"/>
          <w:color w:val="auto"/>
        </w:rPr>
      </w:pPr>
    </w:p>
    <w:p>
      <w:pPr>
        <w:jc w:val="both"/>
        <w:ind w:left="900" w:right="360" w:hanging="368"/>
        <w:spacing w:after="0" w:line="312" w:lineRule="auto"/>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31" w:lineRule="exact"/>
        <w:rPr>
          <w:rFonts w:ascii="Times New Roman" w:cs="Times New Roman" w:eastAsia="Times New Roman" w:hAnsi="Times New Roman"/>
          <w:sz w:val="17"/>
          <w:szCs w:val="17"/>
          <w:color w:val="auto"/>
        </w:rPr>
      </w:pPr>
    </w:p>
    <w:p>
      <w:pPr>
        <w:ind w:left="900" w:right="160" w:hanging="368"/>
        <w:spacing w:after="0" w:line="25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Patient Protection and Affordable Care Act, as amended by the Health Care Education Reconciliation Act, or the ACA,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certain other licensed healthcare practitioners and teaching hospitals, as well as ownership and investment interests held by physicians and their immediate family members;</w:t>
      </w:r>
    </w:p>
    <w:p>
      <w:pPr>
        <w:spacing w:after="0" w:line="79" w:lineRule="exact"/>
        <w:rPr>
          <w:rFonts w:ascii="Times New Roman" w:cs="Times New Roman" w:eastAsia="Times New Roman" w:hAnsi="Times New Roman"/>
          <w:sz w:val="18"/>
          <w:szCs w:val="18"/>
          <w:color w:val="auto"/>
        </w:rPr>
      </w:pPr>
    </w:p>
    <w:p>
      <w:pPr>
        <w:ind w:left="900" w:right="80" w:hanging="368"/>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w:t>
      </w:r>
    </w:p>
    <w:p>
      <w:pPr>
        <w:spacing w:after="0" w:line="53" w:lineRule="exact"/>
        <w:rPr>
          <w:rFonts w:ascii="Times New Roman" w:cs="Times New Roman" w:eastAsia="Times New Roman" w:hAnsi="Times New Roman"/>
          <w:sz w:val="18"/>
          <w:szCs w:val="18"/>
          <w:color w:val="auto"/>
        </w:rPr>
      </w:pPr>
    </w:p>
    <w:p>
      <w:pPr>
        <w:ind w:left="900" w:right="320" w:hanging="368"/>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900" w:right="260" w:hanging="368"/>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6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w:t>
      </w:r>
    </w:p>
    <w:p>
      <w:pPr>
        <w:spacing w:after="0" w:line="180"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State laws also govern the privacy and security of personal information, including health information. Many state laws differ from each other in significant ways, thus complicating compliance efforts. For example, the California Consumer Protection Act, or CCPA, establishes data privacy rights for individuals located in California and imposes certain requirements on how businesses can collect and use personal information about such individuals. The California Privacy Rights Act, or CPRA, which became effective on January 1, 2023, imposes additional obligations on companies covered by the legislation and significantly modifies the CCPA, including by expanding consumers’ rights with respect to certain sensitive personal information, and establishes a state agency vested with the authority to enforce the CCPA. The CCPA (as amended by the CPRA) has prompted the enactment of similar, comprehensive privacy and data protection legislation in other states. For example, in March 2021, Virginia enacted the Consumer Data Protection Act (or CDPA), which became effective on January 1, 2023. In July 2021, Colorado passed the Colorado Privacy Act (or CPA), which will become effective on July 1, 2023. Additionally, in March 2022, Utah enacted the Utah Consumer Privacy Act (or UCPA), which will become effective on December 31, 2023. Also, in May 2022, Connecticut signed the Connecticut Data Privacy Act (or CTDPA) into law, which will become effective on July 1, 2023. Furthermore, a number of other U.S. states have proposed similar privacy and data protection legislation, and it is possible that certain of these proposals will pass. Although many of the existing state privacy laws exempt clinical trial information and health information governed by HIPAA, future privacy and data protection laws may be broader in scope. Further, data privacy and security laws and regulations in foreign jurisdictions may impose additional obligations on the collection, use and other processing of personal information, which may be more stringent or different than those in the United States, such as the EU’s General Data Protection Regulation, or GDPR, and the United Kingdom’s implementation of the same.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Insurance Coverage and Health Care Reform</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86"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8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8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2010, the United States Congress enacted the ACA, which, among other things, included changes to the coverage and payment for drug products under government health care programs. Among the provisions of the ACA of importance to our potential product candidates are:</w:t>
      </w:r>
    </w:p>
    <w:p>
      <w:pPr>
        <w:spacing w:after="0" w:line="54" w:lineRule="exact"/>
        <w:rPr>
          <w:sz w:val="20"/>
          <w:szCs w:val="20"/>
          <w:color w:val="auto"/>
        </w:rPr>
      </w:pPr>
    </w:p>
    <w:p>
      <w:pPr>
        <w:ind w:left="900" w:right="80" w:hanging="368"/>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thereby potentially increasing a manufacturer’s Medicaid rebate liability;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117" w:lineRule="exact"/>
        <w:rPr>
          <w:rFonts w:ascii="Times New Roman" w:cs="Times New Roman" w:eastAsia="Times New Roman" w:hAnsi="Times New Roman"/>
          <w:sz w:val="18"/>
          <w:szCs w:val="18"/>
          <w:color w:val="auto"/>
        </w:rPr>
      </w:pPr>
    </w:p>
    <w:p>
      <w:pPr>
        <w:ind w:left="900" w:right="280" w:hanging="368"/>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and</w:t>
      </w:r>
    </w:p>
    <w:p>
      <w:pPr>
        <w:spacing w:after="0" w:line="67" w:lineRule="exact"/>
        <w:rPr>
          <w:rFonts w:ascii="Times New Roman" w:cs="Times New Roman" w:eastAsia="Times New Roman" w:hAnsi="Times New Roman"/>
          <w:sz w:val="18"/>
          <w:szCs w:val="18"/>
          <w:color w:val="auto"/>
        </w:rPr>
      </w:pPr>
    </w:p>
    <w:p>
      <w:pPr>
        <w:ind w:left="900" w:right="60" w:hanging="368"/>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The Budget Control Act of 2011, among other things, created measures for spending reductions by Congress. This includes aggregate reductions of Medicare payments to providers up to 2% per fiscal year. Subsequent legislation extended the 2% which remains in effect through 2030. The American Taxpayer Relief Act of 2012 further reduced Medicare payments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4" w:name="page45"/>
    <w:bookmarkEnd w:id="44"/>
    <w:p>
      <w:pPr>
        <w:ind w:right="80"/>
        <w:spacing w:after="0" w:line="266" w:lineRule="auto"/>
        <w:rPr>
          <w:sz w:val="20"/>
          <w:szCs w:val="20"/>
          <w:color w:val="auto"/>
        </w:rPr>
      </w:pPr>
      <w:r>
        <w:rPr>
          <w:rFonts w:ascii="Times New Roman" w:cs="Times New Roman" w:eastAsia="Times New Roman" w:hAnsi="Times New Roman"/>
          <w:sz w:val="18"/>
          <w:szCs w:val="18"/>
          <w:color w:val="auto"/>
        </w:rPr>
        <w:t>several types of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6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effects of the IRA on our business and the healthcare industry in general is not yet known.</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Medicinal Products in the European Union</w:t>
      </w:r>
    </w:p>
    <w:p>
      <w:pPr>
        <w:spacing w:after="0" w:line="121"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or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119"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8"/>
          <w:szCs w:val="18"/>
          <w:color w:val="auto"/>
        </w:rPr>
        <w:t>In April 2014, the EU adopted the new Clinical Trials Regulation, (EU) No 536/2014, which replaced the Clinical Trials Directive 2001/20/EC on January 31, 2022. The Clinical Trials Regulation is directly applicable in all EU Member States meaning no national implementing legislation in each EU Member State is required. The new Clinical Trials Regulation aims to simplify and streamline the approval of clinical trials in the EU. Under the new coordinated procedure for the approval of clinical trials, the sponsor of a clinical trial is required to submit a single application for approval of a clinical</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ind w:right="700"/>
        <w:spacing w:after="0" w:line="282" w:lineRule="auto"/>
        <w:rPr>
          <w:sz w:val="20"/>
          <w:szCs w:val="20"/>
          <w:color w:val="auto"/>
        </w:rPr>
      </w:pPr>
      <w:r>
        <w:rPr>
          <w:rFonts w:ascii="Times New Roman" w:cs="Times New Roman" w:eastAsia="Times New Roman" w:hAnsi="Times New Roman"/>
          <w:sz w:val="18"/>
          <w:szCs w:val="18"/>
          <w:color w:val="auto"/>
        </w:rPr>
        <w:t>trial to a reporting EU Member State through an EU Portal. The submission procedure is the same irrespective of whether the clinical trial is to be conducted in a single EU Member State or in more than one EU Member State.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Designation in the EU</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where the marketing authorization application will be made through the centralized procedure. Eligible products must target conditions for which there is an unmet medical need (there is no satisfactory method of diagnosis, prevention or treatment in the EU or, if there is, the new medicine will bring a major therapeutic advantage) and they must demonstrate the potential to address the unmet medical need.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EMA contact and rapporteur from the Committee for Human Medicinal Products, or CHMP, or Committee for Advanced Therapies, are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119"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 Regulation (EC) No 1901/2006 provides that prior to obtaining a marketing authorization in the EU, applicants have to demonstrate compliance with all measures included in an EMA-approved Pediatric investigation plan, or PIP, covering all subsets of the pediatric population, unless the EMA has granted (1) a product-specific waiver, (2) a class waiver or (3) a deferral for one or more of the measures included in the PIP.</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throughout the EU, and in the additional Member States of the European Economic Area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(gene-therapy, somatic cell-therapy or tissue-engineered medicines), and products with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We anticipate that the centralized procedure will be mandatory for the product candidates we are developing.</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evaluation might be granted by the CHMP in exceptional cases, when a medicinal product is expected to be of major interest from the point of view of public health and in particular from the viewpoint of therapeutic innovation. If the CHMP accepts such request, the time limit of 210 days will be reduced to 150 days, excluding clock stops, but it is possible that the CHMP can revert to the standard time limit for the centralized procedure if it considers that it is no longer appropriate to conduct an accelerated assessment.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6" w:name="page47"/>
    <w:bookmarkEnd w:id="46"/>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79" w:lineRule="exact"/>
        <w:rPr>
          <w:sz w:val="20"/>
          <w:szCs w:val="20"/>
          <w:color w:val="auto"/>
        </w:rPr>
      </w:pPr>
    </w:p>
    <w:p>
      <w:pPr>
        <w:ind w:left="900" w:right="300" w:hanging="368"/>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53" w:lineRule="exact"/>
        <w:rPr>
          <w:rFonts w:ascii="Times New Roman" w:cs="Times New Roman" w:eastAsia="Times New Roman" w:hAnsi="Times New Roman"/>
          <w:sz w:val="18"/>
          <w:szCs w:val="18"/>
          <w:color w:val="auto"/>
        </w:rPr>
      </w:pPr>
    </w:p>
    <w:p>
      <w:pPr>
        <w:ind w:left="900" w:right="340" w:hanging="368"/>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54"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6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intended for treating, preventing or diagnosing seriously debilitating or life-threatening diseases (including medicines designated as orphan medicinal products), if (i) the risk-benefit balance of the product candidate is positive, (ii) it is likely that the applicant will be in a position to provide the required comprehensive clinical trial data post-authorization,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 A conditional marketing authorization can be converted into a standard centralized marketing authorization (no longer subject to specific obligations) once the marketing authorization holder fulfils the obligations imposed and the complete data confirm that the medicine’s benefits continue to outweigh its risks.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EU medicines rules expressly permit the EU Member States to adopt national legislation prohibiting o©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72"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8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7" w:name="page48"/>
    <w:bookmarkEnd w:id="47"/>
    <w:p>
      <w:pPr>
        <w:ind w:right="300"/>
        <w:spacing w:after="0" w:line="282" w:lineRule="auto"/>
        <w:rPr>
          <w:sz w:val="20"/>
          <w:szCs w:val="20"/>
          <w:color w:val="auto"/>
        </w:rPr>
      </w:pPr>
      <w:r>
        <w:rPr>
          <w:rFonts w:ascii="Times New Roman" w:cs="Times New Roman" w:eastAsia="Times New Roman" w:hAnsi="Times New Roman"/>
          <w:sz w:val="18"/>
          <w:szCs w:val="18"/>
          <w:color w:val="auto"/>
        </w:rPr>
        <w:t>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11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or biosimilars of these innovative products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an additional two-year period of market exclusivity, a generic or biosimilar MAA can be submitted and authorized, and the innovator’s data may be referenced, but no generic or biosimilar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national competent authority decides, on justified grounds relating to pharmacovigilance, to proceed with one additional five-year renewal period. Any authorization which is not followed by the actual placing of the medicinal product on the EU market (in the case of the centralized procedure) or on the market of the authorizing EU Member State for a nationally authorized product within three years after authorization ceases to be valid (the so-called sunset clause).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Paediatric Studies and Exclusivity</w:t>
      </w:r>
    </w:p>
    <w:p>
      <w:pPr>
        <w:spacing w:after="0" w:line="11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Prior to obtaining a marketing authorization in the EU,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peopulationopulation are included in the product information, even when negative, the medicine is then eligible for an additional six-month period of qualifying patent protection through extension of the term of the Supplementary Protection Certificate or SPC, provided an application for such extension is made at the same time as filing the SPC application for the product, or at any point up to two years before the SPC expires, even where the trial results are negative.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Products receiving orphan designation in the EU can receive ten years of market exclusivity, during which time no “similar medicinal product” may be placed on the market. A “similar medicinal product” is defined as a medicinal product containing a similar active substance or substances as contained in an authorized orphan medicinal product, and which 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8" w:name="page49"/>
    <w:bookmarkEnd w:id="48"/>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intended for the same therapeutic indication. An orphan product can also obtain an additional two years of market exclusivity in the EU where an agreed pediatric investigation plan for pediatric studies has been complied with. No extension to any supplementary protection certificate can be granted on the basis of pediatric studies for orphan indications.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Regulation (EC) No. 141/2000, as implemented by Regulation (EC) No. 847/2000 provides that a drug can be designated as an orphan drug by the European Commission if its sponsor can establish: (1) that the product is intended for the diagnosis, prevention or treatment of a life-threatening or chronically debilitating condition; (2) either (a) such condition affects no more than five (5) in ten thousand (10,000) persons in the EU when the application is made, or (b) it is unlikely that the product, without the benefits derived from orphan status, would generate sufficient return in the EU to justify the necessary investment in its development; and (3)there exists no satisfactory method of diagnosis, prevention or treatment of such condition authorized for marketing in the EU or, if such method exists, the product will be of significant benefit to those affected by that condition. Orphan medicinal products are eligible for financial incentives such as reduction of fees or fee waivers. The application for orphan drug designation must be submitted before the application for marketing authorization. The applicant will receive a fee reduction for the MAA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Requirements After a Marketing Authorization has been Obtained</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54" w:lineRule="exact"/>
        <w:rPr>
          <w:sz w:val="20"/>
          <w:szCs w:val="20"/>
          <w:color w:val="auto"/>
        </w:rPr>
      </w:pPr>
    </w:p>
    <w:p>
      <w:pPr>
        <w:ind w:left="900" w:right="220" w:hanging="368"/>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EU’s stringent pharmacovigilance or safety reporting rules must be ensured. These rules can impose post-authorization studies and additional monitoring obligations.</w:t>
      </w:r>
    </w:p>
    <w:p>
      <w:pPr>
        <w:spacing w:after="0" w:line="53" w:lineRule="exact"/>
        <w:rPr>
          <w:rFonts w:ascii="Times New Roman" w:cs="Times New Roman" w:eastAsia="Times New Roman" w:hAnsi="Times New Roman"/>
          <w:sz w:val="18"/>
          <w:szCs w:val="18"/>
          <w:color w:val="auto"/>
        </w:rPr>
      </w:pPr>
    </w:p>
    <w:p>
      <w:pPr>
        <w:ind w:left="900" w:right="140" w:hanging="368"/>
        <w:spacing w:after="0" w:line="258"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75" w:lineRule="exact"/>
        <w:rPr>
          <w:rFonts w:ascii="Times New Roman" w:cs="Times New Roman" w:eastAsia="Times New Roman" w:hAnsi="Times New Roman"/>
          <w:sz w:val="18"/>
          <w:szCs w:val="18"/>
          <w:color w:val="auto"/>
        </w:rPr>
      </w:pPr>
    </w:p>
    <w:p>
      <w:pPr>
        <w:ind w:left="900" w:right="40" w:hanging="368"/>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marketing and promotion of authorized drugs, including industry-sponsored continuing medical education and advertising directed toward the prescribers of drugs and/or the general public, are strictly regulated in the EU. Direct-to-consumer advertising of prescription medicines is prohibited across the EU.</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or EEA, which consists of the EU Member States, plus Norway, Liechtenstein and Iceland.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Data Protection Regulation</w:t>
      </w:r>
    </w:p>
    <w:p>
      <w:pPr>
        <w:spacing w:after="0" w:line="11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EU, including personal health data, is subject to the EU GDPR, which became effective on May 25, 2018. Following the United Kingdom’s, or UK’s, withdrawal from the EU, or Brexit, the EU GDPR has been incorporated into UK laws, or UK GDPR (together with the EU GDPR,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ensuring certain accountability measures are in place and taking certain measures when engaging third-party processors. The GDPR also imposes strict rules on the transfer of personal data to countries outside the EU and the UK, including the United States, and permits data protection authorities to impose large penalties for violations of the GDPR, including potential fines of up to €20 million (£17.5 million) or 4% of annual global revenues, whichever is greater. The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9" w:name="page50"/>
    <w:bookmarkEnd w:id="49"/>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1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United Kingdom formally left the EU on January 31, 2020, and the EU and the United Kingdom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continues to apply in Northern Ireland). Except in respect of the new EU Clinical Trials Regulation, the regulatory regime in Great Britain therefore currently largely aligns with EU regulations, however it is possible that these regimes will diverge more significantly in future now that Great Britain’s regulatory system is independent from the EU and the TCA does not provide for mutual recognition of UK and EU pharmaceutical legislation.</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Despite Brexit, the EU and UK GDPR remain largely aligned. Currently, the most impactful point of divergence relates to transfer mechanisms (i.e., the ability for EU/UK companies to transfer personal information to third countries, including the United States), because it requires us to implement a variety of different contractual clauses approved by EU or UK regulators. There may be further divergence in the future, including with regard to administrative burdens. The UK has announced plans to reform the country’s data protection legal framework in its Data Reform Bill, which will introduce significant changes from the EU GDPR.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Decisions for Approved Products</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spacing w:after="0" w:line="8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arbitrage between low-priced and high-priced EU Member States, can further reduce prices.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products, if approved in those countries.</w:t>
      </w:r>
    </w:p>
    <w:p>
      <w:pPr>
        <w:spacing w:after="0" w:line="8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Mission &amp; Our Employees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launched with a bold vision to change the course of genetically defined diseases by treating them at their root cause. Our approach to drug discovery generates significant insights into disease biology and allows us to think creatively about the best way to modulate and balance gene expression. Our patient-focused product engine, FulcrumSeek, is designed to systematically identify and validate cellular drug targets that can modulate gene expression to treat the known root cause of genetically defined diseases. We take great pride in being purposeful patient partners who do this work, not just for patients, but with patients.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view our employees as one of our most valuable assets in serving our mission. We believe that our future success is dependent on attracting, motivating and retaining talented employees. We value the health and wellness of our employees and their families. We aim to create an equitable, inclusive and empowering work environment in which our employees can grow and advance their careers, with the overall goal of developing, expanding and retaining our workforce to support our current pipeline and future business goals. Our success also depends on our ability to attract, engage and retain a diverse group of employees.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Behaviors Support Our Mission</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believe success comes when we and our employees align with our mission to improve the lives of patients with genetically-defined rare diseases in areas of high unmet medical need. We are the FULcrew united around these Pillars:</w:t>
      </w:r>
    </w:p>
    <w:p>
      <w:pPr>
        <w:spacing w:after="0" w:line="54"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take great pride in being Purposeful Patient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culture of Trust and Transparency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Invested in our People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Playful spirit and have fun together at work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Fulcrum with a Bold Scientific Vision and remain committed to this journey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of Human Capital</w:t>
      </w:r>
    </w:p>
    <w:p>
      <w:pPr>
        <w:spacing w:after="0" w:line="121"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7"/>
          <w:szCs w:val="17"/>
          <w:color w:val="auto"/>
        </w:rPr>
        <w:t>To effectively leverage and manage our peoples, we ensure our hiring needs are directly aligned with our strategy, we invest in our people focused on their development and journey while at Fulcrum and most importantly we identify our key talent to ensure we are focused on their retention. We track and report internally on key talent metrics including a focus on overall headcount and by function, hiring metrics, career development (promotions, etc.), turnover trends, and employee demographics (including race, gender, ethnicity). Our senior executives use these metrics to make thoughtful decisions around our people including resource planning, recruitment and retention initiatives and design of compensation and benefits programs. We share these metrics quarterly with the senior executives and board of directors to assist it in fulfilling its duties to (a) establish our enterprise compensation philosophy,</w:t>
      </w:r>
    </w:p>
    <w:p>
      <w:pPr>
        <w:spacing w:after="0" w:line="5" w:lineRule="exact"/>
        <w:rPr>
          <w:sz w:val="20"/>
          <w:szCs w:val="20"/>
          <w:color w:val="auto"/>
        </w:rPr>
      </w:pPr>
    </w:p>
    <w:p>
      <w:pPr>
        <w:ind w:right="80" w:firstLine="8"/>
        <w:spacing w:after="0" w:line="260"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compensation plans, (c) evaluate the performance of our executive officers and key employees and (d) review and monitor management development and succession plans.</w:t>
      </w:r>
    </w:p>
    <w:p>
      <w:pPr>
        <w:spacing w:after="0" w:line="73"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March 2, 2023, we had 89 full-time employees, including a total of 36 employees with M.D. or Ph.D. degrees. Of these full-time employees, 52 employees are engaged in research and development. None of our employees are represented by labor unions or covered by collective bargaining agreements. We consider our relationship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Commitment to Diversity, Equity &amp; Inclusion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strongly believe in a diverse workplace where all our employees can thrive in an inclusive environment free from discrimination, harassment, bias and prejudice. We aim to treat all individuals with respect and dignity and to provide all our employees with equal opportunity and fair treatment based on merit. By embracing diversity and inclusion, we create an organization committed to working together to develop innovative solutions in support of our mission consistent with our values. We cultivate a culture and environment where different backgrounds and perspectives are not only respected and heard, but embraced and celebrated. Not only is a diverse, equitable and inclusive mindset and culture critical to an engaged and committed workplace, but it is also imperative to understanding and meeting the needs of the patients we seek to help with our medicines.</w:t>
      </w:r>
    </w:p>
    <w:p>
      <w:pPr>
        <w:spacing w:after="0" w:line="7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we grow and mature, we look forward to establishing programs/metrics that support diversity, equity, inclusion, and belonging. We will focus on continuing to bring more diversity talent to Fulcrum, creating an inclusive environment by creating awareness (speakers, etc.) and ensuring our underrepresent employees are provided the right career opportunities.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1" w:name="page52"/>
    <w:bookmarkEnd w:id="51"/>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March 2, 2023, women accounted for approximately 60% of our full-time employees. As of March 2, 2023, our employee records indicate that approximately 38% of our full-time U.S. employees identify as non-white.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Compensation &amp; Benefits</w:t>
      </w:r>
    </w:p>
    <w:p>
      <w:pPr>
        <w:spacing w:after="0" w:line="121" w:lineRule="exact"/>
        <w:rPr>
          <w:sz w:val="20"/>
          <w:szCs w:val="20"/>
          <w:color w:val="auto"/>
        </w:rPr>
      </w:pPr>
    </w:p>
    <w:p>
      <w:pPr>
        <w:ind w:right="80" w:firstLine="509"/>
        <w:spacing w:after="0" w:line="263" w:lineRule="auto"/>
        <w:rPr>
          <w:sz w:val="20"/>
          <w:szCs w:val="20"/>
          <w:color w:val="auto"/>
        </w:rPr>
      </w:pPr>
      <w:r>
        <w:rPr>
          <w:rFonts w:ascii="Times New Roman" w:cs="Times New Roman" w:eastAsia="Times New Roman" w:hAnsi="Times New Roman"/>
          <w:sz w:val="18"/>
          <w:szCs w:val="18"/>
          <w:color w:val="auto"/>
        </w:rPr>
        <w:t>Given the highly competitive nature of our industry and the importance of recruitment and retention to our success, we strive to furnish our employees with what we believe is a very competitive and comprehensive total rewards package of compensation, benefits and services. This package includes competitive compensation, including equity compensation, and comprehensive benefits program that provides resources to help employees manage their health and well-being, finances, and life outside of work (promoting flexibility), including health insurance and dental care, vision insurance, disability insurance, paid sick leave, paid family leave, matching contributions to a 401(k) plan, employee stock purchase plan, paid time off (inclusive of vacation, holidays, focus days) and employee assistance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Efforts to Address the COVID-19 Pandemic</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Employee safety and wellbeing is of paramount importance to us in any year and was of particular focus in 2021 in light of the ongoing COVID-19 pandemic. In response to the pandemic, we have supported our employees to curb the COVID-19 pandemic through safety and communication efforts and investments, which include:</w:t>
      </w:r>
    </w:p>
    <w:p>
      <w:pPr>
        <w:spacing w:after="0" w:line="68" w:lineRule="exact"/>
        <w:rPr>
          <w:sz w:val="20"/>
          <w:szCs w:val="20"/>
          <w:color w:val="auto"/>
        </w:rPr>
      </w:pPr>
    </w:p>
    <w:p>
      <w:pPr>
        <w:ind w:left="1020" w:right="5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 COVID-19 task force responsible for establishing COVID-19, safety protocols and regularly communicating updates to all employees;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density and increasing physical distancing in our facilities for employees working onsite using scheduling adjustments and flexibility;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Adhering to robust cleaning protocols;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on site testing;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and providing masks to all onsite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Proactively creating rigorous procedures to address actual and suspected COVID-19 cases and potential exposure;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nimble reacting real time with a sense of urgency to anything that came our way to support our employees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Additionally, from time to time we have instituted additional programs during the pandemic to support our employees. We leveraged our weekly company meeting to keep our employees connected on what was happening during the pandemic (managing expectations and listening to their needs) as well as making employee connections (fun breakouts in the spirit of building relationships/connections). We also provided a subsidy for home office set-up, flexibility to figure out work location/hours, and enhanced our employee assistance services (comprehensive mental health, work-life and management services).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26 Landsdowne Street, Cambridge, MA 02139, and our telephone number is 617-651-8851. Our internet website address is www.fulcrumtx.com. The information contained on, or that can be accessed through, our website is not a part of this Annual Report on Form 10-K.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i w:val="1"/>
          <w:i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Annual Report on Form 10-K for a discussion of some of the forward-looking statements that are qualified by these risk factors. Factors that could cause or contribute to such differences include those factors discussed below.</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51"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$109.9 million for the year ended December 31, 2022 and $80.8 million for the year ended December 31, 2021. As of December 31, 2022, we had an accumulated deficit of $412.3 million. To date, we have funded our operations primarily from the sale of shares of our capital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1" w:lineRule="exact"/>
        <w:rPr>
          <w:sz w:val="20"/>
          <w:szCs w:val="20"/>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losmapimod and seek to resolve the clinical hold on FTX-6058;</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through later stage trials, such as REACH, the Phase 3 clinical trial of losmapimod for the treatment of FSHD;</w:t>
      </w:r>
    </w:p>
    <w:p>
      <w:pPr>
        <w:spacing w:after="0" w:line="53"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w:t>
      </w:r>
    </w:p>
    <w:p>
      <w:pPr>
        <w:spacing w:after="0" w:line="11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affiliates of GSK, under our right of reference and license agreement with GSK upon the achievement of specified clinical or regulatory milestones;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81" w:lineRule="exact"/>
        <w:rPr>
          <w:sz w:val="20"/>
          <w:szCs w:val="20"/>
          <w:color w:val="auto"/>
        </w:rPr>
      </w:pPr>
    </w:p>
    <w:p>
      <w:pPr>
        <w:ind w:left="900" w:right="62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the FDA, the EMA, or other regulatory authorities to perform trials or studies in addition to, or different than, those expected (including as may be required to address the recent clinical hold on FTX-6058);</w:t>
      </w:r>
    </w:p>
    <w:p>
      <w:pPr>
        <w:spacing w:after="0" w:line="53"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completing our clinical trials or the development of any of our product candidates, such as the recent clinical hold imposed by FDA on the FTX-6058 IND; or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expect to devote substantial financial resources to our ongoing and planned activities, particularly as we continue our ongoing and planned clinical trials of losmapimod and FTX-6058,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Accordingly, we will need to obtain substantial additional funding in connection with our continuing operations. Given current uncertainty in the capital markets and other factors, such funding may not be available on terms favorable to us or at all. If we are unable to raise capital when needed or on acceptable terms, we could be forced to delay, reduce or eliminate our research and development programs or any future commercialization efforts.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jc w:val="both"/>
        <w:ind w:left="900" w:right="60" w:hanging="383"/>
        <w:spacing w:after="0" w:line="312" w:lineRule="auto"/>
        <w:tabs>
          <w:tab w:leader="none" w:pos="9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costs and results of our ongoing clinical trials of losmapimod, including REACH, the Phase 3 clinical trial of losmapimod for the treatment of FSHD, which enrolled its first patient in June 2022, and our ability to resolve the clinical hold on the Phase 1b trial of FTX-6058;</w:t>
      </w:r>
    </w:p>
    <w:p>
      <w:pPr>
        <w:spacing w:after="0" w:line="31"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planned clinical trials;</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active pharmaceutical ingredient, or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MyoKardia;</w:t>
      </w:r>
    </w:p>
    <w:p>
      <w:pPr>
        <w:spacing w:after="0" w:line="117"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4" w:name="page55"/>
    <w:bookmarkEnd w:id="54"/>
    <w:p>
      <w:pPr>
        <w:ind w:left="900" w:right="76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our business and operations;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2022, we had cash, cash equivalents, and marketable securities of approximately $202.9 million. We believe that our cash, cash equivalents, and marketable securities as of December 31, 2022, together with the net proceeds from our public offering completed in January 2023, will enable us to fund our operating expenses and capital expenditure requirements into mid-2025.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7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current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 We may also choose to further realign our operations to achieve additional operational efficiencies beyond our recently announced strategic realignment.</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in part on sales of our common stock through an at-the-market, or ATM, offering program. Increased volatility and decreases in market prices of equity securities generally and of our common stock in particular may have an adverse impact on our willingness and/or ability to continue to sell our common stock through our ATM offering program. Decreases in these sales could affect the cost or availability of equity capital, which could in turn have an adverse effect on our business, including current operations, future growth, revenues, net income and the market prices of our common stock.</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May 2022, we established a new ATM offering program to sell shares of our common stock having an aggregate offering price of up to $50.0 million from time to time. In January 2023, immediately prior to commencing our underwritten public offering of common stock, we suspended our use of and terminated the prospectus supplement related to the ATM offering program. We may not make any sales of securities pursuant to the ATM offering program unless and until we file a new prospectus supplement. However, given the overall volatility in the capital markets, even if a new prospectus supplement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55" w:name="page56"/>
    <w:bookmarkEnd w:id="55"/>
    <w:p>
      <w:pPr>
        <w:ind w:right="520"/>
        <w:spacing w:after="0" w:line="282" w:lineRule="auto"/>
        <w:rPr>
          <w:sz w:val="20"/>
          <w:szCs w:val="20"/>
          <w:color w:val="auto"/>
        </w:rPr>
      </w:pPr>
      <w:r>
        <w:rPr>
          <w:rFonts w:ascii="Times New Roman" w:cs="Times New Roman" w:eastAsia="Times New Roman" w:hAnsi="Times New Roman"/>
          <w:sz w:val="18"/>
          <w:szCs w:val="18"/>
          <w:color w:val="auto"/>
        </w:rPr>
        <w:t>is filed, we may not be willing or able to continue to raise equity capital through our ATM offering program. We may, therefore, need to turn to other sources of funding that may have terms that are not favorable to us, or reduce our business operations given capital constraints.</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our equity ownership in the subsidiary, which would adversely affect the rights of holders of both our equity securities and, if any, our debt and debt securities.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stockholders to evaluate the success of our business to date and to assess our future viability.</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commenced activities in 2015 and are a clinical-stage biotechnology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8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80"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was negatively impacted by the ongoing COVID-19 pandemic and may in the future be impacted by any future pandemics. In addition, this pandemic may continue to, and any future pandemics may, adversely impact economies worldwide, which could result in adverse effects on our business and operations.</w:t>
      </w:r>
    </w:p>
    <w:p>
      <w:pPr>
        <w:spacing w:after="0" w:line="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experienced enrollment delays in our ReDUX4 clinical trial due to the COVID-19 pandemic as the clinical trial sites for our ReDUX4 clinical trial temporarily postponed trial-related activities. We also saw temporary disruptions in other business activities due to a temporary reduction in workforce presence at our Cambridge research facility. Although our employees have returned to work, there are a number of vaccines available, and many restrictions have been lifted, there is still uncertainty about the overall impact of COVID-19 on our business, as well as its continuing impact on economies worldwide. Future pandemics may arise, and they, like COVID-19, could impact our company, our CMOs and contract research organizations, or CROs, creating disruptions that affect our ability to initiate and complete preclinical studies or clinical trials, disrupt our supply chain for our research and development activities, and disrupt any then planned or ongoing clinical trials for any number of reasons. Any future pandemics could similarly impact patient recruitment or retention for clinical trials, or result in resources being redirected in a way that adversely impacts our ability to progress regulatory approvals and protect our intellectual property. In addition, as with COVID-19 pandemic, we may face impediments to regulatory meetings and approvals due to recommended safety measures intended to limit in-person interactions in any future pandemic.</w:t>
      </w:r>
    </w:p>
    <w:p>
      <w:pPr>
        <w:spacing w:after="0" w:line="8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ongoing COVID-19 pandemic already caused significant disruptions in the financial markets, and it may continue to, and any future pandemic could similarly, cause such disruptions, which could impact our ability to raise additional funds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6" w:name="page57"/>
    <w:bookmarkEnd w:id="56"/>
    <w:p>
      <w:pPr>
        <w:ind w:right="140"/>
        <w:spacing w:after="0" w:line="266" w:lineRule="auto"/>
        <w:rPr>
          <w:sz w:val="20"/>
          <w:szCs w:val="20"/>
          <w:color w:val="auto"/>
        </w:rPr>
      </w:pPr>
      <w:r>
        <w:rPr>
          <w:rFonts w:ascii="Times New Roman" w:cs="Times New Roman" w:eastAsia="Times New Roman" w:hAnsi="Times New Roman"/>
          <w:sz w:val="18"/>
          <w:szCs w:val="18"/>
          <w:color w:val="auto"/>
        </w:rPr>
        <w:t>through public offerings and may also impact the volatility of our stock price and trading in our stock. We cannot be certain what the overall impact of the ongoing COVID-19 pandemic or any future pandemic will be on our business. The extent of the impact of COVID-19 and any future pandemic on our business, financial condition, results of operations and prospects will depend on future developments that are uncertain.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2022, we had federal and state net operating loss carryforwards of $275.1 million and $272.6 million, respectively, which begin to expire in 2036. Approximately $251.5 million of the federal net operating losses can be carried forward indefinitely. As of December 31, 2022, we also had federal orphan drug credits of $14.6 million, which begin to expire in 2040. As of December 31, 2022, we also had federal and state research and development tax credit carryforwards of $6.9 million and $4.0 million, respectively, which begin to expire in 2035 and 2030, respectively. These net operating loss and tax credit carryforwards could expire unused and be unavailable to offset future income tax liabilities.</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to determine if historical changes in ownership through December 31, 2021 would limit or otherwise restrict our ability to utilize our pre-change net operating losses and research and development tax credit carryforwards to offset future taxable income. As a result of the analysis, we do not believe that there are any significant limitations on our ability to utilize our net operating losses and research and development tax credit carryforwards to offset future taxable income. However, we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8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we only have two clinical-stage product candidates. If we are unable to commercialize our product candidates or experience significant delays in doing so, our business will be materially harmed.</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early in our development efforts, and we have advanced only two product candidates into clinical trials, losmapimod for the treatment of FSHD, and FTX-6058 for the treatment of SCD, although the latter program is currently on clinical hold. We have invested substantially all of our efforts and financial resources in our proprietary product engine to identify and validate cellular drug targets that can potentially modulate gene expression to address the root cause of genetically-defined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79"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preclinical studies and clinical trials;</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by the FDA or other regulatory agencies of the INDs, clinical trial applications, or CTAs, or other regulatory filings for losmapimod, FTX-6058 and future product candidates, including our ability to resolve the current clinical hold on FTX-6058 for SCD;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maintaining a workforce of experienced scientists and others to continue to develop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of the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adequate pricing and adequate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enforcing, defending and 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misappropriating or otherwise violating others’ intellectual property or proprietary rights;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our product engine to build a pipeline of product candidates.</w:t>
      </w:r>
    </w:p>
    <w:p>
      <w:pPr>
        <w:spacing w:after="0" w:line="121"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7"/>
          <w:szCs w:val="17"/>
          <w:color w:val="auto"/>
        </w:rPr>
        <w:t>A key element of our strategy is to use our proprietary product engine to identify and validate cellular drug targets that can potentially modulate gene expression to address the root cause of genetically-defined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with our product engine, including as a result of our collaboration with MyoKardia,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2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jc w:val="both"/>
        <w:ind w:right="220" w:firstLine="509"/>
        <w:spacing w:after="0" w:line="255" w:lineRule="auto"/>
        <w:rPr>
          <w:sz w:val="20"/>
          <w:szCs w:val="20"/>
          <w:color w:val="auto"/>
        </w:rPr>
      </w:pPr>
      <w:r>
        <w:rPr>
          <w:rFonts w:ascii="Times New Roman" w:cs="Times New Roman" w:eastAsia="Times New Roman" w:hAnsi="Times New Roman"/>
          <w:sz w:val="18"/>
          <w:szCs w:val="18"/>
          <w:color w:val="auto"/>
        </w:rPr>
        <w:t>We have two product candidates in clinical development.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Clinical trials may fail to demonstrate that our product candidates are safe for humans and effective for indicated uses. For example, FTX-6058, our clinical trial stage candidate to treat SCD, is an EEDi. EED is a member of the PRC2 complex, which also includes EZH2. There are approved products in the EZH2 class of medications and their approved labeling outlines safety risks, including an increased risk of malignancies. In the event that FTX-6058 has similar safety risks as other PRC2 medications, this could impact its acceptance.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8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Before we can commence clinical trials for a product candidate, we must complete extensive preclinical testing and studies that support our planned INDs and other regulatory filings in the United States and abroad. We cannot be certain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8" w:name="page59"/>
    <w:bookmarkEnd w:id="58"/>
    <w:p>
      <w:pPr>
        <w:ind w:right="40"/>
        <w:spacing w:after="0" w:line="254" w:lineRule="auto"/>
        <w:rPr>
          <w:sz w:val="20"/>
          <w:szCs w:val="20"/>
          <w:color w:val="auto"/>
        </w:rPr>
      </w:pPr>
      <w:r>
        <w:rPr>
          <w:rFonts w:ascii="Times New Roman" w:cs="Times New Roman" w:eastAsia="Times New Roman" w:hAnsi="Times New Roman"/>
          <w:sz w:val="18"/>
          <w:szCs w:val="18"/>
          <w:color w:val="auto"/>
        </w:rPr>
        <w:t>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or continue. On February 23, 2023, the FDA imposed a clinical hold on our IND for FTX-6058 in SCD. While we intend to work diligently to resolve the hold as soon as possible, there is no guarantee that FDA will allow the trial to resume in a timely manner or at all.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outcome. We cannot guarantee that any clinical trials will be conducted as planned or completed on schedule, or at all. For example, our clinical trial of FTX-6058 is currently on hold and there can be no certainty as to when it will resume, if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described in Item 1 “Business—Licenses and Collaborations--Right of Reference and License Agreement with GlaxoSmithKline” in this Annual Report on Form 10-K, we have entered into a right of reference and license agreement, as amended, with affiliates of GSK. Although losmapimod was originally evaluated by GSK in nearly 3,600 subjects, GSK did not evaluate losmapimod in FSHD or in any other muscular dystrophy, and most of the subjects in these trials were given a dose that was lower than our planned dosage of 15 mg of losmapimod twice per day. Accordingly, the safety data generated from GSK’s clinical trials of losmapimod may not be predictive or indicative of the results of our clinical trials. Similarly, while we believe the safety data from GSK’s clinical trials may, in part, support the safety database for losmapimod, GSK evaluated a limited number of subjects at a dose of 15 mg twice daily.</w:t>
      </w:r>
    </w:p>
    <w:p>
      <w:pPr>
        <w:spacing w:after="0" w:line="18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ind w:left="900" w:right="20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900" w:right="78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decide the design of our clinical trials is flawed, for example if our trial protocol does not evaluate treatment effects in trial subjects for a sufficient length of time;</w:t>
      </w:r>
    </w:p>
    <w:p>
      <w:pPr>
        <w:spacing w:after="0" w:line="53"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900" w:right="380" w:hanging="383"/>
        <w:spacing w:after="0" w:line="312"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31" w:lineRule="exact"/>
        <w:rPr>
          <w:rFonts w:ascii="Times New Roman" w:cs="Times New Roman" w:eastAsia="Times New Roman" w:hAnsi="Times New Roman"/>
          <w:sz w:val="17"/>
          <w:szCs w:val="17"/>
          <w:color w:val="auto"/>
        </w:rPr>
      </w:pPr>
    </w:p>
    <w:p>
      <w:pPr>
        <w:ind w:left="900" w:right="120" w:hanging="383"/>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9" w:name="page60"/>
    <w:bookmarkEnd w:id="59"/>
    <w:p>
      <w:pPr>
        <w:ind w:left="900" w:right="8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900" w:right="380" w:hanging="383"/>
        <w:spacing w:after="0" w:line="312"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31" w:lineRule="exact"/>
        <w:rPr>
          <w:rFonts w:ascii="Times New Roman" w:cs="Times New Roman" w:eastAsia="Times New Roman" w:hAnsi="Times New Roman"/>
          <w:sz w:val="17"/>
          <w:szCs w:val="17"/>
          <w:color w:val="auto"/>
        </w:rPr>
      </w:pPr>
    </w:p>
    <w:p>
      <w:pPr>
        <w:ind w:left="900" w:right="20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spacing w:after="0" w:line="53"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global instability, including political instability, such as the Russian invasion of Ukraine, or instability from an outbreak of pandemic or contagious disease, such as the ongoing COVID-19 pandemic, in or around the countries in which we conduct our clinical trials, could delay the commencement or rate of completion of our clinical trials; and</w:t>
      </w:r>
    </w:p>
    <w:p>
      <w:pPr>
        <w:spacing w:after="0" w:line="6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withdraw their approval of a product or impose restrictions on its distribution, such as in the form of a risk evaluation and mitigation strategy, or REMS.</w:t>
      </w:r>
    </w:p>
    <w:p>
      <w:pPr>
        <w:spacing w:after="0" w:line="54"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For example, in response to the ongoing COVID-19 pandemic, the clinical trial sites for our ReDUX4 trial temporarily postponed trial-related activities, impacting our clinical trial execution plans, and we cannot be certain that we will not face other postponements or similar difficulties in the future. In addition, on February 23, 2023, the FDA imposed a clinical hold on our IND for FTX-6058 in SCD.</w:t>
      </w:r>
    </w:p>
    <w:p>
      <w:pPr>
        <w:spacing w:after="0" w:line="68"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60" w:name="page61"/>
    <w:bookmarkEnd w:id="60"/>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9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are currently no therapies approved to treat FSHD, and there may be no therapies approved to treat the underlying causes of diseases that we attempt to address or may address in the future. As a result, the design and conduct of a clinical trial or trials of the product candidates for the treatment of these diseases may take longer, be more costly or be less effective as part of the novelty of development in these diseases. In some cases, we may use new or novel endpoints or methodologies, such as RWS, which has not been proven for registration to our knowledge. The FDA and other regulatory authorities have indicated support for RWS as a primary endpoint with additional and appropriate supportive data from secondary endpoints. However, such regulatory authorities may not consider the endpoints of our clinical trial(s) to provide clinically meaningful results, even where we believe such results are clinically meaningful. For example, while we have met with regulators to discuss the REACH trial design and registration strategy for losmapimod for FSHD, including our proposed endpoints for REACH, regulators may require additional data to support the RWS functional primary endpoint for approval of losmapimod for FSHD.</w:t>
      </w:r>
    </w:p>
    <w:p>
      <w:pPr>
        <w:spacing w:after="0" w:line="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Even if the FDA does find our primary endpoint to be sufficiently validated and clinically meaningful, we may not achieve the pre-specified endpoint to a magnitude, duration or degree of statistical significance in any pivotal or other clinical trials we may conduct for our product candidates. Even if we do meet the primary endpoint, our trials may produce results that are unpredictable or inconsistent with the results of the other, more traditional efficacy endpoints in the trials. The FDA also could ascribe substantial weight to other efficacy endpoints when interpreting the clinical trial data, such that even if we achieve statistically significant results on our primary endpoint, the FDA may regard the failure to show a statistically significant effect on our secondary efficacy endpoints as raising questions about the efficacy of the drug.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9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Identifying and qualifying patients to participate in and complete clinical trials for our product candidates is critical to our success. Successful and timely completion of clinical trials will require that we enroll a sufficient number of patients who remain in the trial until its conclusion. For example, in our Phase 1b trial of FTX-6058 (which is currently on clinical hold), although we enrolled six subjects in the initial cohort, only three subjects remained evaluable as of the initial data cutoff date. Subsequently, we modified the study protocol to monitor subject adherence. However, if such protocols do not improve adherence and improve compliance once the trial resumes (if at all),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genetically-defined rare diseases, we may have difficulty enrolling a sufficient number of eligible patients.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a variety of other factors, including:</w:t>
      </w:r>
    </w:p>
    <w:p>
      <w:pPr>
        <w:spacing w:after="0" w:line="117" w:lineRule="exact"/>
        <w:rPr>
          <w:sz w:val="20"/>
          <w:szCs w:val="20"/>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trial protocols, including invasive procedures such as muscle biopsies or medical resonance imaging (MRI), which requires the use of specialized equipment;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existing treatments for the indications for which we are conducting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clinical trials by competitors for product candidates that treat the same indications as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specific patient populations for biomarker-defined trial cohort(s);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or lack of adequate compensation for, prospective patients.</w:t>
      </w:r>
    </w:p>
    <w:p>
      <w:pPr>
        <w:spacing w:after="0" w:line="11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26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For example, on February 23, 2023, the FDA placed our IND for FTX-6058 on clinical hold based on hematological malignancies observed in nonclinical toxicology studies. While we intend to address the FDA’s concerns as diligently as possible, including FDA’s request for information about an SCD patient population with an appropriate benefit-risk profile for further clinical development of FTX-6058, and FDA's request for information to define the potential risk in any further studies that may be conducted in healthy volunteers, there is no guarantee that the FDA will allow us to resume clinical development of FTX-6058. Even if the FDA lifts the clinical hold and allows clinical studies of FTX-6058 to resume, we cannot make assurances that patients treated with FTX-6058 will not develop hematological malignancies or other adverse events in the future. We also cannot make assurances that additional observations in preclinical studies of hematological malignancies or other adverse events will not occur. If such additional adverse events were to emerge, further advancement of our clinical studies could be halted or delayed and we may not receive regulatory approval for FTX-6058. Even if we receive regulatory approval for FTX-6058, our labeling may be restricted and/or market acceptance for our product may be diminished, and the commercial potential of our FTX-6058 program may be materially and negatively impacted.</w:t>
      </w:r>
    </w:p>
    <w:p>
      <w:pPr>
        <w:spacing w:after="0" w:line="8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pharmaceutical development, many compounds that initially show promise in early-stage or clinical testing are later found to cause side effects that delay or prevent further development of the compound.</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2" w:name="page63"/>
    <w:bookmarkEnd w:id="62"/>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5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75" w:lineRule="exact"/>
        <w:rPr>
          <w:sz w:val="20"/>
          <w:szCs w:val="20"/>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limitation by regulatory authorities of approvals of such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the product by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the product or the manufacturing process for any component thereof;</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by regulatory authorities of additional warnings on the label, such as a “black box” warning or contraindication;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we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expensive post-marketing studies as a prerequisite of approval by regulatory authorities of such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legal action against us to hold us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resulting harm to physician or patient acceptance of our products.</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6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9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of losmapimod in patients with FSHD in Europe, the United Kingdom, and Canada and currently plan to conduct additional clinical trials for our product candidates at sites outside the United States, and the FDA may not accept data from trials conducted in such locations.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currently conducting a Phase 3 clinical trial, an open label extension of our Phase 2b clinical trial, and an open label extension of our Phase 2 open label clinical trial of losmapimod in patients with FSHD in Europe, the United Kingdom, and Canada. We may also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good clinical practices, and FDA’s ability to validate the data. If the FDA does not accept the data from any trial that we conduct outside the United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63" w:name="page64"/>
    <w:bookmarkEnd w:id="63"/>
    <w:p>
      <w:pPr>
        <w:ind w:right="780"/>
        <w:spacing w:after="0" w:line="282" w:lineRule="auto"/>
        <w:rPr>
          <w:sz w:val="20"/>
          <w:szCs w:val="20"/>
          <w:color w:val="auto"/>
        </w:rPr>
      </w:pPr>
      <w:r>
        <w:rPr>
          <w:rFonts w:ascii="Times New Roman" w:cs="Times New Roman" w:eastAsia="Times New Roman" w:hAnsi="Times New Roman"/>
          <w:sz w:val="18"/>
          <w:szCs w:val="18"/>
          <w:color w:val="auto"/>
        </w:rPr>
        <w:t>States, it would likely result in the need for additional trials, which would be costly and time-consuming and could delay or permanently halt our development of the applicable product candidates.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6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75"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product candidates compared to the advantages and relative risks of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25"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8"/>
          <w:szCs w:val="18"/>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2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5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4" w:name="page65"/>
    <w:bookmarkEnd w:id="64"/>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900" w:right="12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For example, we are aware of several product candidates in clinical development that could be competitive with product candidates that we may successfully develop and commercialize. See Item 1 “Business—Competition” in this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5" w:name="page66"/>
    <w:bookmarkEnd w:id="65"/>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79"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8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84" w:lineRule="exact"/>
        <w:rPr>
          <w:sz w:val="20"/>
          <w:szCs w:val="20"/>
          <w:color w:val="auto"/>
        </w:rPr>
      </w:pPr>
    </w:p>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2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and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72"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6" w:name="page67"/>
    <w:bookmarkEnd w:id="66"/>
    <w:p>
      <w:pPr>
        <w:ind w:right="140"/>
        <w:spacing w:after="0" w:line="266" w:lineRule="auto"/>
        <w:rPr>
          <w:sz w:val="20"/>
          <w:szCs w:val="20"/>
          <w:color w:val="auto"/>
        </w:rPr>
      </w:pPr>
      <w:r>
        <w:rPr>
          <w:rFonts w:ascii="Times New Roman" w:cs="Times New Roman" w:eastAsia="Times New Roman" w:hAnsi="Times New Roman"/>
          <w:sz w:val="18"/>
          <w:szCs w:val="18"/>
          <w:color w:val="auto"/>
        </w:rPr>
        <w:t>supply sources.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6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8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do not have any manufacturing facilities. Although we believe we have obtained sufficient losmapimod tablets from GSK to complete our ongoing clinical trials of losmapimod for the treatment of FSHD, we cannot be sure we have correctly estimated our drug product and API requirements or that such drug product or API will not expire before we want to use it. We have also engaged CMOs to prepare our own API and to manufacture losmapimod tablets. Although we believe we have produced sufficient losmapimod tablets to complete our planned Phase 3 registrational trial, we cannot be sure we have correctly estimated our drug product and API requirements or that such drug product or API will not expire before we want to use it. In addition, although we believe we have obtained sufficient quantities of FTX-6058 from a CMO for the completion of our Phase 1b clinical trial for SCD if we are able to resolve the clinical hold, we cannot be sure we have correctly estimated our drug product requirements, which could delay, prevent or impair our development efforts.</w:t>
      </w:r>
    </w:p>
    <w:p>
      <w:pPr>
        <w:spacing w:after="0" w:line="8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expect to rely on third parties for the manufacture of FTX-6058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68"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7" w:name="page68"/>
    <w:bookmarkEnd w:id="67"/>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Item 1 “Business — Government Regulation and Product Approval— Pharmaceutical Insurance Coverage and Health Care Reform” in this Annual Report on Form 10-K.</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8" w:name="page69"/>
    <w:bookmarkEnd w:id="68"/>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markets outside of the United States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If we commercialize our product candidates in foreign markets, we will be subject to additional risks and uncertainties, including:</w:t>
      </w:r>
    </w:p>
    <w:p>
      <w:pPr>
        <w:spacing w:after="0" w:line="99" w:lineRule="exact"/>
        <w:rPr>
          <w:sz w:val="20"/>
          <w:szCs w:val="20"/>
          <w:color w:val="auto"/>
        </w:rPr>
      </w:pPr>
    </w:p>
    <w:p>
      <w:pPr>
        <w:ind w:left="900" w:right="32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 which could include localized disputes that have a broader regional or global impact (such as the Russian invasion of Ukraine);</w:t>
      </w:r>
    </w:p>
    <w:p>
      <w:pPr>
        <w:spacing w:after="0" w:line="53"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many of which vary between countries;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as well as other governmental controls and trade restrictions;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trade protection measures, import or export licensing requirements or other restrictive actions by U.S. or foreign governments;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 and related prevalence of generic alternatives to therapeutics;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controls;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foreign reimbursement landscapes;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potentially inadequate reimbursement of our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risks related to any of these uncertainties materializes, it could have a material adverse effect on our business.</w:t>
      </w:r>
    </w:p>
    <w:p>
      <w:pPr>
        <w:spacing w:after="0" w:line="329"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9" w:lineRule="exact"/>
        <w:rPr>
          <w:sz w:val="20"/>
          <w:szCs w:val="20"/>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9" w:name="page70"/>
    <w:bookmarkEnd w:id="69"/>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currently rely on third-party contract CROs to conduct our clinical trials. We plan to rely on third-party CROs or third-party research collaboratives to conduct any future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7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a collaboration and license agreement with MyoKardia (for certain genetically defined cardiomyopathies). See Item 1 “Business—License Agreements and Collaborations” in this Annual Report on Form 10-K.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70" w:name="page71"/>
    <w:bookmarkEnd w:id="70"/>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Collaborations that we enter into, including our collaboration with MyoKardia, may not be successful, and any success will depend heavily on the efforts and activities of such collaborators. Collaborations pose a number of risks, including the following:</w:t>
      </w:r>
    </w:p>
    <w:p>
      <w:pPr>
        <w:spacing w:after="0" w:line="54" w:lineRule="exact"/>
        <w:rPr>
          <w:sz w:val="20"/>
          <w:szCs w:val="20"/>
          <w:color w:val="auto"/>
        </w:rPr>
      </w:pPr>
    </w:p>
    <w:p>
      <w:pPr>
        <w:ind w:left="900" w:right="92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00" w:right="280" w:hanging="383"/>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67" w:lineRule="exact"/>
        <w:rPr>
          <w:rFonts w:ascii="Times New Roman" w:cs="Times New Roman" w:eastAsia="Times New Roman" w:hAnsi="Times New Roman"/>
          <w:sz w:val="18"/>
          <w:szCs w:val="18"/>
          <w:color w:val="auto"/>
        </w:rPr>
      </w:pPr>
    </w:p>
    <w:p>
      <w:pPr>
        <w:ind w:left="900" w:right="560" w:hanging="383"/>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00" w:right="60" w:hanging="383"/>
        <w:spacing w:after="0" w:line="261"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(e.g., termination of our collaboration with Acceleron following its acquisition by Merck), and, if terminated, we could be required to raise additional capital to pursue further development or commercialization of the applicable product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1" w:name="page72"/>
    <w:bookmarkEnd w:id="71"/>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If our collaborator terminates its agreement with us, we may find it more difficult to attract new collaborators and our perception in the business and financial communities could be adversely affected.</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For example,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89" w:lineRule="exact"/>
        <w:rPr>
          <w:sz w:val="20"/>
          <w:szCs w:val="20"/>
          <w:color w:val="auto"/>
        </w:rPr>
      </w:pPr>
    </w:p>
    <w:p>
      <w:pPr>
        <w:ind w:right="140" w:firstLine="509"/>
        <w:spacing w:after="0" w:line="273" w:lineRule="auto"/>
        <w:rPr>
          <w:sz w:val="20"/>
          <w:szCs w:val="20"/>
          <w:color w:val="auto"/>
        </w:rPr>
      </w:pPr>
      <w:r>
        <w:rPr>
          <w:rFonts w:ascii="Times New Roman" w:cs="Times New Roman" w:eastAsia="Times New Roman" w:hAnsi="Times New Roman"/>
          <w:sz w:val="17"/>
          <w:szCs w:val="17"/>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and we had restrictions under our collaboration with Acceleron.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 collaboration, in each case , while we are performing the research activities pursuant to the research plan and for a specified period thereafter.</w:t>
      </w:r>
    </w:p>
    <w:p>
      <w:pPr>
        <w:spacing w:after="0" w:line="63" w:lineRule="exact"/>
        <w:rPr>
          <w:sz w:val="20"/>
          <w:szCs w:val="20"/>
          <w:color w:val="auto"/>
        </w:rPr>
      </w:pPr>
    </w:p>
    <w:p>
      <w:pPr>
        <w:ind w:right="300" w:firstLine="509"/>
        <w:spacing w:after="0" w:line="312" w:lineRule="auto"/>
        <w:rPr>
          <w:sz w:val="20"/>
          <w:szCs w:val="20"/>
          <w:color w:val="auto"/>
        </w:rPr>
      </w:pPr>
      <w:r>
        <w:rPr>
          <w:rFonts w:ascii="Times New Roman" w:cs="Times New Roman" w:eastAsia="Times New Roman" w:hAnsi="Times New Roman"/>
          <w:sz w:val="17"/>
          <w:szCs w:val="17"/>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3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7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this Annual Report on Form 10-K.</w:t>
      </w:r>
    </w:p>
    <w:p>
      <w:pPr>
        <w:spacing w:after="0" w:line="193" w:lineRule="exact"/>
        <w:rPr>
          <w:sz w:val="20"/>
          <w:szCs w:val="20"/>
          <w:color w:val="auto"/>
        </w:rPr>
      </w:pPr>
    </w:p>
    <w:p>
      <w:pPr>
        <w:ind w:right="80" w:firstLine="509"/>
        <w:spacing w:after="0" w:line="269" w:lineRule="auto"/>
        <w:rPr>
          <w:sz w:val="20"/>
          <w:szCs w:val="20"/>
          <w:color w:val="auto"/>
        </w:rPr>
      </w:pPr>
      <w:r>
        <w:rPr>
          <w:rFonts w:ascii="Times New Roman" w:cs="Times New Roman" w:eastAsia="Times New Roman" w:hAnsi="Times New Roman"/>
          <w:sz w:val="17"/>
          <w:szCs w:val="17"/>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U.S. patent provide protection for the method of using losmapimod for the treatment of FSHD and while we also believe that the specific and generic claims contained in our issued and pending U.S. non-provisional and provisional applications provide protection for the pharmaceutical compositions and methods of use for FTX-6058,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3" w:name="page74"/>
    <w:bookmarkEnd w:id="73"/>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have expired and are no longer a barrier to entry for any new uses not covered by our other patents and patent applications.</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3"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4" w:name="page75"/>
    <w:bookmarkEnd w:id="74"/>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Under our current license agreements, we may not have the final or sole decision on whether we are able to opt out certain of our in-licensed European patents and patent applications from the recently created Unified Patent Court, or the UPC, for the European Union, that is expected to be fully ratified in 2023. Our licensors may decide to not opt out the of the UPC, which would subject our in-licensed European patents and patent applications to the jurisdiction of the UPC. Furthermore, even if our licensors decide to opt out of the UPC, we cannot guarantee that our licensors will comply with the legal formalities and requirements for properly opting out of the UPC.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29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candidates receive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9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Item 1 “Business—Intellectual Property” in this Annual Report on Form 10-K for additional information regarding patent laws and patent protection.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33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UPC that is expected to be fully ratified in 2023.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75" w:name="page76"/>
    <w:bookmarkEnd w:id="75"/>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The outcome following legal assertions of invalidity and unenforceability is unpredictable.</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6" w:name="page77"/>
    <w:bookmarkEnd w:id="76"/>
    <w:p>
      <w:pPr>
        <w:ind w:right="340"/>
        <w:spacing w:after="0" w:line="282" w:lineRule="auto"/>
        <w:rPr>
          <w:sz w:val="20"/>
          <w:szCs w:val="20"/>
          <w:color w:val="auto"/>
        </w:rPr>
      </w:pPr>
      <w:r>
        <w:rPr>
          <w:rFonts w:ascii="Times New Roman" w:cs="Times New Roman" w:eastAsia="Times New Roman" w:hAnsi="Times New Roman"/>
          <w:sz w:val="18"/>
          <w:szCs w:val="18"/>
          <w:color w:val="auto"/>
        </w:rPr>
        <w:t>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8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3"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7" w:name="page78"/>
    <w:bookmarkEnd w:id="77"/>
    <w:p>
      <w:pPr>
        <w:ind w:right="120"/>
        <w:spacing w:after="0" w:line="254" w:lineRule="auto"/>
        <w:rPr>
          <w:sz w:val="20"/>
          <w:szCs w:val="20"/>
          <w:color w:val="auto"/>
        </w:rPr>
      </w:pPr>
      <w:r>
        <w:rPr>
          <w:rFonts w:ascii="Times New Roman" w:cs="Times New Roman" w:eastAsia="Times New Roman" w:hAnsi="Times New Roman"/>
          <w:sz w:val="18"/>
          <w:szCs w:val="18"/>
          <w:color w:val="auto"/>
        </w:rPr>
        <w:t>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92"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9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are party to license and funding agreements, such as our agreement with GSK,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8" w:name="page79"/>
    <w:bookmarkEnd w:id="78"/>
    <w:p>
      <w:pPr>
        <w:spacing w:after="0" w:line="255" w:lineRule="auto"/>
        <w:rPr>
          <w:sz w:val="20"/>
          <w:szCs w:val="20"/>
          <w:color w:val="auto"/>
        </w:rPr>
      </w:pPr>
      <w:r>
        <w:rPr>
          <w:rFonts w:ascii="Times New Roman" w:cs="Times New Roman" w:eastAsia="Times New Roman" w:hAnsi="Times New Roman"/>
          <w:sz w:val="18"/>
          <w:szCs w:val="18"/>
          <w:color w:val="auto"/>
        </w:rPr>
        <w:t>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17"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9" w:name="page80"/>
    <w:bookmarkEnd w:id="79"/>
    <w:p>
      <w:pPr>
        <w:ind w:right="340"/>
        <w:spacing w:after="0" w:line="282" w:lineRule="auto"/>
        <w:rPr>
          <w:sz w:val="20"/>
          <w:szCs w:val="20"/>
          <w:color w:val="auto"/>
        </w:rPr>
      </w:pPr>
      <w:r>
        <w:rPr>
          <w:rFonts w:ascii="Times New Roman" w:cs="Times New Roman" w:eastAsia="Times New Roman" w:hAnsi="Times New Roman"/>
          <w:sz w:val="18"/>
          <w:szCs w:val="18"/>
          <w:color w:val="auto"/>
        </w:rPr>
        <w:t>States. These products may compete with our products, and our patents or other intellectual property rights may not be effective or sufficient to prevent them from competing.</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3" w:lineRule="exact"/>
        <w:rPr>
          <w:sz w:val="20"/>
          <w:szCs w:val="20"/>
          <w:color w:val="auto"/>
        </w:rPr>
      </w:pPr>
    </w:p>
    <w:p>
      <w:pPr>
        <w:ind w:right="60" w:firstLine="509"/>
        <w:spacing w:after="0" w:line="277" w:lineRule="auto"/>
        <w:rPr>
          <w:sz w:val="20"/>
          <w:szCs w:val="20"/>
          <w:color w:val="auto"/>
        </w:rPr>
      </w:pPr>
      <w:r>
        <w:rPr>
          <w:rFonts w:ascii="Times New Roman" w:cs="Times New Roman" w:eastAsia="Times New Roman" w:hAnsi="Times New Roman"/>
          <w:sz w:val="17"/>
          <w:szCs w:val="17"/>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0" w:name="page81"/>
    <w:bookmarkEnd w:id="80"/>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8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hanging="383"/>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1" w:name="page82"/>
    <w:bookmarkEnd w:id="81"/>
    <w:p>
      <w:pPr>
        <w:ind w:left="900" w:right="10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in-licensed intellectual property rights;</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and in-licensed pending patent applications or those we may own or in-license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2" w:name="page83"/>
    <w:bookmarkEnd w:id="82"/>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8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prolong the time necessary for regulatory submissions to be reviewed and/or new drugs to be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w:t>
      </w:r>
    </w:p>
    <w:p>
      <w:pPr>
        <w:spacing w:after="0" w:line="7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addition, since March 2020 when foreign and domestic inspections of facilities were largely placed on hold due to the COVID-19 pandemic, the FDA has been working to resume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8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5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The FDA and EMA have granted orphan drug designation to losmapimod for the treatment of FSHD. We may seek orphan drug designation for our other current and future product candidates.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it is determined that a drug no longer meets the criteria for orphan drug designation, including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8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the FDA can subsequently approve the same drug for the same condition if the FDA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3" w:name="page84"/>
    <w:bookmarkEnd w:id="83"/>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Special designation by the FDA, such as fast track or breakthrough therapy,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FDA granted fast track designation to losmapimod for the treatment of FSHD and to FTX-6058 for the treatment of SCD, and we may seek fast track designation for some of our other product candidates as well as breakthrough therapy designation, including for losmapimod.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intermediate clinical endpoint).</w:t>
      </w:r>
    </w:p>
    <w:p>
      <w:pPr>
        <w:spacing w:after="0" w:line="7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72" w:lineRule="exact"/>
        <w:rPr>
          <w:sz w:val="20"/>
          <w:szCs w:val="20"/>
          <w:color w:val="auto"/>
        </w:rPr>
      </w:pPr>
    </w:p>
    <w:p>
      <w:pPr>
        <w:ind w:right="40" w:firstLine="554"/>
        <w:spacing w:after="0" w:line="253" w:lineRule="auto"/>
        <w:rPr>
          <w:sz w:val="20"/>
          <w:szCs w:val="20"/>
          <w:color w:val="auto"/>
        </w:rPr>
      </w:pPr>
      <w:r>
        <w:rPr>
          <w:rFonts w:ascii="Times New Roman" w:cs="Times New Roman" w:eastAsia="Times New Roman" w:hAnsi="Times New Roman"/>
          <w:sz w:val="18"/>
          <w:szCs w:val="18"/>
          <w:color w:val="auto"/>
        </w:rPr>
        <w:t>Moreover,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of 2022, or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even if we seek to utilize the accelerated approval pathway for a product candidate, we may not experience a faster development or regulatory review or approval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84" w:name="page85"/>
    <w:bookmarkEnd w:id="84"/>
    <w:p>
      <w:pPr>
        <w:ind w:right="20"/>
        <w:spacing w:after="0" w:line="282" w:lineRule="auto"/>
        <w:rPr>
          <w:sz w:val="20"/>
          <w:szCs w:val="20"/>
          <w:color w:val="auto"/>
        </w:rPr>
      </w:pPr>
      <w:r>
        <w:rPr>
          <w:rFonts w:ascii="Times New Roman" w:cs="Times New Roman" w:eastAsia="Times New Roman" w:hAnsi="Times New Roman"/>
          <w:sz w:val="18"/>
          <w:szCs w:val="18"/>
          <w:color w:val="auto"/>
        </w:rPr>
        <w:t>process for that product. In addition, receiving accelerated approval does not assure that the product’s accelerated approval will ultimately be converted to a traditional approval.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Additionally, now that the United Kingdom is no longer part of the European Union, separate applications and procedures will be required to obtain regulatory approval for our products in the United Kingdom and the European Union. Any delay in obtaining, or an inability to obtain, any marketing approvals could prevent us from commercializing any product candidates in the United Kingdom and/or the European Union and restrict our ability to generate revenue and achieve and sustain profitability.</w:t>
      </w:r>
    </w:p>
    <w:p>
      <w:pPr>
        <w:spacing w:after="0" w:line="28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7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54" w:lineRule="exact"/>
        <w:rPr>
          <w:sz w:val="20"/>
          <w:szCs w:val="20"/>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5" w:name="page86"/>
    <w:bookmarkEnd w:id="85"/>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jc w:val="both"/>
        <w:ind w:right="520" w:firstLine="509"/>
        <w:spacing w:after="0" w:line="289" w:lineRule="auto"/>
        <w:rPr>
          <w:sz w:val="20"/>
          <w:szCs w:val="20"/>
          <w:color w:val="auto"/>
        </w:rPr>
      </w:pPr>
      <w:r>
        <w:rPr>
          <w:rFonts w:ascii="Times New Roman" w:cs="Times New Roman" w:eastAsia="Times New Roman" w:hAnsi="Times New Roman"/>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91"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Item 1 “Business—Government Regulation and Product Approvals—Health Care Law and Regulation” in this Annual Report on Form 10-K.</w:t>
      </w:r>
    </w:p>
    <w:p>
      <w:pPr>
        <w:spacing w:after="0" w:line="8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6" w:name="page87"/>
    <w:bookmarkEnd w:id="86"/>
    <w:p>
      <w:pPr>
        <w:spacing w:after="0" w:line="282" w:lineRule="auto"/>
        <w:rPr>
          <w:sz w:val="20"/>
          <w:szCs w:val="20"/>
          <w:color w:val="auto"/>
        </w:rPr>
      </w:pPr>
      <w:r>
        <w:rPr>
          <w:rFonts w:ascii="Times New Roman" w:cs="Times New Roman" w:eastAsia="Times New Roman" w:hAnsi="Times New Roman"/>
          <w:sz w:val="18"/>
          <w:szCs w:val="18"/>
          <w:color w:val="auto"/>
        </w:rPr>
        <w:t>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66"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legislative and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European Union’s General Data Protection Regulation, or EU GDPR, which took effect across all Member States of the European Economic Area, or EEA, in May 2018. Following the withdrawal of the United Kingdom from the European Union, or Brexit, the EU GDPR has been incorporated into United Kingdom’s laws, or UK GDPR and together with the EU GDPR, GDPR. 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us to implement a variety of different contractual clauses approved by European Union’s or United Kingdom’s regulators. This complexity and the additional contractual burden increases our overall risk exposure. There may be further divergence in the future, including with regard to administrative burdens. The United Kingdom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European Union and the United Kingdom, and we will need to amend our processes and procedures to align with the new framework.</w:t>
      </w:r>
    </w:p>
    <w:p>
      <w:pPr>
        <w:spacing w:after="0" w:line="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Similar data protection laws are either in place or under way in the United States. There are a broad variety of data protection and security laws and regulations that may be applicable to our activities governing the collection, use, disclosure, and protection of health-related and other personal information (including, for example, state data breach notification laws, health information and/or genetic privacy laws and federal and state consumer protection laws including Section 5 of the FTC Act, HIPAA, and the California Consumer Protection Act or CCPA).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in California, the CCPA, which went into effect in January 2020, has created certain requirements for data use, sharing and transparency, and provides California residents certain rights concerning their personal information, and many other states have introduced or are considering similar legislation. For more information regarding the GDPR, the CCPA and other regulations, see Item 1 “Business –Government Regulation and Product Approvals” in this Annual Report on Form 10-K.</w:t>
      </w:r>
    </w:p>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Given the breadth and depth of changes in privacy, data protection and consumer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store, process or transfer personal data on our behalf. Many of these laws differ from each other in significant ways and may be interpreted and applied in a manner that is inconsistent from one jurisdiction to another, thus complicating compliance efforts. Compliance with the GDPR and other similar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9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7" w:name="page88"/>
    <w:bookmarkEnd w:id="87"/>
    <w:p>
      <w:pPr>
        <w:ind w:right="100"/>
        <w:spacing w:after="0" w:line="261" w:lineRule="auto"/>
        <w:rPr>
          <w:sz w:val="20"/>
          <w:szCs w:val="20"/>
          <w:color w:val="auto"/>
        </w:rPr>
      </w:pPr>
      <w:r>
        <w:rPr>
          <w:rFonts w:ascii="Times New Roman" w:cs="Times New Roman" w:eastAsia="Times New Roman" w:hAnsi="Times New Roman"/>
          <w:sz w:val="18"/>
          <w:szCs w:val="18"/>
          <w:color w:val="auto"/>
        </w:rPr>
        <w:t>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 Pharmaceutical Insurance Coverage and Health Care Reform” in this Annual Report on Form 10-K.</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August 2022 the Inflation Reduction Act of 2022 was passed, which among other things, allows for Centers for Medicare &amp; Medicaid Services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 exceed inflation. The legislation also requires manufacturers to pay rebates for drugs in Medicare Part D whose price increases exceed inflation. Further, the legislation caps Medicare beneficiaries’ annual out-of-pocket drug expenses at $2,000. The effect of Inflation Reduction Act of 2022 on our business and the healthcare industry in general is not yet known.</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5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80"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8" w:name="page89"/>
    <w:bookmarkEnd w:id="88"/>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 GDPR.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9" w:name="page90"/>
    <w:bookmarkEnd w:id="89"/>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information technology systems and infrastructure, or those of our collaborators or other contractors or consultants, may fail or suffer security compromises or breaches, which could result in a material disruption of our product development programs.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and information technology systems and infrastructure and those of our CROs, collaborators, and other contractors or consultants upon which our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our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Accordingly, if our cybersecurity measures or those of our service providers fail to protect against unauthorized access, attacks, compromise or the mishandling of data by our employees or contractors, then our reputation, customer trust, business, results of operations and financial condition could be adversely affected. Because the techniques used by threat actors who may attempt to penetrate and sabotage our computer systems or those of our collaborators or other contractors or consultants change frequently and may not be recognized until launched against a target, we may be unable to anticipate these techniques.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w:t>
      </w:r>
    </w:p>
    <w:p>
      <w:pPr>
        <w:spacing w:after="0" w:line="8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compromise or breach were to result in a loss of, damage to, unauthorized access, or misuse of our data, systems, infrastructure or applications, or inappropriate disclosure of confidential or proprietary information, we could incur liability (including in connection with or resulting from litigation or governmental investigations and enforcement actions), our competitive position could be harmed and the further development and commercialization of our product candidates could be delayed and our business could be otherwise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90" w:name="page91"/>
    <w:bookmarkEnd w:id="90"/>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have had recent executive transitions, including of our chief executive officer, president of research and development, chief scientific officer, and chief medical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In August 2022, we announced a workforce reduction in our research and development function, which may make us a less attractive employer to future candidates.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30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5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of March 2, 2023, our executive officers and directors and our stockholders who owned more than 5% of our outstanding common stock in the aggregate beneficially owned shares representing approximately 57.1%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control may:</w:t>
      </w:r>
    </w:p>
    <w:p>
      <w:pPr>
        <w:spacing w:after="0" w:line="117" w:lineRule="exact"/>
        <w:rPr>
          <w:sz w:val="20"/>
          <w:szCs w:val="20"/>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that other stockholders may desire.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1" w:name="page92"/>
    <w:bookmarkEnd w:id="91"/>
    <w:p>
      <w:pPr>
        <w:jc w:val="both"/>
        <w:ind w:right="3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2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6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5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the operating performance of particular companies. The market price for our common stock may be influenced by many factors, including:</w:t>
      </w:r>
    </w:p>
    <w:p>
      <w:pPr>
        <w:spacing w:after="0" w:line="117" w:lineRule="exact"/>
        <w:rPr>
          <w:sz w:val="20"/>
          <w:szCs w:val="20"/>
          <w:color w:val="auto"/>
        </w:rPr>
      </w:pPr>
    </w:p>
    <w:p>
      <w:pPr>
        <w:ind w:left="900" w:right="840" w:hanging="383"/>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product candidates or those of our competitors or potential collaborators, including the recent clinical hold on FTX-6058 (and whether or not we are able to resolve such hold);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our product candidates, if and when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filed or intend to file universal shelf registration statements (which allows us to offer and sell securities from time to time pursuant to one or more offerings at prices and terms to be determined at the time of sale) subject to an aggregate offering amount stated therein, as well as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93" w:name="page94"/>
    <w:bookmarkEnd w:id="93"/>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$1.235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79" w:lineRule="exact"/>
        <w:rPr>
          <w:sz w:val="20"/>
          <w:szCs w:val="20"/>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900" w:right="580" w:hanging="383"/>
        <w:spacing w:after="0" w:line="266"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54"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4" w:name="page95"/>
    <w:bookmarkEnd w:id="94"/>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9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80"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2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principal facilities consist of office and laboratory space. We occupy approximately 28,731 square feet of office space in Cambridge, Massachusetts under a lease that currently expires in June 2028.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333" w:right="117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2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common stock trades under the symbol “FULC” on the Nasdaq Global Market and has been publicly traded since July 18, 2019. Prior to this time, there was no public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March 2, 2023, there were approximately 17 holders of record of shares of our common stock. This number does not include stockholders for whom shares are held in “nominee” or “street”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improving the lives of patients with genetically defined rare diseases in areas of high unmet medical need. Our most advanced clinical product candidate, losmapimod, is being developed for the potential treatment of FSHD. Our other clinical product candidate is FTX-6058, which is being developed for the potential treatment of certain hemoglobinopathies, including SCD. We initiated REACH, a randomized, double-blind, placebo-controlled, multi-national Phase 3 clinical trial of losmapimod in the second quarter of 2022 and plan to complete enrollment in the second half of 2023. In January 2023, we announced Phase 1b data from our clinical trial of FTX-6058 in SCD. We have completed enrollment in the 6 mg and 2 mg dose cohorts, and we do not plan to enroll additional subjects in these cohorts. Although we commenced enrollment in the 12 mg dose cohort, on February 23, 2023, the FDA placed a full clinical hold on the IND for FTX-6058 for SCD. We have suspended enrollment and dosing in the Phase 1b trial of FTX-6058, withdrew our separate IND for FTX-6058 for beta thalassemia and intend to work diligently with FDA to resolve the hold as soon as possible.</w:t>
      </w:r>
    </w:p>
    <w:p>
      <w:pPr>
        <w:spacing w:after="0" w:line="188"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have developed a proprietary product engine, FulcrumSeek, that we employ to systematically identify and validate cellular drug targets that can potentially modulate gene expression to treat known root causes of genetically defined diseases. Our product engine integrates patient-derived tissue- 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losmapimod for FSHD and FTX-6058 for hemoglobinopathies, as well as a robust discovery pipeline.</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capital stock and from upfront payments received under our collaboration and license agreements.</w:t>
      </w:r>
    </w:p>
    <w:p>
      <w:pPr>
        <w:spacing w:after="0" w:line="18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August 2022, we issued and sold 11,029,410 shares of our common stock in a public offering at a public offering price of $7.82 per share, which includes 1,438,618 shares issued upon the exercise in full by the underwriters of their option to purchase additional shares at the public offering price, less underwriting discounts and commissions. The net proceeds of the offering were $80.8 million, after deducting underwriting discounts and commissions and offering expenses.</w:t>
      </w:r>
    </w:p>
    <w:p>
      <w:pPr>
        <w:spacing w:after="0" w:line="180"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In January 2023, we issued and sold 9,615,384 shares of our common stock in a public offering at a public offering price of $13.00 per share, less underwriting discounts and commissions. The net proceeds of the offering were $117.3 million, after deducting underwriting discounts and commissions and offering expenses.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8" w:name="page99"/>
    <w:bookmarkEnd w:id="98"/>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$109.9 million and $80.8 million for the years ended December 31, 2022 and 2021, respectively. As of December 31, 2022, we had an accumulated deficit of $412.3 million. We expect our expenses and operating losses will increase substantially over the next several years in connection with our ongoing activities, as we:</w:t>
      </w:r>
    </w:p>
    <w:p>
      <w:pPr>
        <w:spacing w:after="0" w:line="75" w:lineRule="exact"/>
        <w:rPr>
          <w:sz w:val="20"/>
          <w:szCs w:val="20"/>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losmapimod and FTX-6058, including efforts to resolve the clinical hold on FTX-6058;</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into later stage trials;</w:t>
      </w:r>
    </w:p>
    <w:p>
      <w:pPr>
        <w:spacing w:after="0" w:line="117" w:lineRule="exact"/>
        <w:rPr>
          <w:rFonts w:ascii="Times New Roman" w:cs="Times New Roman" w:eastAsia="Times New Roman" w:hAnsi="Times New Roman"/>
          <w:sz w:val="18"/>
          <w:szCs w:val="18"/>
          <w:color w:val="auto"/>
        </w:rPr>
      </w:pPr>
    </w:p>
    <w:p>
      <w:pPr>
        <w:ind w:left="900" w:right="52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affiliates of GSK under our right of reference and license agreement with GSK upon the achievement of specified clinical or regulatory milestones;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8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we had $202.9 million in cash, cash equivalents, and marketable securities. We believe that our existing cash, cash equivalents, and marketable securities, together with the net proceeds from the sale of our shares of common stock in the public offering in January 2023, will enable us to fund our operating expenses and capital expenditure requirements into mid-2025. We have based this estimate on assumptions that may prove to be wrong, and we could exhaust our available capital resources sooner than we expect. See “—Liquidity and Capital Resources.”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80" w:lineRule="exact"/>
        <w:rPr>
          <w:sz w:val="20"/>
          <w:szCs w:val="20"/>
          <w:color w:val="auto"/>
        </w:rPr>
      </w:pPr>
    </w:p>
    <w:p>
      <w:pPr>
        <w:jc w:val="both"/>
        <w:ind w:right="620" w:firstLine="509"/>
        <w:spacing w:after="0" w:line="266" w:lineRule="auto"/>
        <w:rPr>
          <w:sz w:val="20"/>
          <w:szCs w:val="20"/>
          <w:color w:val="auto"/>
        </w:rPr>
      </w:pPr>
      <w:r>
        <w:rPr>
          <w:rFonts w:ascii="Times New Roman" w:cs="Times New Roman" w:eastAsia="Times New Roman" w:hAnsi="Times New Roman"/>
          <w:sz w:val="18"/>
          <w:szCs w:val="18"/>
          <w:color w:val="auto"/>
        </w:rPr>
        <w:t>In December 2019, we entered into a collaboration and license agreement with Acceleron to identify biological targets to modulate specific pathways associated with a targeted indication within the pulmonary disease space. The agreement terminated effective October 1, 2022, following notification from Acceleron in June 2022 of its decision to terminate the agreement for convenience.</w:t>
      </w:r>
    </w:p>
    <w:p>
      <w:pPr>
        <w:spacing w:after="0" w:line="17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2022 and 2021, we recognized $1.0 million and $9.6 million, respectively, of collaboration revenue under the Acceleron collaboration agreement. As of December 31, 2022, we have recorded no deferred revenue associated with the Acceleron collaboration agreement. As of December 31, 2021, we have recorded $0.6 million of deferred revenue associated with the Acceleron collaboration agreement, which is classified as either current or net of current portion in our consolidated balance sheets based on the period over which the revenue was expected to be recognized. As of December 31, 2022, we had received $4.9 million of cost reimbursement payments and $2.0 million of milestone payments under the Acceleron collaboration agreement. As of December 31, 2022, we recorded no unbilled accounts receivable related to reimbursable research and development costs under the Acceleron collaboration agreement.</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July 20, 2020, we entered into a collaboration and license agreement with MyoKardia,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MyoKardia collaboration agreement, we received a $10.0 million upfront payment and a $2.5 million payment as prepaid research funding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To date, we have achieved a $2.5 million specified preclinical milestone.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2022 and 2021 we recognized $5.3 million and $9.6 million, respectively, of collaboration revenue under the MyoKardia collaboration agreement. As of December 31, 2022 and 2021, we have recorded $0.9 million and $4.1 million, respectively, of deferred revenue associated with the MyoKardia collaboration agreement, which is classified as either current or noncurrent, net of current portion in our consolidated balance sheets based on the period over which the revenue is expected to be recognized. As of December 31, 2022, we had received $5.6 million of cost reimbursement payments and $2.5 million of milestone payments under the MyoKardia collaboration agreement. As of December 31, 2022, we recorded unbilled accounts receivable of $0.2 million related to reimbursable research and development costs under the MyoKardia collaboration agreement for activities performed during the three months ended December 31, 2022.</w:t>
      </w:r>
    </w:p>
    <w:p>
      <w:pPr>
        <w:spacing w:after="0" w:line="18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 the future, we will recognize additional revenue associated with the $10.0 million upfront payment and the $2.5 million preclinical milestone achieved in December 2021 as we satisfy our performance obligation, and from reimbursement of costs incurred under the MyoKardia collaboration agreement. In the future, we may also generate additional revenue from</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00" w:name="page101"/>
    <w:bookmarkEnd w:id="100"/>
    <w:p>
      <w:pPr>
        <w:spacing w:after="0" w:line="266" w:lineRule="auto"/>
        <w:rPr>
          <w:sz w:val="20"/>
          <w:szCs w:val="20"/>
          <w:color w:val="auto"/>
        </w:rPr>
      </w:pPr>
      <w:r>
        <w:rPr>
          <w:rFonts w:ascii="Times New Roman" w:cs="Times New Roman" w:eastAsia="Times New Roman" w:hAnsi="Times New Roman"/>
          <w:sz w:val="18"/>
          <w:szCs w:val="18"/>
          <w:color w:val="auto"/>
        </w:rPr>
        <w:t>milestones and royalty payments under the MyoKardia collaboration agreement. We expect that our revenue will fluctuate from quarter-to-quarter and year-to-year based upon our pattern of performance under the MyoKardia collaboration agreement and as a result of the timing, amount, and achievement of milestones and reimbursement of costs incurred under the MyoKardia collaboration agreement.</w:t>
      </w:r>
    </w:p>
    <w:p>
      <w:pPr>
        <w:spacing w:after="0" w:line="17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by us for the discovery, development, and manufacture of our product candidates and include:</w:t>
      </w:r>
    </w:p>
    <w:p>
      <w:pPr>
        <w:spacing w:after="0" w:line="54" w:lineRule="exact"/>
        <w:rPr>
          <w:sz w:val="20"/>
          <w:szCs w:val="20"/>
          <w:color w:val="auto"/>
        </w:rPr>
      </w:pPr>
    </w:p>
    <w:p>
      <w:pPr>
        <w:ind w:left="900" w:right="78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contract manufacturing organizations, and consultants;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payroll taxes, employee benefits and stock-based compensation expenses for individuals involved in research and development efforts;</w:t>
      </w:r>
    </w:p>
    <w:p>
      <w:pPr>
        <w:spacing w:after="0" w:line="12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other operating costs;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expenses associated with our right of reference and license agreement with GSK.</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following nomination as a development candidate for the years ended December 31, 2022 and 2021. Pre-development candidate expenses, unallocated expenses and internal research and development expenses are classified separately. Losmapimod external expenses during the year ended December 31, 2022 include a $5.0 million milestone achieved under our right of reference and license agreement with GSK upon initiation of the REACH trial during the second quarter of 2022.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87"/>
        </w:trPr>
        <w:tc>
          <w:tcPr>
            <w:tcW w:w="170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26,260</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FTX-6058 external expenses</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76,782</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69,701</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33"/>
        </w:trPr>
        <w:tc>
          <w:tcPr>
            <w:tcW w:w="1700" w:type="dxa"/>
            <w:vAlign w:val="bottom"/>
          </w:tcPr>
          <w:p>
            <w:pPr>
              <w:spacing w:after="0"/>
              <w:rPr>
                <w:sz w:val="24"/>
                <w:szCs w:val="24"/>
                <w:color w:val="auto"/>
              </w:rPr>
            </w:pPr>
          </w:p>
        </w:tc>
        <w:tc>
          <w:tcPr>
            <w:tcW w:w="532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-521970</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-505460</wp:posOffset>
            </wp:positionV>
            <wp:extent cx="51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-521970</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1" w:name="page102"/>
    <w:bookmarkEnd w:id="101"/>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2" w:lineRule="exact"/>
        <w:rPr>
          <w:sz w:val="20"/>
          <w:szCs w:val="20"/>
          <w:color w:val="auto"/>
        </w:rPr>
      </w:pPr>
    </w:p>
    <w:p>
      <w:pPr>
        <w:ind w:left="900" w:hanging="383"/>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 including in light of the ongoing COVID-19 pandemic as well as our efforts to resolve the clinical hold on FTX-6058;</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commercialize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active pharmaceutical ingredient, or API, for use in production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operate a manufacturing facility, or secure manufacturing supply through relationships with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in quantities sufficient for use in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enforce, defend and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and when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8" w:right="379" w:bottom="1440" w:gutter="0" w:footer="0" w:header="0"/>
        </w:sectPr>
      </w:pPr>
    </w:p>
    <w:bookmarkStart w:id="102" w:name="page103"/>
    <w:bookmarkEnd w:id="102"/>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FSHD, advancing FTX-6058 for the treatment of certain hemoglobinopathies, including SCD, if we are able to resolve the current clinical hold,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22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August 2022, we announced the implementation of a strategic plan to realign internal investments and operations to prioritize our two clinical programs. In connection with this decision, we announced a workforce reduction of 25% of our planned headcount, which was completed in August 2022. Restructuring expenses consist of severance and other employee-related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related to our investments in cash equivalents and marketable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years ended December 31, 2022 and 2021, along with the changes in those items in dollars: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8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19,163</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3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76,782</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69,701</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3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Restructuring expenses</w:t>
            </w:r>
          </w:p>
        </w:tc>
        <w:tc>
          <w:tcPr>
            <w:tcW w:w="1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118,903</w:t>
            </w:r>
          </w:p>
        </w:tc>
        <w:tc>
          <w:tcPr>
            <w:tcW w:w="24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100,217</w:t>
            </w:r>
          </w:p>
        </w:tc>
        <w:tc>
          <w:tcPr>
            <w:tcW w:w="2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18,686</w:t>
            </w:r>
          </w:p>
        </w:tc>
        <w:tc>
          <w:tcPr>
            <w:tcW w:w="80" w:type="dxa"/>
            <w:vAlign w:val="bottom"/>
            <w:tcBorders>
              <w:top w:val="single" w:sz="8" w:color="CFF0FC"/>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(112,561</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(81,054</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(109,871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(80,847</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11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-1165225</wp:posOffset>
            </wp:positionV>
            <wp:extent cx="6032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-1165225</wp:posOffset>
            </wp:positionV>
            <wp:extent cx="5143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-1165225</wp:posOffset>
            </wp:positionV>
            <wp:extent cx="51435"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-522605</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-504825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-522605</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-504825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-522605</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Collaboration revenue decreased by $12.8 million from $19.2 million for the year ended December 31, 2021 to $6.3 million for the year ended December 31, 2022. We recognize revenue under each of the Acceleron and MyoKardia collaboration agreements based on our pattern of performance related to the respective identified performance obligation, which is the period over which we will perform research services under each of the agreements. For the years ended December 31, 2022 and 2021, we recognized $1.0 million and $9.6 million, respectively, of collaboration revenue under the Acceleron collaboration agreement and $5.3 million and $9.6 million of collaboration revenue, respectively, under the MyoKardia collaboration agreement.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2022 and 2021:</w:t>
      </w:r>
    </w:p>
    <w:p>
      <w:pPr>
        <w:spacing w:after="0" w:line="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5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44,944</w:t>
            </w: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36,934</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7"/>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(873 )</w:t>
            </w:r>
          </w:p>
        </w:tc>
        <w:tc>
          <w:tcPr>
            <w:tcW w:w="0" w:type="dxa"/>
            <w:vAlign w:val="bottom"/>
          </w:tcPr>
          <w:p>
            <w:pPr>
              <w:spacing w:after="0"/>
              <w:rPr>
                <w:sz w:val="1"/>
                <w:szCs w:val="1"/>
                <w:color w:val="auto"/>
              </w:rPr>
            </w:pPr>
          </w:p>
        </w:tc>
      </w:tr>
      <w:tr>
        <w:trPr>
          <w:trHeight w:val="23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36"/>
        </w:trPr>
        <w:tc>
          <w:tcPr>
            <w:tcW w:w="5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76,782</w:t>
            </w:r>
          </w:p>
        </w:tc>
        <w:tc>
          <w:tcPr>
            <w:tcW w:w="20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69,701</w:t>
            </w:r>
          </w:p>
        </w:tc>
        <w:tc>
          <w:tcPr>
            <w:tcW w:w="1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-187960</wp:posOffset>
            </wp:positionV>
            <wp:extent cx="60325"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wp:posOffset>
            </wp:positionV>
            <wp:extent cx="51435"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7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by $7.1 million from $69.7 million for the year ended December 31, 2021 to $76.8 million for the year ended December 31, 2022. The increase in research and development expense was primarily attributable to the following:</w:t>
      </w:r>
    </w:p>
    <w:p>
      <w:pPr>
        <w:spacing w:after="0" w:line="54" w:lineRule="exact"/>
        <w:rPr>
          <w:sz w:val="20"/>
          <w:szCs w:val="20"/>
          <w:color w:val="auto"/>
        </w:rPr>
      </w:pPr>
    </w:p>
    <w:p>
      <w:pPr>
        <w:ind w:left="1020" w:right="180" w:hanging="503"/>
        <w:spacing w:after="0" w:line="266"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million in increased external research and development costs, primarily to support the advancement of our lead programs, including a $5.0 million milestone achieved during the second quarter of 2022 under the right of reference and license agreement with GSK upon the initiation of REACH during the second quarter of 2022, offset by a $0.9 million decrease in laboratory supplies costs.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years ended December 31, 2022 and 2021:</w:t>
      </w:r>
    </w:p>
    <w:p>
      <w:pPr>
        <w:spacing w:after="0" w:line="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41,694</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30,516</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-25400</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51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51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$11.2 million from $30.5 million for the year ended December 31, 2021 to $41.7 million for the year ended December 31, 2022. The increase in general and administrative expenses was primarily attributable to the following:</w:t>
      </w:r>
    </w:p>
    <w:p>
      <w:pPr>
        <w:spacing w:after="0" w:line="54" w:lineRule="exact"/>
        <w:rPr>
          <w:sz w:val="20"/>
          <w:szCs w:val="20"/>
          <w:color w:val="auto"/>
        </w:rPr>
      </w:pPr>
    </w:p>
    <w:p>
      <w:pPr>
        <w:ind w:left="900" w:right="4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million in increased employee compensation costs, including a $3.0 million increase in stock-based compensation expense, primarily due to increased general and administrative headcount;</w:t>
      </w:r>
    </w:p>
    <w:p>
      <w:pPr>
        <w:spacing w:after="0" w:line="53"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in increased facility-related costs, primarily associated with our lease agreement for additional office space in Cambridge, Massachusetts, which commenced in November 2021, as well as depreciation and other utility and maintenance costs;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in increased professional services, primarily due to increased use of consulting services;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in increased other costs.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6" w:right="3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i w:val="1"/>
          <w:iCs w:val="1"/>
          <w:color w:val="auto"/>
        </w:rPr>
        <w:t>Restructuring Expenses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Restructuring charges were $0.4 million for the year ended December 31, 2022, compared to zero for the year ended December 31, 2021. In August 2022, we announced the implementation of a strategic plan to realign internal investments and operations to prioritize our two clinical programs. In connection with this decision, we announced a workforce reduction of 25% of our planned headcount, which was completed in August 2022.</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Other income, net increased by $2.5 million from $0.2 million for the year ended December 31, 2021 to $2.7 million for the year ended December 31, 2022. The increase in other income, net was primarily attributable to an increased rate of return.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December 31, 2022, we have funded our operations primarily with aggregate gross proceeds of $587.5 million from the sale of shares of our capital stock and from upfront payments received under our collaboration and license agreements. As of December 31, 2022, we had cash, cash equivalents, and marketable securities of $202.9 million.</w:t>
      </w:r>
    </w:p>
    <w:p>
      <w:pPr>
        <w:spacing w:after="0" w:line="79"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In August 2022, we completed a public offering of our common stock and issued and sold 11,029,410 shares of common stock at a public offering price of $7.82 per share, resulting in net proceeds of $80.8 million after deducting underwriting discounts and commissions and offering expenses.</w:t>
      </w:r>
    </w:p>
    <w:p>
      <w:pPr>
        <w:spacing w:after="0" w:line="32"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In January 2023, we completed a public offering of our common stock and issued and sold 9,615,384 shares of common stock at a public offering price of $13.00 per share, resulting in net proceeds of $117.3 million after deducting underwriting discounts and commissions and offering expenses.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2022 and 2021:</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7"/>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(97,050</w:t>
            </w:r>
          </w:p>
        </w:tc>
        <w:tc>
          <w:tcPr>
            <w:tcW w:w="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(78,478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0"/>
                <w:szCs w:val="20"/>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(129,669 )</w:t>
            </w:r>
          </w:p>
        </w:tc>
        <w:tc>
          <w:tcPr>
            <w:tcW w:w="20" w:type="dxa"/>
            <w:vAlign w:val="bottom"/>
          </w:tcPr>
          <w:p>
            <w:pPr>
              <w:spacing w:after="0"/>
              <w:rPr>
                <w:sz w:val="20"/>
                <w:szCs w:val="20"/>
                <w:color w:val="auto"/>
              </w:rPr>
            </w:pPr>
          </w:p>
        </w:tc>
      </w:tr>
      <w:tr>
        <w:trPr>
          <w:trHeight w:val="24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84,323</w:t>
            </w:r>
          </w:p>
        </w:tc>
        <w:tc>
          <w:tcPr>
            <w:tcW w:w="2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186,507</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(21,640 )</w:t>
            </w:r>
          </w:p>
        </w:tc>
        <w:tc>
          <w:tcPr>
            <w:tcW w:w="2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-187960</wp:posOffset>
            </wp:positionV>
            <wp:extent cx="51435"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$97.1 million during the year ended December 31, 2022 compared to net cash used in operating activities of $78.5 million during the year ended December 31, 2021. The increase in net cash used in operating activities of $18.6 million was primarily due to increased external research and development costs as we continue to advance our lead programs, increased employee compensation costs, and increased general and administrative costs to support the growth of our organization.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$12.4 million during the year ended December 31, 2022 compared to net cash used in investing activities of $129.7 million during the year ended December 31, 2021. The increase in net cash provided by investing activities of $142.0 million was primarily due to net maturities of marketable securities during the year ended December 31, 2022, as compared to net purchases of marketable securities during the year ended December 31, 2021.</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9" w:right="4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$84.3 million during the year ended December 31, 2022 compared to net cash provided by financing activities of $186.5 million during the year ended December 31, 2021. Net cash provided by financing activities during the year ended December 31, 2022 primarily consisted of net proceeds of $80.8 million from the completion of the public offering of our common stock in August 2022. Net cash provided by financing activities during the year ended December 31, 2021 primarily consisted of net proceeds of $182.9 million from the completion of the public offerings of our common stock in January 2021 and August 2021.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to support the growth of our organization. As a result, we expect to incur substantial operating losses and negative operating cash flows for the foreseeable future.</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December 31, 2022, together with the net proceeds from the sale of our shares of common stock in a public offering in January 2023, will enable us to fund our operating expenses and capital expenditure requirements into mid-2025. However, we have based this estimate on assumptions that may prove to be wrong and we could exhaust our capital resources sooner than we expect.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right="320" w:hanging="383"/>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clinical trials of losmapimod and FTX-6058, including our efforts to resolve the clinical hold on FTX-6058;</w:t>
      </w:r>
    </w:p>
    <w:p>
      <w:pPr>
        <w:spacing w:after="0" w:line="53"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on our business and operations;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MyoKardia;</w:t>
      </w:r>
    </w:p>
    <w:p>
      <w:pPr>
        <w:spacing w:after="0" w:line="117"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06" w:name="page107"/>
    <w:bookmarkEnd w:id="106"/>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accounting policies discussed below are critical to understanding our historical and future performance, as these policies relate to the most significant areas involving management’s judgments and estimates. See Note 2 to our consolidated financial statements included elsewhere in this Annual Report on Form 10-K for a description of our other significant accounting policies.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3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We account for revenue recognition under the Financial Accounting Standards Board Accounting Standards Codification, or ASC,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We recognize revenue pursuant to ASC 606 when our customer obtains control of promised goods or services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that reflects the consideration which we expect to receive in exchange for those goods or services.</w:t>
      </w:r>
    </w:p>
    <w:p>
      <w:pPr>
        <w:spacing w:after="0" w:line="6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we assess the goods or services promised within the contract and determine those that are performance obligations. We then determine the transaction price and allocate it to the identified performance obligations. As part of the accounting for these arrangements, we must use significant judgment to determine the number of performance obligations and the transaction price, including the determination of whether milestones or other variable consideration should be included in the transaction price.</w:t>
      </w:r>
    </w:p>
    <w:p>
      <w:pPr>
        <w:spacing w:after="0" w:line="72"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We use judgment to determine whether milestones or other variable consideration should be included in the transaction price. As part of management’s evaluation of the transaction price, we consider numerous factors, including whether the achievement of the milestones is outside of our control, contingent upon the efforts of others or subject to the risks of success. If we conclude it is probable that a significant revenue reversal would not occur, the associated milestone payment is included in the transaction price. Milestone payments that are based on the occurrence of events not within our control, such as regulatory approvals, are generally not considered probable of being achieved until the underlying events occur or the associated approvals are received. At the end of each reporting period, we re-evaluate the estimated variable consideration included in the transaction price and any related constraint, and if necessary, adjust the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spacing w:after="0" w:line="6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7" w:name="page108"/>
    <w:bookmarkEnd w:id="107"/>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recognize as revenue the amount of the transaction price that is allocated to the respective performance obligation when (or as) the performance obligation is satisfied, either at a point in time or over time. If the performance obligation is satisfied over time, we recognize revenue based on the use of either an output or input method. The estimation of measure of progress is complex, involves significant judgment, and is affected by our estimates of the total costs required to complete the performance obligations, including the total internal personnel costs and external costs to be incurred. Changes in these estimates can have a material effect on our revenue recognition. If the entity does not satisfy a performance obligation over time, the related performance obligation is satisfied at a point in time by transferring the control of a promised good or service to a customer.</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For further description of our revenue recognition policy, see Note 2 “Summary of Significant Accounting Policies—Revenue Recognition” to our audited consolidated financial statements included elsewhere in this Annual Report on Form 10-K. See also Note 10, “Collaboration and License Agreements” to our audited consolidated financial statements included elsewhere in this Annual Report on Form 10-K for further information on the application of ASC 606 to the Acceleron and MyoKardia collaboration agreements.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9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measure stock-based compensation expense related to all restricted stock awards, restricted stock units, and stock options based on the fair value of the award on the date of grant. We recognize compensation expense for these awards over the requisite service period, which is generally the vesting period of the respective award. Generally, we issue awards with only service-based vesting conditions and record the expense for these awards using the straight-line method. We have also granted certain stock-based awards with performance-based vesting conditions. We recognize compensation expense for awards with performance-based vesting conditions over the remaining service period using an accelerated attribution method when management determines that achievement of the performance condition is probable. At each reporting date, we evaluate if the achievement of a performance-based milestone is probable based on the expected satisfaction of the performance conditions.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8" w:name="page109"/>
    <w:bookmarkEnd w:id="108"/>
    <w:p>
      <w:pPr>
        <w:ind w:firstLine="509"/>
        <w:spacing w:after="0" w:line="253" w:lineRule="auto"/>
        <w:rPr>
          <w:sz w:val="20"/>
          <w:szCs w:val="20"/>
          <w:color w:val="auto"/>
        </w:rPr>
      </w:pPr>
      <w:r>
        <w:rPr>
          <w:rFonts w:ascii="Times New Roman" w:cs="Times New Roman" w:eastAsia="Times New Roman" w:hAnsi="Times New Roman"/>
          <w:sz w:val="18"/>
          <w:szCs w:val="18"/>
          <w:color w:val="auto"/>
        </w:rPr>
        <w:t>We determine the fair value of restricted stock awards and restricted stock units based on the estimated fair value of our common stock on the date of grant, less any applicable purchase price. We estimate the fair value of stock options granted using the Black-Scholes option-pricing model. The determination of the grant date fair value of stock options using an option pricing model is affected principally by our estimated fair value of our common stock and requires management to make a number of other assumptions, including the expected term of the option, the estimated volatility of the underlying shares, the risk-free interest rate, and expected dividends. The assumptions used in the determination of the grant date fair value of stock options represent management’s best estimates at the time of measurement. Given the lack of public market for our common stock prior to the closing of our IPO and a lack of company-specific historical and implied volatility data, we based the estimate of expected volatility on the historical volatility of a representative group of publicly traded companies for which historical information is available. The historical volatility is calculated based on a period of time commensurate with the assumption used for the expected term. We use the simplified method to calculate the expected term for all stock options. We utilize this method as we do not have sufficient historical exercise data to provide a reasonable basis upon which to estimate the expected term. The risk-free interest rate is based on a U.S. treasury instrument whose term is consistent with the expected term of the stock options. The expected dividend yield is assumed to be zero as we have never paid dividends and do not have current plans to pay any dividends on common stock.</w:t>
      </w:r>
    </w:p>
    <w:p>
      <w:pPr>
        <w:spacing w:after="0" w:line="19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In future periods, we expect stock-based compensation expense to increase, due in part to our existing unrecognized stock-based compensation expense and as we grant additional stock-based awards to continue to attract and retain our employees.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account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As of each balance sheet date, we did not have any uncertain tax positions.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audited consolidated financial statements appearing elsewhere in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and our investments are in short-term marketable securities, such as corporate bonds and commercial paper. As of December 31, 2022, we had cash, cash equivalents, and marketable securities of $202.9 million. Interest income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9" w:name="page110"/>
    <w:bookmarkEnd w:id="109"/>
    <w:p>
      <w:pPr>
        <w:ind w:right="380"/>
        <w:spacing w:after="0" w:line="282" w:lineRule="auto"/>
        <w:rPr>
          <w:sz w:val="20"/>
          <w:szCs w:val="20"/>
          <w:color w:val="auto"/>
        </w:rPr>
      </w:pPr>
      <w:r>
        <w:rPr>
          <w:rFonts w:ascii="Times New Roman" w:cs="Times New Roman" w:eastAsia="Times New Roman" w:hAnsi="Times New Roman"/>
          <w:sz w:val="18"/>
          <w:szCs w:val="18"/>
          <w:color w:val="auto"/>
        </w:rPr>
        <w:t>is sensitive to changes in the general level of interest rates; however, due to the nature of these investments, an immediate 10% change in interest rates would not have a material effect on the fair market value of our investment portfolio.</w:t>
      </w:r>
    </w:p>
    <w:p>
      <w:pPr>
        <w:spacing w:after="0" w:line="162"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December 31, 2022, we had minimal or no liabilities denominated in foreign currencies.</w:t>
      </w:r>
    </w:p>
    <w:p>
      <w:pPr>
        <w:spacing w:after="0" w:line="180"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had a material effect on our business, financial condition or results of operations during the years ended December 31, 2022 and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together with the independent registered public accounting firm report thereon, are presented beginning on page F-1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interim Chief Executive Officer and Chief Financial Officer (our principal executive officer and principal financial officer, respectively), evaluated the effectiveness of our disclosure controls and procedures as of December 31, 2022.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2022, our interim Chief Executive Officer and Chief Financial Officer concluded that, as of such date,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the company.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 w:lineRule="exact"/>
        <w:rPr>
          <w:sz w:val="20"/>
          <w:szCs w:val="20"/>
          <w:color w:val="auto"/>
        </w:rPr>
      </w:pPr>
    </w:p>
    <w:p>
      <w:pPr>
        <w:ind w:left="1260" w:right="800" w:hanging="368"/>
        <w:spacing w:after="0" w:line="260" w:lineRule="auto"/>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 company’s assets;</w:t>
      </w:r>
    </w:p>
    <w:p>
      <w:pPr>
        <w:spacing w:after="0" w:line="73" w:lineRule="exact"/>
        <w:rPr>
          <w:rFonts w:ascii="Times New Roman" w:cs="Times New Roman" w:eastAsia="Times New Roman" w:hAnsi="Times New Roman"/>
          <w:sz w:val="18"/>
          <w:szCs w:val="18"/>
          <w:color w:val="auto"/>
        </w:rPr>
      </w:pPr>
    </w:p>
    <w:p>
      <w:pPr>
        <w:ind w:left="1260" w:right="100" w:hanging="368"/>
        <w:spacing w:after="0" w:line="266" w:lineRule="auto"/>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a company’s management and directors; and</w:t>
      </w:r>
    </w:p>
    <w:p>
      <w:pPr>
        <w:spacing w:after="0" w:line="67" w:lineRule="exact"/>
        <w:rPr>
          <w:rFonts w:ascii="Times New Roman" w:cs="Times New Roman" w:eastAsia="Times New Roman" w:hAnsi="Times New Roman"/>
          <w:sz w:val="18"/>
          <w:szCs w:val="18"/>
          <w:color w:val="auto"/>
        </w:rPr>
      </w:pPr>
    </w:p>
    <w:p>
      <w:pPr>
        <w:ind w:left="1260" w:right="380" w:hanging="368"/>
        <w:spacing w:after="0" w:line="282" w:lineRule="auto"/>
        <w:tabs>
          <w:tab w:leader="none" w:pos="1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a company’s assets that could have a material effect on the financial statements.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10" w:name="page111"/>
    <w:bookmarkEnd w:id="110"/>
    <w:p>
      <w:pPr>
        <w:ind w:firstLine="509"/>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principal executive officer and principal financial officer, our management assessed the effectiveness of our internal control over financial reporting as of December 31, 2022 based on the criteria set forth by the Committee of Sponsoring Organizations of the Treadway Commission (COSO) in Internal Control—Integrated Framework (2013 framework). Based on this assessment, management concluded that our internal control over financial reporting was effective as of December 31, 2022.</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due to an exemption established by the JOBS Act for “emerging growth companies”.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three months ended December 31, 2022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1" w:name="page112"/>
    <w:bookmarkEnd w:id="111"/>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Except to the extent provided below, the information required by this Item 10 will be included in our Definitive Proxy Statement to be filed with the SEC, with respect to our 2023 Annual Meeting of Stockholders and is incorporated herein by reference.</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post our Code of Business Conduct and Ethics, which applies to our directors, officers and employees, including our principal executive officer, principal financial officer, principal accounting officer or controller, or persons performing similar functions, in the “Corporate Governance” sub-section of the “Investor Relations” section (ir.fulcrumtx.com) of our corporate website at www.fulcrumtx.com. We intend to disclose on our website any amendments to, or waivers from, the Code of Business Conduct and Ethics that are required to be disclosed pursuant to the disclosure requirements of Item 5.05 of Form 8-K.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2023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2023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2023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2023 Annual Meeting of Stockholders and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2" w:name="page113"/>
    <w:bookmarkEnd w:id="11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documents are included on pages F-1 through F-31 attached hereto and are filed as part of this Annual Report on Form 10-K.</w:t>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7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1034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760" w:type="dxa"/>
            <w:vAlign w:val="bottom"/>
          </w:tcPr>
          <w:p>
            <w:pPr>
              <w:ind w:left="500"/>
              <w:spacing w:after="0" w:line="182" w:lineRule="exact"/>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0" w:type="dxa"/>
            <w:vAlign w:val="bottom"/>
            <w:shd w:val="clear" w:color="auto" w:fill="0000EE"/>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 w:type="dxa"/>
            <w:vAlign w:val="bottom"/>
            <w:shd w:val="clear" w:color="auto" w:fill="0000EE"/>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7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0" w:type="dxa"/>
            <w:vAlign w:val="bottom"/>
            <w:shd w:val="clear" w:color="auto" w:fill="0000EE"/>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3"/>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2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consolidated financial statements or the notes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21"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13" w:name="page114"/>
    <w:bookmarkEnd w:id="11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60" w:type="dxa"/>
            <w:vAlign w:val="bottom"/>
          </w:tcPr>
          <w:p>
            <w:pPr>
              <w:spacing w:after="0"/>
              <w:rPr>
                <w:sz w:val="16"/>
                <w:szCs w:val="16"/>
                <w:color w:val="auto"/>
              </w:rPr>
            </w:pPr>
          </w:p>
        </w:tc>
      </w:tr>
      <w:tr>
        <w:trPr>
          <w:trHeight w:val="183"/>
        </w:trPr>
        <w:tc>
          <w:tcPr>
            <w:tcW w:w="100" w:type="dxa"/>
            <w:vAlign w:val="bottom"/>
          </w:tcPr>
          <w:p>
            <w:pPr>
              <w:spacing w:after="0"/>
              <w:rPr>
                <w:sz w:val="15"/>
                <w:szCs w:val="15"/>
                <w:color w:val="auto"/>
              </w:rPr>
            </w:pPr>
          </w:p>
        </w:tc>
        <w:tc>
          <w:tcPr>
            <w:tcW w:w="1038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700" w:type="dxa"/>
            <w:vAlign w:val="bottom"/>
          </w:tcPr>
          <w:p>
            <w:pPr>
              <w:ind w:left="440"/>
              <w:spacing w:after="0" w:line="182" w:lineRule="exact"/>
              <w:rPr>
                <w:sz w:val="20"/>
                <w:szCs w:val="20"/>
                <w:color w:val="auto"/>
              </w:rPr>
            </w:pPr>
            <w:r>
              <w:rPr>
                <w:rFonts w:ascii="Times New Roman" w:cs="Times New Roman" w:eastAsia="Times New Roman" w:hAnsi="Times New Roman"/>
                <w:sz w:val="18"/>
                <w:szCs w:val="18"/>
                <w:color w:val="auto"/>
                <w:w w:val="95"/>
              </w:rPr>
              <w:t>F-2</w:t>
            </w:r>
          </w:p>
        </w:tc>
        <w:tc>
          <w:tcPr>
            <w:tcW w:w="60" w:type="dxa"/>
            <w:vAlign w:val="bottom"/>
          </w:tcPr>
          <w:p>
            <w:pPr>
              <w:spacing w:after="0"/>
              <w:rPr>
                <w:sz w:val="15"/>
                <w:szCs w:val="15"/>
                <w:color w:val="auto"/>
              </w:rPr>
            </w:pPr>
          </w:p>
        </w:tc>
      </w:tr>
      <w:tr>
        <w:trPr>
          <w:trHeight w:val="20"/>
        </w:trPr>
        <w:tc>
          <w:tcPr>
            <w:tcW w:w="10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F-3</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F-4</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F-5</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F-6</w:t>
            </w:r>
          </w:p>
        </w:tc>
        <w:tc>
          <w:tcPr>
            <w:tcW w:w="60" w:type="dxa"/>
            <w:vAlign w:val="bottom"/>
          </w:tcPr>
          <w:p>
            <w:pPr>
              <w:spacing w:after="0"/>
              <w:rPr>
                <w:sz w:val="19"/>
                <w:szCs w:val="19"/>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5"/>
              </w:rPr>
              <w:t>F-7</w:t>
            </w:r>
          </w:p>
        </w:tc>
        <w:tc>
          <w:tcPr>
            <w:tcW w:w="60" w:type="dxa"/>
            <w:vAlign w:val="bottom"/>
          </w:tcPr>
          <w:p>
            <w:pPr>
              <w:spacing w:after="0"/>
              <w:rPr>
                <w:sz w:val="19"/>
                <w:szCs w:val="19"/>
                <w:color w:val="auto"/>
              </w:rPr>
            </w:pPr>
          </w:p>
        </w:tc>
      </w:tr>
      <w:tr>
        <w:trPr>
          <w:trHeight w:val="682"/>
        </w:trPr>
        <w:tc>
          <w:tcPr>
            <w:tcW w:w="10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F-1</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7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Fulcrum Therapeutics,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Fulcrum Therapeutics, Inc. (the Company) as of December 31, 2022 and 2021,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U.S. generally accepted accounting principles.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15" w:name="page116"/>
    <w:bookmarkEnd w:id="1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35,412</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182,750</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207,519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225,998</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20"/>
                <w:szCs w:val="20"/>
                <w:color w:val="auto"/>
              </w:rPr>
            </w:pPr>
          </w:p>
        </w:tc>
      </w:tr>
      <w:tr>
        <w:trPr>
          <w:trHeight w:val="277"/>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226,685</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lease incentive, current portion</w:t>
            </w:r>
          </w:p>
        </w:tc>
        <w:tc>
          <w:tcPr>
            <w:tcW w:w="24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0"/>
                <w:szCs w:val="20"/>
                <w:color w:val="auto"/>
              </w:rPr>
            </w:pPr>
          </w:p>
        </w:tc>
      </w:tr>
      <w:tr>
        <w:trPr>
          <w:trHeight w:val="241"/>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16,725</w:t>
            </w:r>
          </w:p>
        </w:tc>
        <w:tc>
          <w:tcPr>
            <w:tcW w:w="3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19,199</w:t>
            </w:r>
          </w:p>
        </w:tc>
        <w:tc>
          <w:tcPr>
            <w:tcW w:w="100" w:type="dxa"/>
            <w:vAlign w:val="bottom"/>
            <w:shd w:val="clear" w:color="auto" w:fill="CFF0FC"/>
          </w:tcPr>
          <w:p>
            <w:pPr>
              <w:spacing w:after="0"/>
              <w:rPr>
                <w:sz w:val="20"/>
                <w:szCs w:val="20"/>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excluding current portion</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 excluding current portion</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 excluding current portion</w:t>
            </w:r>
          </w:p>
        </w:tc>
        <w:tc>
          <w:tcPr>
            <w:tcW w:w="24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20"/>
                <w:szCs w:val="20"/>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lease incentive, excluding current portion</w:t>
            </w:r>
          </w:p>
        </w:tc>
        <w:tc>
          <w:tcPr>
            <w:tcW w:w="2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FF0FC"/>
          </w:tcPr>
          <w:p>
            <w:pPr>
              <w:spacing w:after="0"/>
              <w:rPr>
                <w:sz w:val="21"/>
                <w:szCs w:val="21"/>
                <w:color w:val="auto"/>
              </w:rPr>
            </w:pPr>
          </w:p>
        </w:tc>
      </w:tr>
      <w:tr>
        <w:trPr>
          <w:trHeight w:val="236"/>
        </w:trPr>
        <w:tc>
          <w:tcPr>
            <w:tcW w:w="76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27,743</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100" w:type="dxa"/>
            <w:vAlign w:val="bottom"/>
            <w:tcBorders>
              <w:top w:val="single" w:sz="8" w:color="CFF0FC"/>
            </w:tcBorders>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2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200,000,000 shares authorized; 52,099,211 and 40,636,398 shares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as of December 31, 2022 and December 31, 2021, respectively; 52,099,211 and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40,626,224 shares outstanding as of December 31, 2022 and December 31, 2021, respectively</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r>
      <w:tr>
        <w:trPr>
          <w:trHeight w:val="250"/>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at cost; no shares</w:t>
            </w:r>
          </w:p>
        </w:tc>
        <w:tc>
          <w:tcPr>
            <w:tcW w:w="2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612,025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514,362</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(797 )</w:t>
            </w: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(397 )</w:t>
            </w:r>
          </w:p>
        </w:tc>
      </w:tr>
      <w:tr>
        <w:trPr>
          <w:trHeight w:val="239"/>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(412,338 )</w:t>
            </w:r>
          </w:p>
        </w:tc>
        <w:tc>
          <w:tcPr>
            <w:tcW w:w="22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(302,467 )</w:t>
            </w:r>
          </w:p>
        </w:tc>
      </w:tr>
      <w:tr>
        <w:trPr>
          <w:trHeight w:val="237"/>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198,942</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211,539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226,685</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-4851400</wp:posOffset>
            </wp:positionV>
            <wp:extent cx="6858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-4851400</wp:posOffset>
            </wp:positionV>
            <wp:extent cx="68580"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-3908425</wp:posOffset>
            </wp:positionV>
            <wp:extent cx="1251585"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51585"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-2022475</wp:posOffset>
            </wp:positionV>
            <wp:extent cx="68580"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6" w:name="page117"/>
    <w:bookmarkEnd w:id="11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63"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19,163</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76,782</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69,701</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41,694</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30,516</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expenses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118,903</w:t>
            </w: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100,217</w:t>
            </w:r>
          </w:p>
        </w:tc>
        <w:tc>
          <w:tcPr>
            <w:tcW w:w="100" w:type="dxa"/>
            <w:vAlign w:val="bottom"/>
            <w:tcBorders>
              <w:top w:val="single" w:sz="8" w:color="CFF0FC"/>
            </w:tcBorders>
          </w:tcPr>
          <w:p>
            <w:pPr>
              <w:spacing w:after="0"/>
              <w:rPr>
                <w:sz w:val="20"/>
                <w:szCs w:val="20"/>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(112,561</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(109,871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(80,847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(2.44 )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44,991</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8"/>
        </w:trPr>
        <w:tc>
          <w:tcPr>
            <w:tcW w:w="7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(109,871 )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(80,847 )</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80" w:type="dxa"/>
            <w:vAlign w:val="bottom"/>
          </w:tcPr>
          <w:p>
            <w:pPr>
              <w:spacing w:after="0"/>
              <w:rPr>
                <w:sz w:val="20"/>
                <w:szCs w:val="20"/>
                <w:color w:val="auto"/>
              </w:rPr>
            </w:pP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(400 )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36"/>
        </w:trPr>
        <w:tc>
          <w:tcPr>
            <w:tcW w:w="77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(110,271 )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(81,242 )</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-2150745</wp:posOffset>
            </wp:positionV>
            <wp:extent cx="6858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-1508125</wp:posOffset>
            </wp:positionV>
            <wp:extent cx="1243330" cy="205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43330" cy="20574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-1148080</wp:posOffset>
            </wp:positionV>
            <wp:extent cx="1243330"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4333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7" w:name="page118"/>
    <w:bookmarkEnd w:id="11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Accumul</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center"/>
              <w:ind w:right="215"/>
              <w:spacing w:after="0"/>
              <w:rPr>
                <w:sz w:val="20"/>
                <w:szCs w:val="20"/>
                <w:color w:val="auto"/>
              </w:rPr>
            </w:pPr>
            <w:r>
              <w:rPr>
                <w:rFonts w:ascii="Times New Roman" w:cs="Times New Roman" w:eastAsia="Times New Roman" w:hAnsi="Times New Roman"/>
                <w:sz w:val="17"/>
                <w:szCs w:val="17"/>
                <w:b w:val="1"/>
                <w:bCs w:val="1"/>
                <w:color w:val="auto"/>
              </w:rPr>
              <w:t>ated</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center"/>
              <w:ind w:right="21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1720" w:type="dxa"/>
            <w:vAlign w:val="bottom"/>
            <w:gridSpan w:val="3"/>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17"/>
                <w:szCs w:val="17"/>
                <w:color w:val="auto"/>
              </w:rPr>
            </w:pPr>
          </w:p>
        </w:tc>
        <w:tc>
          <w:tcPr>
            <w:tcW w:w="920" w:type="dxa"/>
            <w:vAlign w:val="bottom"/>
            <w:gridSpan w:val="3"/>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Compreh</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Accumulate</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6"/>
        </w:trPr>
        <w:tc>
          <w:tcPr>
            <w:tcW w:w="2900" w:type="dxa"/>
            <w:vAlign w:val="bottom"/>
          </w:tcPr>
          <w:p>
            <w:pPr>
              <w:spacing w:after="0"/>
              <w:rPr>
                <w:sz w:val="19"/>
                <w:szCs w:val="19"/>
                <w:color w:val="auto"/>
              </w:rPr>
            </w:pPr>
          </w:p>
        </w:tc>
        <w:tc>
          <w:tcPr>
            <w:tcW w:w="1720" w:type="dxa"/>
            <w:vAlign w:val="bottom"/>
            <w:tcBorders>
              <w:bottom w:val="single" w:sz="8" w:color="auto"/>
            </w:tcBorders>
            <w:gridSpan w:val="3"/>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center"/>
              <w:ind w:right="215"/>
              <w:spacing w:after="0"/>
              <w:rPr>
                <w:sz w:val="20"/>
                <w:szCs w:val="20"/>
                <w:color w:val="auto"/>
              </w:rPr>
            </w:pPr>
            <w:r>
              <w:rPr>
                <w:rFonts w:ascii="Times New Roman" w:cs="Times New Roman" w:eastAsia="Times New Roman" w:hAnsi="Times New Roman"/>
                <w:sz w:val="17"/>
                <w:szCs w:val="17"/>
                <w:b w:val="1"/>
                <w:bCs w:val="1"/>
                <w:color w:val="auto"/>
                <w:w w:val="99"/>
              </w:rPr>
              <w:t>ensive</w:t>
            </w:r>
          </w:p>
        </w:tc>
        <w:tc>
          <w:tcPr>
            <w:tcW w:w="160" w:type="dxa"/>
            <w:vAlign w:val="bottom"/>
          </w:tcPr>
          <w:p>
            <w:pPr>
              <w:spacing w:after="0"/>
              <w:rPr>
                <w:sz w:val="19"/>
                <w:szCs w:val="19"/>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d</w:t>
            </w:r>
          </w:p>
        </w:tc>
        <w:tc>
          <w:tcPr>
            <w:tcW w:w="18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2900" w:type="dxa"/>
            <w:vAlign w:val="bottom"/>
          </w:tcPr>
          <w:p>
            <w:pPr>
              <w:spacing w:after="0"/>
              <w:rPr>
                <w:sz w:val="19"/>
                <w:szCs w:val="19"/>
                <w:color w:val="auto"/>
              </w:rPr>
            </w:pPr>
          </w:p>
        </w:tc>
        <w:tc>
          <w:tcPr>
            <w:tcW w:w="116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center"/>
              <w:ind w:right="195"/>
              <w:spacing w:after="0"/>
              <w:rPr>
                <w:sz w:val="20"/>
                <w:szCs w:val="20"/>
                <w:color w:val="auto"/>
              </w:rPr>
            </w:pPr>
            <w:r>
              <w:rPr>
                <w:rFonts w:ascii="Times New Roman" w:cs="Times New Roman" w:eastAsia="Times New Roman" w:hAnsi="Times New Roman"/>
                <w:sz w:val="17"/>
                <w:szCs w:val="17"/>
                <w:b w:val="1"/>
                <w:bCs w:val="1"/>
                <w:color w:val="auto"/>
              </w:rPr>
              <w:t>Loss</w:t>
            </w:r>
          </w:p>
        </w:tc>
        <w:tc>
          <w:tcPr>
            <w:tcW w:w="160" w:type="dxa"/>
            <w:vAlign w:val="bottom"/>
          </w:tcPr>
          <w:p>
            <w:pPr>
              <w:spacing w:after="0"/>
              <w:rPr>
                <w:sz w:val="19"/>
                <w:szCs w:val="19"/>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Deficit</w:t>
            </w:r>
          </w:p>
        </w:tc>
        <w:tc>
          <w:tcPr>
            <w:tcW w:w="18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0" w:type="dxa"/>
            <w:vAlign w:val="bottom"/>
          </w:tcPr>
          <w:p>
            <w:pPr>
              <w:spacing w:after="0"/>
              <w:rPr>
                <w:sz w:val="1"/>
                <w:szCs w:val="1"/>
                <w:color w:val="auto"/>
              </w:rPr>
            </w:pPr>
          </w:p>
        </w:tc>
      </w:tr>
      <w:tr>
        <w:trPr>
          <w:trHeight w:val="225"/>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2020</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27,941,566</w:t>
            </w:r>
          </w:p>
        </w:tc>
        <w:tc>
          <w:tcPr>
            <w:tcW w:w="18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0" w:type="dxa"/>
            <w:vAlign w:val="bottom"/>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316,775</w:t>
            </w:r>
          </w:p>
        </w:tc>
        <w:tc>
          <w:tcPr>
            <w:tcW w:w="16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(221,620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90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Issuance of common stock in</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connection with public offering, net</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of issuance costs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12,190,000</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182,845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182,857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Issuance of common stock under</w:t>
            </w: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employee benefit plans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381,967</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3,667</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Vesting of restricted stock awards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112,691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Repurchase of unvested restricted</w:t>
            </w: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stock awards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2,971</w:t>
            </w:r>
          </w:p>
        </w:tc>
        <w:tc>
          <w:tcPr>
            <w:tcW w:w="1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2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Retirement of treasury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(2,971 )</w:t>
            </w:r>
          </w:p>
        </w:tc>
        <w:tc>
          <w:tcPr>
            <w:tcW w:w="52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11,070</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90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Unrealized loss on marketable</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securities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(395 )</w:t>
            </w: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(395 )</w:t>
            </w:r>
          </w:p>
        </w:tc>
        <w:tc>
          <w:tcPr>
            <w:tcW w:w="0" w:type="dxa"/>
            <w:vAlign w:val="bottom"/>
          </w:tcPr>
          <w:p>
            <w:pPr>
              <w:spacing w:after="0"/>
              <w:rPr>
                <w:sz w:val="1"/>
                <w:szCs w:val="1"/>
                <w:color w:val="auto"/>
              </w:rPr>
            </w:pPr>
          </w:p>
        </w:tc>
      </w:tr>
      <w:tr>
        <w:trPr>
          <w:trHeight w:val="234"/>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(80,847 )</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(80,847 )</w:t>
            </w:r>
          </w:p>
        </w:tc>
        <w:tc>
          <w:tcPr>
            <w:tcW w:w="0" w:type="dxa"/>
            <w:vAlign w:val="bottom"/>
          </w:tcPr>
          <w:p>
            <w:pPr>
              <w:spacing w:after="0"/>
              <w:rPr>
                <w:sz w:val="1"/>
                <w:szCs w:val="1"/>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40,626,224</w:t>
            </w:r>
          </w:p>
        </w:tc>
        <w:tc>
          <w:tcPr>
            <w:tcW w:w="18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514,362</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(397 )</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(302,467 )</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900" w:type="dxa"/>
            <w:vAlign w:val="bottom"/>
            <w:shd w:val="clear" w:color="auto" w:fill="CFF0FC"/>
          </w:tcPr>
          <w:p>
            <w:pPr>
              <w:ind w:left="200"/>
              <w:spacing w:after="0" w:line="178" w:lineRule="exact"/>
              <w:rPr>
                <w:sz w:val="20"/>
                <w:szCs w:val="20"/>
                <w:color w:val="auto"/>
              </w:rPr>
            </w:pPr>
            <w:r>
              <w:rPr>
                <w:rFonts w:ascii="Times New Roman" w:cs="Times New Roman" w:eastAsia="Times New Roman" w:hAnsi="Times New Roman"/>
                <w:sz w:val="17"/>
                <w:szCs w:val="17"/>
                <w:color w:val="auto"/>
              </w:rPr>
              <w:t>Issuance of common stock in</w:t>
            </w:r>
          </w:p>
        </w:tc>
        <w:tc>
          <w:tcPr>
            <w:tcW w:w="1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connection with public offering, net</w:t>
            </w: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of issuance costs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11,029,410</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80,793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80,804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90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Issuance of common stock under</w:t>
            </w: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employee benefit plans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433,403</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Vesting of restricted stock awards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10,174</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13,350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Unrealized loss on marketable</w:t>
            </w: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securities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(400 )</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(400 )</w:t>
            </w:r>
          </w:p>
        </w:tc>
        <w:tc>
          <w:tcPr>
            <w:tcW w:w="0" w:type="dxa"/>
            <w:vAlign w:val="bottom"/>
          </w:tcPr>
          <w:p>
            <w:pPr>
              <w:spacing w:after="0"/>
              <w:rPr>
                <w:sz w:val="1"/>
                <w:szCs w:val="1"/>
                <w:color w:val="auto"/>
              </w:rPr>
            </w:pPr>
          </w:p>
        </w:tc>
      </w:tr>
      <w:tr>
        <w:trPr>
          <w:trHeight w:val="226"/>
        </w:trPr>
        <w:tc>
          <w:tcPr>
            <w:tcW w:w="2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(109,871 )</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(109,871 )</w:t>
            </w:r>
          </w:p>
        </w:tc>
        <w:tc>
          <w:tcPr>
            <w:tcW w:w="0" w:type="dxa"/>
            <w:vAlign w:val="bottom"/>
          </w:tcPr>
          <w:p>
            <w:pPr>
              <w:spacing w:after="0"/>
              <w:rPr>
                <w:sz w:val="1"/>
                <w:szCs w:val="1"/>
                <w:color w:val="auto"/>
              </w:rPr>
            </w:pPr>
          </w:p>
        </w:tc>
      </w:tr>
      <w:tr>
        <w:trPr>
          <w:trHeight w:val="263"/>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52,099,211</w:t>
            </w:r>
          </w:p>
        </w:tc>
        <w:tc>
          <w:tcPr>
            <w:tcW w:w="1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top w:val="single" w:sz="8" w:color="auto"/>
              <w:bottom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612,025</w:t>
            </w: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(412,338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198,942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-1748155</wp:posOffset>
            </wp:positionV>
            <wp:extent cx="76835"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-1748155</wp:posOffset>
            </wp:positionV>
            <wp:extent cx="76835"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-1748155</wp:posOffset>
            </wp:positionV>
            <wp:extent cx="7747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-1748155</wp:posOffset>
            </wp:positionV>
            <wp:extent cx="68580"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-1748155</wp:posOffset>
            </wp:positionV>
            <wp:extent cx="68580"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-1748155</wp:posOffset>
            </wp:positionV>
            <wp:extent cx="6858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-1748155</wp:posOffset>
            </wp:positionV>
            <wp:extent cx="68580"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-25400</wp:posOffset>
            </wp:positionV>
            <wp:extent cx="768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-8255</wp:posOffset>
            </wp:positionV>
            <wp:extent cx="7683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-25400</wp:posOffset>
            </wp:positionV>
            <wp:extent cx="76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-8255</wp:posOffset>
            </wp:positionV>
            <wp:extent cx="76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-25400</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-8255</wp:posOffset>
            </wp:positionV>
            <wp:extent cx="774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-25400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-25400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19" w:name="page120"/>
    <w:bookmarkEnd w:id="1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3"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8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w w:val="98"/>
              </w:rPr>
              <w:t>(109,872 )</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(80,847 )</w:t>
            </w: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expense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11,070</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amortization of premiums on marketable securities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(500 )</w:t>
            </w: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(606 )</w:t>
            </w: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40" w:type="dxa"/>
            <w:vAlign w:val="bottom"/>
          </w:tcPr>
          <w:p>
            <w:pPr>
              <w:spacing w:after="0"/>
              <w:rPr>
                <w:sz w:val="19"/>
                <w:szCs w:val="19"/>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(170 )</w:t>
            </w: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(134 )</w:t>
            </w: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(372 )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(438 )</w:t>
            </w: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940" w:type="dxa"/>
            <w:vAlign w:val="bottom"/>
          </w:tcPr>
          <w:p>
            <w:pPr>
              <w:spacing w:after="0"/>
              <w:rPr>
                <w:sz w:val="19"/>
                <w:szCs w:val="19"/>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(1,562 )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(1,176 )</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(3,777 )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(13,170 )</w:t>
            </w:r>
          </w:p>
        </w:tc>
      </w:tr>
      <w:tr>
        <w:trPr>
          <w:trHeight w:val="23"/>
        </w:trPr>
        <w:tc>
          <w:tcPr>
            <w:tcW w:w="778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(97,050 )</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(78,478 )</w:t>
            </w: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940" w:type="dxa"/>
            <w:vAlign w:val="bottom"/>
          </w:tcPr>
          <w:p>
            <w:pPr>
              <w:spacing w:after="0"/>
              <w:rPr>
                <w:sz w:val="19"/>
                <w:szCs w:val="19"/>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w w:val="98"/>
              </w:rPr>
              <w:t>(151,153 )</w:t>
            </w: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(216,234 )</w:t>
            </w: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165,529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88,278</w:t>
            </w:r>
          </w:p>
        </w:tc>
        <w:tc>
          <w:tcPr>
            <w:tcW w:w="100" w:type="dxa"/>
            <w:vAlign w:val="bottom"/>
            <w:shd w:val="clear" w:color="auto" w:fill="CFF0FC"/>
          </w:tcPr>
          <w:p>
            <w:pPr>
              <w:spacing w:after="0"/>
              <w:rPr>
                <w:sz w:val="20"/>
                <w:szCs w:val="20"/>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40" w:type="dxa"/>
            <w:vAlign w:val="bottom"/>
          </w:tcPr>
          <w:p>
            <w:pPr>
              <w:spacing w:after="0"/>
              <w:rPr>
                <w:sz w:val="19"/>
                <w:szCs w:val="19"/>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(1,963 )</w:t>
            </w: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(1,713 )</w:t>
            </w:r>
          </w:p>
        </w:tc>
      </w:tr>
      <w:tr>
        <w:trPr>
          <w:trHeight w:val="23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12,413</w:t>
            </w:r>
          </w:p>
        </w:tc>
        <w:tc>
          <w:tcPr>
            <w:tcW w:w="28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(129,669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1"/>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public offerings, net of issuance costs</w:t>
            </w:r>
          </w:p>
        </w:tc>
        <w:tc>
          <w:tcPr>
            <w:tcW w:w="9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80,804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182,857</w:t>
            </w:r>
          </w:p>
        </w:tc>
        <w:tc>
          <w:tcPr>
            <w:tcW w:w="100" w:type="dxa"/>
            <w:vAlign w:val="bottom"/>
            <w:shd w:val="clear" w:color="auto" w:fill="CFF0FC"/>
          </w:tcPr>
          <w:p>
            <w:pPr>
              <w:spacing w:after="0"/>
              <w:rPr>
                <w:sz w:val="20"/>
                <w:szCs w:val="20"/>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payments on capital lease obligations</w:t>
            </w:r>
          </w:p>
        </w:tc>
        <w:tc>
          <w:tcPr>
            <w:tcW w:w="940" w:type="dxa"/>
            <w:vAlign w:val="bottom"/>
          </w:tcPr>
          <w:p>
            <w:pPr>
              <w:spacing w:after="0"/>
              <w:rPr>
                <w:sz w:val="19"/>
                <w:szCs w:val="19"/>
                <w:color w:val="auto"/>
              </w:rPr>
            </w:pPr>
          </w:p>
        </w:tc>
        <w:tc>
          <w:tcPr>
            <w:tcW w:w="8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3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benefit plans, net</w:t>
            </w:r>
          </w:p>
        </w:tc>
        <w:tc>
          <w:tcPr>
            <w:tcW w:w="9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84,323</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186,507</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(21,640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36,504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58,144</w:t>
            </w:r>
          </w:p>
        </w:tc>
        <w:tc>
          <w:tcPr>
            <w:tcW w:w="100" w:type="dxa"/>
            <w:vAlign w:val="bottom"/>
          </w:tcPr>
          <w:p>
            <w:pPr>
              <w:spacing w:after="0"/>
              <w:rPr>
                <w:sz w:val="19"/>
                <w:szCs w:val="19"/>
                <w:color w:val="auto"/>
              </w:rPr>
            </w:pPr>
          </w:p>
        </w:tc>
      </w:tr>
      <w:tr>
        <w:trPr>
          <w:trHeight w:val="263"/>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940" w:type="dxa"/>
            <w:vAlign w:val="bottom"/>
            <w:tcBorders>
              <w:bottom w:val="single" w:sz="8" w:color="auto"/>
            </w:tcBorders>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36,190</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operating lease liabilities</w:t>
            </w:r>
          </w:p>
        </w:tc>
        <w:tc>
          <w:tcPr>
            <w:tcW w:w="94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purchases unpaid at end of period</w:t>
            </w:r>
          </w:p>
        </w:tc>
        <w:tc>
          <w:tcPr>
            <w:tcW w:w="94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-2691130</wp:posOffset>
            </wp:positionV>
            <wp:extent cx="6858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-1216660</wp:posOffset>
            </wp:positionV>
            <wp:extent cx="68580" cy="162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162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-607695</wp:posOffset>
            </wp:positionV>
            <wp:extent cx="1217295"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17295" cy="17145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35,098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35,412</w:t>
            </w:r>
          </w:p>
        </w:tc>
        <w:tc>
          <w:tcPr>
            <w:tcW w:w="100" w:type="dxa"/>
            <w:vAlign w:val="bottom"/>
            <w:shd w:val="clear" w:color="auto" w:fill="CFF0FC"/>
          </w:tcPr>
          <w:p>
            <w:pPr>
              <w:spacing w:after="0"/>
              <w:rPr>
                <w:sz w:val="19"/>
                <w:szCs w:val="19"/>
                <w:color w:val="auto"/>
              </w:rPr>
            </w:pPr>
          </w:p>
        </w:tc>
      </w:tr>
      <w:tr>
        <w:trPr>
          <w:trHeight w:val="22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1,092</w:t>
            </w:r>
          </w:p>
        </w:tc>
        <w:tc>
          <w:tcPr>
            <w:tcW w:w="100" w:type="dxa"/>
            <w:vAlign w:val="bottom"/>
          </w:tcPr>
          <w:p>
            <w:pPr>
              <w:spacing w:after="0"/>
              <w:rPr>
                <w:sz w:val="19"/>
                <w:szCs w:val="19"/>
                <w:color w:val="auto"/>
              </w:rPr>
            </w:pPr>
          </w:p>
        </w:tc>
      </w:tr>
      <w:tr>
        <w:trPr>
          <w:trHeight w:val="26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36,190</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36,504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Fulcrum Therapeutics, Inc. (the “Company” or “Fulcrum”) was incorporated in Delaware on August 18, 2015. The Company is focused on improving the lives of patients with genetically-defined rare diseases in areas of high unmet medical need.</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Common Stock</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January 22, 2021, the Company completed a public offering of its common stock and issued and sold 4,600,000 shares of common stock at a public offering price of $11.00 per share, resulting in net proceeds of $47.4 million after deducting underwriting discounts and commissions and offering expenses.</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August 16, 2021, the Company completed a public offering of its common stock and issued and sold 7,590,000 shares of common stock at a public offering price of $19.00 per share, resulting in net proceeds of $135.5 million after deducting underwriting discounts and commissions and offering expenses.</w:t>
      </w:r>
    </w:p>
    <w:p>
      <w:pPr>
        <w:spacing w:after="0" w:line="176" w:lineRule="exact"/>
        <w:rPr>
          <w:sz w:val="20"/>
          <w:szCs w:val="20"/>
          <w:color w:val="auto"/>
        </w:rPr>
      </w:pPr>
    </w:p>
    <w:p>
      <w:pPr>
        <w:jc w:val="both"/>
        <w:ind w:firstLine="509"/>
        <w:spacing w:after="0" w:line="312" w:lineRule="auto"/>
        <w:rPr>
          <w:sz w:val="20"/>
          <w:szCs w:val="20"/>
          <w:color w:val="auto"/>
        </w:rPr>
      </w:pPr>
      <w:r>
        <w:rPr>
          <w:rFonts w:ascii="Times New Roman" w:cs="Times New Roman" w:eastAsia="Times New Roman" w:hAnsi="Times New Roman"/>
          <w:sz w:val="17"/>
          <w:szCs w:val="17"/>
          <w:color w:val="auto"/>
        </w:rPr>
        <w:t>In August 2022, the Company completed a public offering of its common stock and issued and sold 11,029,410 shares of common stock at a public offering price of $7.82 per share, resulting in net proceeds of $80.8 million after deducting underwriting discounts and commissions and offering expenses.</w:t>
      </w:r>
    </w:p>
    <w:p>
      <w:pPr>
        <w:spacing w:after="0" w:line="14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January 2023, the Company completed a public offering of its common stock and issued and sold 9,615,384 shares of common stock at a public offering price of $13.00 per share, resulting in net proceeds of $117.3 million after deducting underwriting discounts and commissions and offering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primarily funded its operations with proceeds from the sale of shares of its capital stock and from upfront payments received from the collaboration and license agreements with Acceleron Pharma Inc. (“Acceleron”), a wholly-owned subsidiary of Merck &amp; Co., Inc., (“Merck”) and MyoKardia, Inc. (“MyoKardia”), a wholly-owned subsidiary of Bristol Myers Squibb Company. As of December 31, 2022, the Company had an accumulated deficit of $412.3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21" w:name="page122"/>
    <w:bookmarkEnd w:id="121"/>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subsidiary, Fulcrum Therapeutics Securities Corp., which is a Massachusetts subsidiary created to buy, sell, and hold securities. All intercompany transactions and balances have been eliminated.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Cash equivalents are highly liquid investments that are readily convertible into cash with original maturities of three months or less when purchased. Cash equivalents include investments in money market funds that invest in U.S. Treasury obligations, and commercial paper. The Company maintains its bank accounts at major financial institutions.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cash represents cash held to secure a letter of credit associated with the Company’s facility lease for its corporate headquarters.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79"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54" w:lineRule="exact"/>
        <w:rPr>
          <w:sz w:val="20"/>
          <w:szCs w:val="20"/>
          <w:color w:val="auto"/>
        </w:rPr>
      </w:pPr>
    </w:p>
    <w:p>
      <w:pPr>
        <w:ind w:left="520" w:right="52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54" w:lineRule="exact"/>
        <w:rPr>
          <w:sz w:val="20"/>
          <w:szCs w:val="20"/>
          <w:color w:val="auto"/>
        </w:rPr>
      </w:pPr>
    </w:p>
    <w:p>
      <w:pPr>
        <w:ind w:left="520" w:right="420"/>
        <w:spacing w:after="0" w:line="282" w:lineRule="auto"/>
        <w:rPr>
          <w:sz w:val="20"/>
          <w:szCs w:val="20"/>
          <w:color w:val="auto"/>
        </w:rPr>
      </w:pPr>
      <w:r>
        <w:rPr>
          <w:rFonts w:ascii="Times New Roman" w:cs="Times New Roman" w:eastAsia="Times New Roman" w:hAnsi="Times New Roman"/>
          <w:sz w:val="18"/>
          <w:szCs w:val="18"/>
          <w:color w:val="auto"/>
        </w:rPr>
        <w:t>Level 3: Unobservable inputs based on the Company’s assessment of the assumptions that market participants would use in pricing the asset or liability.</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Company’s cash equivalents and marketable securities are carried at fair value and are classified according to the fair value hierarchy described above (Note 3). The cash equivalents and marketable securities are initially valued at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22" w:name="page123"/>
    <w:bookmarkEnd w:id="122"/>
    <w:p>
      <w:pPr>
        <w:ind w:right="120"/>
        <w:spacing w:after="0" w:line="282" w:lineRule="auto"/>
        <w:rPr>
          <w:sz w:val="20"/>
          <w:szCs w:val="20"/>
          <w:color w:val="auto"/>
        </w:rPr>
      </w:pPr>
      <w:r>
        <w:rPr>
          <w:rFonts w:ascii="Times New Roman" w:cs="Times New Roman" w:eastAsia="Times New Roman" w:hAnsi="Times New Roman"/>
          <w:sz w:val="18"/>
          <w:szCs w:val="18"/>
          <w:color w:val="auto"/>
        </w:rPr>
        <w:t>transaction price, and subsequently revalued at the end of each reporting period, utilizing third-party pricing services. The pricing services utilize industry standard valuation models, including both income and market-based approaches, to determine fair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280" w:firstLine="578"/>
        <w:spacing w:after="0" w:line="261" w:lineRule="auto"/>
        <w:rPr>
          <w:sz w:val="20"/>
          <w:szCs w:val="20"/>
          <w:color w:val="auto"/>
        </w:rPr>
      </w:pPr>
      <w:r>
        <w:rPr>
          <w:rFonts w:ascii="Times New Roman" w:cs="Times New Roman" w:eastAsia="Times New Roman" w:hAnsi="Times New Roman"/>
          <w:sz w:val="18"/>
          <w:szCs w:val="18"/>
          <w:color w:val="auto"/>
        </w:rPr>
        <w:t>The Company classifies securities with a remaining maturity when purchased of greater than three months as marketable securities. As of December 31, 2022, the Company’s marketable securities consisted of investments in U.S. Treasury securities, government agency securities, corporate bonds, and commercial paper. Marketable securities are classified as current assets on the consolidated balance sheets if the marketable securities are available to be converted into cash to fund current operations.</w:t>
      </w:r>
    </w:p>
    <w:p>
      <w:pPr>
        <w:spacing w:after="0" w:line="180"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Marketable securities are carried at fair value with the unrealized gains and losses included in accumulated other comprehensive loss, which is a component of stockholders’ equity, until such gains and losses are realized. Any premium arising at purchase is amortized to interest expense (a component of other income, net) over the period of the earliest call date, and any discount arising at purchase is accreted to interest income (a component of other income, net) over the life of the instrument. Realized gains and losses are determined using the specific identification method and are included in other income, net.</w:t>
      </w:r>
    </w:p>
    <w:p>
      <w:pPr>
        <w:spacing w:after="0" w:line="183" w:lineRule="exact"/>
        <w:rPr>
          <w:sz w:val="20"/>
          <w:szCs w:val="20"/>
          <w:color w:val="auto"/>
        </w:rPr>
      </w:pPr>
    </w:p>
    <w:p>
      <w:pPr>
        <w:ind w:right="120" w:firstLine="578"/>
        <w:spacing w:after="0" w:line="266" w:lineRule="auto"/>
        <w:rPr>
          <w:sz w:val="20"/>
          <w:szCs w:val="20"/>
          <w:color w:val="auto"/>
        </w:rPr>
      </w:pPr>
      <w:r>
        <w:rPr>
          <w:rFonts w:ascii="Times New Roman" w:cs="Times New Roman" w:eastAsia="Times New Roman" w:hAnsi="Times New Roman"/>
          <w:sz w:val="18"/>
          <w:szCs w:val="18"/>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 (in years)</w:t>
            </w:r>
          </w:p>
        </w:tc>
      </w:tr>
      <w:tr>
        <w:trPr>
          <w:trHeight w:val="23"/>
        </w:trPr>
        <w:tc>
          <w:tcPr>
            <w:tcW w:w="274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1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5</w:t>
            </w:r>
          </w:p>
        </w:tc>
      </w:tr>
      <w:tr>
        <w:trPr>
          <w:trHeight w:val="23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1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4</w:t>
            </w:r>
          </w:p>
        </w:tc>
      </w:tr>
      <w:tr>
        <w:trPr>
          <w:trHeight w:val="247"/>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1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3</w:t>
            </w:r>
          </w:p>
        </w:tc>
      </w:tr>
      <w:tr>
        <w:trPr>
          <w:trHeight w:val="23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512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3</w:t>
            </w:r>
          </w:p>
        </w:tc>
      </w:tr>
      <w:tr>
        <w:trPr>
          <w:trHeight w:val="247"/>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120" w:type="dxa"/>
            <w:vAlign w:val="bottom"/>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Shorter of useful life or remaining lease term</w:t>
            </w:r>
          </w:p>
        </w:tc>
      </w:tr>
    </w:tbl>
    <w:p>
      <w:pPr>
        <w:spacing w:after="0" w:line="22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Construction-in-progress is stated at cost, which includes direct costs attributable to the setup or construction of the related asset. Depreciation expense is not recorded on construction-in-progress until 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2022 and 2021.</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Effective January 1, 2022, the Company adopted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For contracts entered into on or after the effective date, at the inception of a contract, the Company determines whether the arrangement is or contains a lease based on the unique facts and circumstances present in the arrangement. Leases with a term</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23" w:name="page124"/>
    <w:bookmarkEnd w:id="123"/>
    <w:p>
      <w:pPr>
        <w:ind w:right="140"/>
        <w:spacing w:after="0" w:line="266" w:lineRule="auto"/>
        <w:rPr>
          <w:sz w:val="20"/>
          <w:szCs w:val="20"/>
          <w:color w:val="auto"/>
        </w:rPr>
      </w:pPr>
      <w:r>
        <w:rPr>
          <w:rFonts w:ascii="Times New Roman" w:cs="Times New Roman" w:eastAsia="Times New Roman" w:hAnsi="Times New Roman"/>
          <w:sz w:val="18"/>
          <w:szCs w:val="18"/>
          <w:color w:val="auto"/>
        </w:rPr>
        <w:t>greater than twelve months are recognized on the balance sheet as right-of-use assets and current and non-current lease liabilities, as applicable. The Company does not recognize leases with terms of twelve months or less on the balance sheet. Options to renew a lease are not included in the Company’s initial lease term assessment unless there is reasonable certainty that the Company will renew the lease.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Leases are classified as either finance leases or operating leases. A lease is classified as a finance lease if any one of the following criteria are met:</w:t>
      </w:r>
    </w:p>
    <w:p>
      <w:pPr>
        <w:spacing w:after="0" w:line="27" w:lineRule="exact"/>
        <w:rPr>
          <w:sz w:val="20"/>
          <w:szCs w:val="20"/>
          <w:color w:val="auto"/>
        </w:rPr>
      </w:pPr>
    </w:p>
    <w:p>
      <w:pPr>
        <w:ind w:right="20" w:firstLine="8"/>
        <w:spacing w:after="0" w:line="255" w:lineRule="auto"/>
        <w:tabs>
          <w:tab w:leader="none" w:pos="2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transfers ownership of the asset by the end of the lease term, (ii) the lease contains an option to purchase the asset that is reasonably certain to be exercised, (iii) the lease term is for a major part of the remaining useful life of the asset or (iv) the present value of the lease payments equals or exceeds substantially all of the fair value of the asset. A lease is classified as an operating lease if it does not meet any of these criteria.</w:t>
      </w:r>
    </w:p>
    <w:p>
      <w:pPr>
        <w:spacing w:after="0" w:line="186"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For all operating leases, a lease liability and corresponding right-of-use asset are recognized. The lease liability represents the present value of the lease payments over the expected remaining lease term, discounted using the interest rate implicit in the lease or, if that rate cannot be readily determined, the Company’s incremental borrowing rate, which reflects the fixed rate at which the Company could borrow on a collateralized basis the amount of the lease payments in the same currency, for a similar term, in a similar economic environment. To estimate the Company’s incremental borrowing rate, a credit rating applicable to the Company is estimated using a synthetic credit rating and yield curve analysis, since the Company does not have a rating agency-based credit rating. The right-of-use asset represents the right to use the leased asset for the lease term. The right-of-use asset is initially measured at cost, which primarily comprises the initial amount of the lease liability, plus any initial direct costs incurred if any, less any lease incentives received.</w:t>
      </w:r>
    </w:p>
    <w:p>
      <w:pPr>
        <w:spacing w:after="0" w:line="17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Lease payments included in the measurement of the lease liability comprise (i) the fixed noncancelable lease payments, (ii) payments for optional renewal periods where it is reasonably certain the renewal period will be exercised, and (iii) payments for early termination options unless it is reasonably certain the lease will not be terminated early. Lease expense for operating leases consists of the lease payments plus any initial direct costs, and is recognized on a straight-line basis over the lease term. Included in lease expense are any variable lease payments incurred in the period that are not included in the initial lease liability and lease payments incurred in the period for any leases with an initial term of 12 months or less. The Company accounts for lease and non-lease components together as a single lease component.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 entity recognizes revenue when its customer obtains control of promised goods or services, in an amount that reflects the consideration that the entity expects to receive in exchange for those goods or services. In applying ASC 606, the Company performs the following five steps:</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1) Identify the contract with the customer</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contract with a customer exists when (i) the Company enters into an enforceable contract with a customer that defines each party’s rights regarding the goods or services to be transferred and identifies the related payment terms, (ii) the contract has commercial substance and (iii) the Company determines that collection of substantially all consideration for goods and services that are transferred is probable based on the customer’s intent and ability to pay the promised consideration.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 Identify the promises and performance obligations in the contract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readily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In assessing whether a promised good or service is distinct, the Company considers factors such as the research, manufacturing and commercialization capabilities of the customer and the availability of the associated expertise in the marketplace. The Company also considers the intended benefit of the contract in assessing whether a promised good or service is separately identifiable from other promises in the contract. If these criteria are not met, the promised goods and services are accounted for as a combined performance obligation.</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24" w:name="page125"/>
    <w:bookmarkEnd w:id="124"/>
    <w:p>
      <w:pPr>
        <w:ind w:left="520"/>
        <w:spacing w:after="0"/>
        <w:rPr>
          <w:sz w:val="20"/>
          <w:szCs w:val="20"/>
          <w:color w:val="auto"/>
        </w:rPr>
      </w:pPr>
      <w:r>
        <w:rPr>
          <w:rFonts w:ascii="Times New Roman" w:cs="Times New Roman" w:eastAsia="Times New Roman" w:hAnsi="Times New Roman"/>
          <w:sz w:val="18"/>
          <w:szCs w:val="18"/>
          <w:i w:val="1"/>
          <w:iCs w:val="1"/>
          <w:color w:val="auto"/>
        </w:rPr>
        <w:t>3) Determine the transaction price</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goods and services to the customer.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the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spacing w:after="0" w:line="18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an arrangement includes research and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based on the occurrence of events not within the Company’s control, such as regulatory approvals, are generally not considered probable of being achieved until the underlying events occur or the associated approvals are received.</w:t>
      </w:r>
    </w:p>
    <w:p>
      <w:pPr>
        <w:spacing w:after="0" w:line="183"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determining the transaction price, the Company adjusts consideration for the effects of the time value of money if the timing of payments provides the Company with a significant benefit of financing. The Company assesses its revenue generating arrangements in order to determine whether a significant financing component exists.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4) Allocate the transaction price to the performance obligations in the contract</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5) Recognize revenue when or as the Company satisfies a performance obligation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18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revenue that the Company recognizes over time, the Company assesses whether an input or an output method is the appropriate measure of progress associated with the satisfaction of the performance obligation. In determining the appropriate method for measuring progress, the Company considers the nature of the good or service that it has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the measurement of progress associated with the satisfaction of performance obligations based on an input method include the total estimated costs to satisfy the associated performance obligation.</w:t>
      </w:r>
    </w:p>
    <w:p>
      <w:pPr>
        <w:spacing w:after="0" w:line="18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See Note 10, “Collaboration and License Agreements”, for further information on the application of ASC 606 to the collaboration and license agreement with Acceleron (the “Acceleron Collaboration Agreement”) and the collaboration and license agreement with MyoKardia (the “MyoKardia Collaboration Agreement”).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9" w:right="3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Contract Costs and Accruals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research institutions and other companies. The Company records accruals for estimated ongoing research costs that have not yet been invoiced. When evaluating the adequacy of the accrued liabilities, the Company analyzes progress of the studies or trials or the extent of services provided during the reporting periods, including invoices received and contracted costs. Significant judgments and estimates are made in determining the accrued balances at each reporting period. Actual results could differ from the Company’s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Patent-Related Costs</w:t>
      </w:r>
    </w:p>
    <w:p>
      <w:pPr>
        <w:spacing w:after="0" w:line="121"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Patent-related costs incurred in connection with patent applications are expensed as incurred due to the uncertainty about the recovery of the expenditure. Amounts incurred are classified as general and administrative expenses in the accompanying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based on the fair value on the date of grant. Compensation expense associated with those awards is recognized over the requisite service period, which is generally the vesting period of the respective award. Generally, the Company issues awards with only service-based vesting conditions and records the expense for these awards using the straight-line method.</w:t>
      </w:r>
    </w:p>
    <w:p>
      <w:pPr>
        <w:spacing w:after="0" w:line="176"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w:t>
      </w:r>
    </w:p>
    <w:p>
      <w:pPr>
        <w:spacing w:after="0" w:line="17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forfeitures as they occur. The Company classifies stock-based compensation expense in its statements of operations in the same manner in which the award recipient’s payroll or service costs are classified.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records costs and liabilities associated with exit and disposal activities in accordance with Accounting Standards Codification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Such costs are based on estimates of fair value in the period liabilities are incurred. The Company evaluates and adjusts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costs as appropriate for changes in circumstances as additional information becomes available.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For the years ended December 31, 2022 and 2021, comprehensive loss consists of net loss and unrealized losses on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Basic net income (loss) per share is computed by dividing the net income (loss) by the weighted average number of shares of common stock outstanding for the period. Diluted net income (loss) per share is computed by dividing net income (loss) by the weighted average number of shares of common stock outstanding for the period, including potential dilutive common shares. For purpose of this calculation, outstanding options to purchase common stock and unvested restricted stock awards are considered potential dilutive common shares. The Company has generated a net loss in all periods presented, and therefore the basic and diluted net loss per share are the same as the inclusion of the potentially dilutive securities would be anti-dilutive.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U.S. Treasury securities, and commercial paper. The Company’s marketable securities consist of U.S. Treasury securities,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financial information is available for evaluation by the chief operating decision-maker in making decisions regarding resource allocation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27" w:name="page128"/>
    <w:bookmarkEnd w:id="127"/>
    <w:p>
      <w:pPr>
        <w:ind w:right="680"/>
        <w:spacing w:after="0" w:line="282" w:lineRule="auto"/>
        <w:rPr>
          <w:sz w:val="20"/>
          <w:szCs w:val="20"/>
          <w:color w:val="auto"/>
        </w:rPr>
      </w:pPr>
      <w:r>
        <w:rPr>
          <w:rFonts w:ascii="Times New Roman" w:cs="Times New Roman" w:eastAsia="Times New Roman" w:hAnsi="Times New Roman"/>
          <w:sz w:val="18"/>
          <w:szCs w:val="18"/>
          <w:color w:val="auto"/>
        </w:rPr>
        <w:t>assessing performance. The Company and the Company’s chief operating decision-maker, the Company’s interim chief executive officer, view the Company’s operations and manage its business as a single operating segment.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(the “JOBS Act”), and may take advantage of certain exemptions from various reporting requirements that are applicable to other public companies that are not EGCs, including that an EGC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for ASUs. The Company may take advantage of these exemptions up until the last day of the fiscal year following the fifth anniversary of its initial public offering or such earlier time that it is no longer an EGC.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Pronouncements—To Be Adopted</w:t>
      </w:r>
    </w:p>
    <w:p>
      <w:pPr>
        <w:spacing w:after="0" w:line="2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standard requires that credit losses be reported using an expected losses model rather than the incurred losses model that is currently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2023. The Company is currently evaluating the potential impact that this standard may have on its consolidated financial position and results of operations.</w:t>
      </w:r>
    </w:p>
    <w:p>
      <w:pPr>
        <w:spacing w:after="0" w:line="183"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Taxes-Simplifying the Accounting for Income Taxes</w:t>
      </w:r>
      <w:r>
        <w:rPr>
          <w:rFonts w:ascii="Times New Roman" w:cs="Times New Roman" w:eastAsia="Times New Roman" w:hAnsi="Times New Roman"/>
          <w:sz w:val="18"/>
          <w:szCs w:val="18"/>
          <w:color w:val="auto"/>
        </w:rPr>
        <w:t>.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new standard will be effective for the Company on January 1, 2023. The Company is currently evaluating the potential impact that this standard may have on its consolidated financial position and results of operations.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Pronouncements—Adopted</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permits entities to continue applying legacy guidance in ASC 840,</w:t>
      </w:r>
      <w:r>
        <w:rPr>
          <w:rFonts w:ascii="Times New Roman" w:cs="Times New Roman" w:eastAsia="Times New Roman" w:hAnsi="Times New Roman"/>
          <w:sz w:val="18"/>
          <w:szCs w:val="18"/>
          <w:i w:val="1"/>
          <w:iCs w:val="1"/>
          <w:color w:val="auto"/>
        </w:rPr>
        <w:t xml:space="preserve"> Leases</w:t>
      </w:r>
      <w:r>
        <w:rPr>
          <w:rFonts w:ascii="Times New Roman" w:cs="Times New Roman" w:eastAsia="Times New Roman" w:hAnsi="Times New Roman"/>
          <w:sz w:val="18"/>
          <w:szCs w:val="18"/>
          <w:color w:val="auto"/>
        </w:rPr>
        <w:t>, including its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in the comparative periods presented in the year that the entity adopts the new leasing standard. Under this transition method, the cumulative effect of initially applying ASU 2016-02, as amended, is recognized as an adjustment to the opening balance of retained earnings or accumulated deficit at the beginning of the annual reporting period that includes the date of initial application.</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Accordingly, the Company adopted the new standard effective January 1, 2022 using the transition method permitted by ASU 2016-02, as amended. In adopting the new standard, the Company elected to utilize certain available expedients by electing the transition package of practical expedients permitted within ASU 2016-02, which allow the Company to not reassess previous accounting conclusions around whether arrangements are, or contain, leases, the classification of existing or expired leases, and the treatment of previous initial direct costs that would qualify for capitalization under the new standard. The Company elected to apply the practical expedient to not separate lease and non-lease components for new and modified leases. The Company also made an accounting policy election to exclude leases with an initial term of twelve months or less from the balance sheet.</w:t>
      </w:r>
    </w:p>
    <w:p>
      <w:pPr>
        <w:spacing w:after="0" w:line="187"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Upon the adoption of ASU 2016-02, as amended, the Company removed its legacy deferred rent balances that were previously recorded under ASC 840 and established an operating lease right-of-use asset of $10.8 million, an operating lease liability, current of $2.2 million and an operating lease liability, net of current portion of $13.4 million, all relating to the Company’s existing operating leases for office and laboratory space. The following table presents a summary of the amount by which each financial statement line item was affected by the adoption of ASU 2016-02, as amended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Prior to the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ind w:left="17"/>
              <w:spacing w:after="0" w:line="131" w:lineRule="exact"/>
              <w:rPr>
                <w:sz w:val="20"/>
                <w:szCs w:val="20"/>
                <w:color w:val="auto"/>
              </w:rPr>
            </w:pPr>
            <w:r>
              <w:rPr>
                <w:rFonts w:ascii="Times New Roman" w:cs="Times New Roman" w:eastAsia="Times New Roman" w:hAnsi="Times New Roman"/>
                <w:sz w:val="14"/>
                <w:szCs w:val="14"/>
                <w:b w:val="1"/>
                <w:bCs w:val="1"/>
                <w:color w:val="auto"/>
              </w:rPr>
              <w:t>Subsequent to the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5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vMerge w:val="restart"/>
          </w:tcPr>
          <w:p>
            <w:pPr>
              <w:jc w:val="center"/>
              <w:ind w:left="17"/>
              <w:spacing w:after="0" w:line="149" w:lineRule="exact"/>
              <w:rPr>
                <w:sz w:val="20"/>
                <w:szCs w:val="20"/>
                <w:color w:val="auto"/>
              </w:rPr>
            </w:pPr>
            <w:r>
              <w:rPr>
                <w:rFonts w:ascii="Times New Roman" w:cs="Times New Roman" w:eastAsia="Times New Roman" w:hAnsi="Times New Roman"/>
                <w:sz w:val="14"/>
                <w:szCs w:val="14"/>
                <w:b w:val="1"/>
                <w:bCs w:val="1"/>
                <w:color w:val="auto"/>
              </w:rPr>
              <w:t>Adoption of ASU</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Adoption of ASU</w:t>
            </w:r>
          </w:p>
        </w:tc>
        <w:tc>
          <w:tcPr>
            <w:tcW w:w="120" w:type="dxa"/>
            <w:vAlign w:val="bottom"/>
          </w:tcPr>
          <w:p>
            <w:pPr>
              <w:spacing w:after="0"/>
              <w:rPr>
                <w:sz w:val="7"/>
                <w:szCs w:val="7"/>
                <w:color w:val="auto"/>
              </w:rPr>
            </w:pPr>
          </w:p>
        </w:tc>
        <w:tc>
          <w:tcPr>
            <w:tcW w:w="1600" w:type="dxa"/>
            <w:vAlign w:val="bottom"/>
            <w:gridSpan w:val="3"/>
            <w:vMerge w:val="restart"/>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Effect of Adoption</w:t>
            </w:r>
          </w:p>
        </w:tc>
        <w:tc>
          <w:tcPr>
            <w:tcW w:w="14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1420" w:type="dxa"/>
            <w:vAlign w:val="bottom"/>
            <w:vMerge w:val="restart"/>
          </w:tcPr>
          <w:p>
            <w:pPr>
              <w:jc w:val="center"/>
              <w:ind w:left="17"/>
              <w:spacing w:after="0" w:line="149" w:lineRule="exact"/>
              <w:rPr>
                <w:sz w:val="20"/>
                <w:szCs w:val="20"/>
                <w:color w:val="auto"/>
              </w:rPr>
            </w:pPr>
            <w:r>
              <w:rPr>
                <w:rFonts w:ascii="Times New Roman" w:cs="Times New Roman" w:eastAsia="Times New Roman" w:hAnsi="Times New Roman"/>
                <w:sz w:val="14"/>
                <w:szCs w:val="14"/>
                <w:b w:val="1"/>
                <w:bCs w:val="1"/>
                <w:color w:val="auto"/>
              </w:rPr>
              <w:t>2016-20, as</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2016, as Amended</w:t>
            </w: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5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vMerge w:val="restart"/>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Amended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5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5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6"/>
          </w:tcPr>
          <w:p>
            <w:pPr>
              <w:jc w:val="right"/>
              <w:ind w:right="1037"/>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2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lease incentive, current portion</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 excluding current portion</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(1,680 )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lease incentive, excluding current portion</w:t>
            </w:r>
          </w:p>
        </w:tc>
        <w:tc>
          <w:tcPr>
            <w:tcW w:w="2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(2,582 )</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4580" w:type="dxa"/>
            <w:vAlign w:val="bottom"/>
          </w:tcPr>
          <w:p>
            <w:pPr>
              <w:spacing w:after="0"/>
              <w:rPr>
                <w:sz w:val="24"/>
                <w:szCs w:val="24"/>
                <w:color w:val="auto"/>
              </w:rPr>
            </w:pPr>
          </w:p>
        </w:tc>
        <w:tc>
          <w:tcPr>
            <w:tcW w:w="220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F-15</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8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9" w:name="page130"/>
    <w:bookmarkEnd w:id="129"/>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adoption of ASU 2016-02, as amended, did not have a material impact on the consolidated statements of operations and comprehensive loss or the consolidated statement of cash flows for the year ended December 31, 2022. See Note 12, “Leases”, for further information on the application of ASU 2016-02, as amended, to the Company’s operating lease for its existing operating leases for office and laboratory space.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fair value hierarchy classification of such fair values as of December 31, 2022 and 2021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gridSpan w:val="8"/>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48,476</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48,476</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77"/>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202,921</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25,174</w:t>
            </w:r>
          </w:p>
        </w:tc>
        <w:tc>
          <w:tcPr>
            <w:tcW w:w="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177,747</w:t>
            </w: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5"/>
        </w:trPr>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8"/>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4"/>
                <w:szCs w:val="14"/>
                <w:color w:val="auto"/>
              </w:rPr>
            </w:pPr>
          </w:p>
        </w:tc>
        <w:tc>
          <w:tcPr>
            <w:tcW w:w="11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35,412</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35,412</w:t>
            </w:r>
          </w:p>
        </w:tc>
        <w:tc>
          <w:tcPr>
            <w:tcW w:w="2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81,382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81,382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101,368</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101,368</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218,162</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35,412</w:t>
            </w:r>
          </w:p>
        </w:tc>
        <w:tc>
          <w:tcPr>
            <w:tcW w:w="2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182,750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-1473835</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-1456690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-1473835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-1456690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-1473835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-1456690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-187960</wp:posOffset>
            </wp:positionV>
            <wp:extent cx="7747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-187960</wp:posOffset>
            </wp:positionV>
            <wp:extent cx="6858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years ended December 31, 2022 and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as of December 31, 2022 and December 31, 2021 (in thousands):</w:t>
      </w:r>
    </w:p>
    <w:p>
      <w:pPr>
        <w:spacing w:after="0" w:line="259"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spacing w:after="0" w:line="6"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left="14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5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left="14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9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940" w:type="dxa"/>
            <w:vAlign w:val="bottom"/>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25,174</w:t>
            </w:r>
          </w:p>
        </w:tc>
        <w:tc>
          <w:tcPr>
            <w:tcW w:w="1200" w:type="dxa"/>
            <w:vAlign w:val="bottom"/>
            <w:gridSpan w:val="2"/>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35,102</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(36 )</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12,493</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(49 )</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48,661</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(185 )</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97,195</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(526 )</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168,616</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(796 )</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203,718</w:t>
            </w: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ind w:right="74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202,921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4660" w:type="dxa"/>
            <w:vAlign w:val="bottom"/>
          </w:tcPr>
          <w:p>
            <w:pPr>
              <w:spacing w:after="0"/>
              <w:rPr>
                <w:sz w:val="24"/>
                <w:szCs w:val="24"/>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F-16</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-1782445</wp:posOffset>
            </wp:positionV>
            <wp:extent cx="76835" cy="1631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-1782445</wp:posOffset>
            </wp:positionV>
            <wp:extent cx="68580" cy="1631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-1782445</wp:posOffset>
            </wp:positionV>
            <wp:extent cx="68580" cy="163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163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-847725</wp:posOffset>
            </wp:positionV>
            <wp:extent cx="76835"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-847725</wp:posOffset>
            </wp:positionV>
            <wp:extent cx="6858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-847725</wp:posOffset>
            </wp:positionV>
            <wp:extent cx="6858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-521970</wp:posOffset>
            </wp:positionV>
            <wp:extent cx="768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-504825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-521970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-504825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-521970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-504825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0" w:name="page131"/>
    <w:bookmarkEnd w:id="130"/>
    <w:p>
      <w:pPr>
        <w:jc w:val="center"/>
        <w:ind w:left="564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spacing w:after="0" w:line="6"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7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left="148"/>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5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98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9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35,412</w:t>
            </w:r>
          </w:p>
        </w:tc>
        <w:tc>
          <w:tcPr>
            <w:tcW w:w="120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35,412</w:t>
            </w:r>
          </w:p>
        </w:tc>
        <w:tc>
          <w:tcPr>
            <w:tcW w:w="26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81,450</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(68 )</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101,697</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(329 )</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183,147</w:t>
            </w:r>
          </w:p>
        </w:tc>
        <w:tc>
          <w:tcPr>
            <w:tcW w:w="2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182,750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218,559</w:t>
            </w:r>
          </w:p>
        </w:tc>
        <w:tc>
          <w:tcPr>
            <w:tcW w:w="120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(397 )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-187960</wp:posOffset>
            </wp:positionV>
            <wp:extent cx="76835"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-187960</wp:posOffset>
            </wp:positionV>
            <wp:extent cx="68580"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There were no sales of marketable securities during the year ended December 31, 2022. As of December 31, 2022, the aggregate fair value of securities that were in an unrealized loss position for less than twelve months was $111.1 million. As of December 31, 2022, the aggregate fair value of marketable securities that were in an unrealized loss position for greater than twelve months was $42.9 million.</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determined that it did not hold any marketable securities with any other-than-temporary impairment as of December 31, 2022. As of December 31, 2022, the aggregate fair value of marketable securities with a remaining contractual maturity of greater than one year was $37.3 million. As of December 31, 2022, the Company did not intend to sell, and would not be more likely than not be required to sell, the marketable securities in an unrealized loss position before recovery of their amortized cost bases.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80" w:type="dxa"/>
            <w:vAlign w:val="bottom"/>
            <w:shd w:val="clear" w:color="auto" w:fill="CFF0FC"/>
          </w:tcPr>
          <w:p>
            <w:pPr>
              <w:spacing w:after="0"/>
              <w:rPr>
                <w:sz w:val="20"/>
                <w:szCs w:val="20"/>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20"/>
                <w:szCs w:val="20"/>
                <w:color w:val="auto"/>
              </w:rPr>
            </w:pP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FF0FC"/>
          </w:tcPr>
          <w:p>
            <w:pPr>
              <w:spacing w:after="0"/>
              <w:rPr>
                <w:sz w:val="21"/>
                <w:szCs w:val="2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20"/>
                <w:szCs w:val="20"/>
                <w:color w:val="auto"/>
              </w:rPr>
            </w:pP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80" w:type="dxa"/>
            <w:vAlign w:val="bottom"/>
            <w:shd w:val="clear" w:color="auto" w:fill="CFF0FC"/>
          </w:tcPr>
          <w:p>
            <w:pPr>
              <w:spacing w:after="0"/>
              <w:rPr>
                <w:sz w:val="21"/>
                <w:szCs w:val="2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80" w:type="dxa"/>
            <w:vAlign w:val="bottom"/>
            <w:shd w:val="clear" w:color="auto" w:fill="CFF0FC"/>
          </w:tcPr>
          <w:p>
            <w:pPr>
              <w:spacing w:after="0"/>
              <w:rPr>
                <w:sz w:val="20"/>
                <w:szCs w:val="20"/>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(10,662 )</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(8,269 )</w:t>
            </w: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51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and 2021 was $2.4 million and $2.5 million,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Additional Balance Sheet Detail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5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shd w:val="clear" w:color="auto" w:fill="CFF0FC"/>
          </w:tcPr>
          <w:p>
            <w:pPr>
              <w:spacing w:after="0"/>
              <w:rPr>
                <w:sz w:val="20"/>
                <w:szCs w:val="20"/>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Prepaid sign-on bonuses subject to vesting provisions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20"/>
                <w:szCs w:val="20"/>
                <w:color w:val="auto"/>
              </w:rPr>
            </w:pPr>
          </w:p>
        </w:tc>
      </w:tr>
      <w:tr>
        <w:trPr>
          <w:trHeight w:val="24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8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-187960</wp:posOffset>
            </wp:positionV>
            <wp:extent cx="4318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31" w:name="page132"/>
    <w:bookmarkEnd w:id="131"/>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r>
      <w:tr>
        <w:trPr>
          <w:trHeight w:val="187"/>
        </w:trPr>
        <w:tc>
          <w:tcPr>
            <w:tcW w:w="5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80" w:type="dxa"/>
            <w:vAlign w:val="bottom"/>
            <w:shd w:val="clear" w:color="auto" w:fill="CFF0FC"/>
          </w:tcPr>
          <w:p>
            <w:pPr>
              <w:spacing w:after="0"/>
              <w:rPr>
                <w:sz w:val="20"/>
                <w:szCs w:val="20"/>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80" w:type="dxa"/>
            <w:vAlign w:val="bottom"/>
          </w:tcPr>
          <w:p>
            <w:pPr>
              <w:spacing w:after="0"/>
              <w:rPr>
                <w:sz w:val="20"/>
                <w:szCs w:val="20"/>
                <w:color w:val="auto"/>
              </w:rPr>
            </w:pP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FF0FC"/>
          </w:tcPr>
          <w:p>
            <w:pPr>
              <w:spacing w:after="0"/>
              <w:rPr>
                <w:sz w:val="21"/>
                <w:szCs w:val="2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0"/>
                <w:szCs w:val="20"/>
                <w:color w:val="auto"/>
              </w:rPr>
            </w:pP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-24765</wp:posOffset>
            </wp:positionV>
            <wp:extent cx="431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431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and 2021, 5,000,000 shares of undesignated preferred stock were authorized. No shares of preferred stock were issued or outstanding as of December 31, 2022 and 2021.</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and 2021, 200,000,000 shares of common stock, $0.001 par value per share, were authorized.</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and 2021, the Company has reserved for future issuance the following number of shares of common stock:</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80" w:type="dxa"/>
            <w:vAlign w:val="bottom"/>
          </w:tcPr>
          <w:p>
            <w:pPr>
              <w:spacing w:after="0"/>
              <w:rPr>
                <w:sz w:val="16"/>
                <w:szCs w:val="16"/>
                <w:color w:val="auto"/>
              </w:rPr>
            </w:pPr>
          </w:p>
        </w:tc>
        <w:tc>
          <w:tcPr>
            <w:tcW w:w="12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gridSpan w:val="2"/>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6,504,080</w:t>
            </w:r>
          </w:p>
        </w:tc>
        <w:tc>
          <w:tcPr>
            <w:tcW w:w="14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5,188,354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76,718</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 Stock Incentive Plan</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1,941,054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286,324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 Employee Stock</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1,061,279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706,658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2022 Inducement Stock</w:t>
            </w: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329,880</w:t>
            </w:r>
          </w:p>
        </w:tc>
        <w:tc>
          <w:tcPr>
            <w:tcW w:w="14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9,913,011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6,181,336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-187960</wp:posOffset>
            </wp:positionV>
            <wp:extent cx="51435" cy="1885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December 31, 2022 and 2021, no shares remained available for future issuance under the 2016 Plan. Any options or other awards outstanding under the 2016 Plan remain outstanding and effective.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annually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As of December 31, 2022, there were 1,941,054 shares available for future issuance under the 2019 Plan. On January 1, 2023, the number of shares reserved for issuance under the 2019 Plan was increased by 2,000,000 shares.</w:t>
      </w:r>
    </w:p>
    <w:p>
      <w:pPr>
        <w:spacing w:after="0" w:line="192"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Inducement Stock Incentive Plan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As of December 31, 2022, there were 329,880 shares available for future issuance under the Inducement Plan. Effective March 8, 2023, the Company's board of directors amended the Inducement Plan to increase the number of shares reserved for issuance by 2,000,000 shares.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may repurchase unvested restricted stock awards at the original purchase price if employees or non-employees are terminated or cease their employment or service relationship with the Company. 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shares of common stock underlying restricted stock awards typically vest over a four-year period. The shares of common stock are recorded in stockholders’ equity as they vest.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award activity during the year ended December 31, 2022:</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3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2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(10,174 )</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-24765</wp:posOffset>
            </wp:positionV>
            <wp:extent cx="514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Stock options granted by the Company typically vest over a four year period and have a ten year contractual term. Shares issued upon the exercise of stock options are issued from the Company’s pool of authorized but unissued common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3" w:name="page134"/>
    <w:bookmarkEnd w:id="133"/>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year ended December 31, 2022:</w:t>
      </w:r>
    </w:p>
    <w:p>
      <w:pPr>
        <w:spacing w:after="0" w:line="200" w:lineRule="exact"/>
        <w:rPr>
          <w:sz w:val="20"/>
          <w:szCs w:val="20"/>
          <w:color w:val="auto"/>
        </w:rPr>
      </w:pPr>
    </w:p>
    <w:p>
      <w:pPr>
        <w:spacing w:after="0" w:line="21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4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1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5,188,354</w:t>
            </w:r>
          </w:p>
        </w:tc>
        <w:tc>
          <w:tcPr>
            <w:tcW w:w="2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0" w:type="dxa"/>
            <w:vAlign w:val="bottom"/>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27,082,052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3,711,130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(381,661 )</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(2,013,743 )</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6,504,080</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20" w:type="dxa"/>
            <w:vAlign w:val="bottom"/>
            <w:tcBorders>
              <w:bottom w:val="single" w:sz="8" w:color="CFF0FC"/>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1,885,160</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2,116,037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-205105</wp:posOffset>
            </wp:positionV>
            <wp:extent cx="59690" cy="2057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205740"/>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312" w:lineRule="auto"/>
        <w:rPr>
          <w:sz w:val="20"/>
          <w:szCs w:val="20"/>
          <w:color w:val="auto"/>
        </w:rPr>
      </w:pPr>
      <w:r>
        <w:rPr>
          <w:rFonts w:ascii="Times New Roman" w:cs="Times New Roman" w:eastAsia="Times New Roman" w:hAnsi="Times New Roman"/>
          <w:sz w:val="17"/>
          <w:szCs w:val="17"/>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4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in the years ended December 31, 2022 and 2021 was $7.62 per share and $11.37 per share, respectively. The total intrinsic value of stock options exercised in the years ended December 31, 2022 and 2021 was $2.6 million and $3.5 million, respectively.</w:t>
      </w:r>
    </w:p>
    <w:p>
      <w:pPr>
        <w:spacing w:after="0" w:line="176"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years ended December 31, 2022 and 2021 has been calculated on the date of grant using the following weighted average assumptions: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Year</w:t>
            </w:r>
          </w:p>
        </w:tc>
      </w:tr>
      <w:tr>
        <w:trPr>
          <w:trHeight w:val="149"/>
        </w:trPr>
        <w:tc>
          <w:tcPr>
            <w:tcW w:w="5200" w:type="dxa"/>
            <w:vAlign w:val="bottom"/>
          </w:tcPr>
          <w:p>
            <w:pPr>
              <w:spacing w:after="0"/>
              <w:rPr>
                <w:sz w:val="12"/>
                <w:szCs w:val="12"/>
                <w:color w:val="auto"/>
              </w:rPr>
            </w:pPr>
          </w:p>
        </w:tc>
        <w:tc>
          <w:tcPr>
            <w:tcW w:w="14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3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87"/>
        </w:trPr>
        <w:tc>
          <w:tcPr>
            <w:tcW w:w="5200" w:type="dxa"/>
            <w:vAlign w:val="bottom"/>
          </w:tcPr>
          <w:p>
            <w:pPr>
              <w:spacing w:after="0"/>
              <w:rPr>
                <w:sz w:val="16"/>
                <w:szCs w:val="16"/>
                <w:color w:val="auto"/>
              </w:rPr>
            </w:pP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2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5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90.0 %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-610870</wp:posOffset>
            </wp:positionV>
            <wp:extent cx="4989195"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 during the year ended December 31, 2022:</w:t>
      </w:r>
    </w:p>
    <w:p>
      <w:pPr>
        <w:spacing w:after="0" w:line="24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86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3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80" w:type="dxa"/>
            <w:vAlign w:val="bottom"/>
          </w:tcPr>
          <w:p>
            <w:pPr>
              <w:spacing w:after="0"/>
              <w:rPr>
                <w:sz w:val="16"/>
                <w:szCs w:val="16"/>
                <w:color w:val="auto"/>
              </w:rPr>
            </w:pPr>
          </w:p>
        </w:tc>
        <w:tc>
          <w:tcPr>
            <w:tcW w:w="18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13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126,803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(50,085 )</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76,718</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-25400</wp:posOffset>
            </wp:positionV>
            <wp:extent cx="51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514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431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431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all restricted stock units and restricted stock awards that vested during the years ended December 31, 2022 and 2021 was $0.2 million and $1.5 million,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total compensation cost recognized in the statements of operations and comprehensive loss associated with all stock-based compensation awards granted by the Company is as follows (in thousands):</w:t>
      </w:r>
    </w:p>
    <w:p>
      <w:pPr>
        <w:spacing w:after="0" w:line="196"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3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80" w:type="dxa"/>
            <w:vAlign w:val="bottom"/>
            <w:shd w:val="clear" w:color="auto" w:fill="CFF0FC"/>
          </w:tcPr>
          <w:p>
            <w:pPr>
              <w:spacing w:after="0"/>
              <w:rPr>
                <w:sz w:val="20"/>
                <w:szCs w:val="20"/>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80" w:type="dxa"/>
            <w:vAlign w:val="bottom"/>
          </w:tcPr>
          <w:p>
            <w:pPr>
              <w:spacing w:after="0"/>
              <w:rPr>
                <w:sz w:val="20"/>
                <w:szCs w:val="20"/>
                <w:color w:val="auto"/>
              </w:rPr>
            </w:pPr>
          </w:p>
        </w:tc>
      </w:tr>
      <w:tr>
        <w:trPr>
          <w:trHeight w:val="277"/>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an aggregate of $32.0 million of unrecognized stock-based compensation expense, which is expected to be recognized over a weighted average period of 2.86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annually increased on January 1, 2020, and will be increased on each January 1 thereafter through January 1, 2029, by the least of (i) 428,571 shares of common stock, (ii) 1% of the number of shares of the Company’s common stock outstanding on the first day of each such year or (iii) an amount determined by the Company’s board of directors. As of December 31, 2022, there were 1,061,279 shares available for future issuance under the ESPP. On January 1, 2023, the number of shares reserved for issuance under the 2019 ESPP was increased by 428,571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Acceleron Collaboration Agreement</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83"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On June 3, 2022, Acceleron notified the Company of its termination of the Acceleron Collaboration Agreement for convenience, which became effective 120 days after the Company's receipt of the notice, or October 1, 2022.</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Pursuant to a mutually agreed research plan, the Company was responsible for performing assay screening and related research activities to identify and validate potential biological targets for further research, in order to support the development, manufacture and commercialization of product candidates by Acceleron. Upon completion of the research activities, the Company delivered a data package to Acceleron with respect to the biological targets identified by the Company in the conduct of the research activities for the treatment, prophylaxis, or diagnosis of the Indication. As provided for under the exclusive worldwide license that was conveyed at the inception of the arrangement, Acceleron had the right to designate a specified number of the biological targets identified by the Company for Acceleron’s research, development, manufacture and commercialization of products or molecules directed to such targets for the treatment, prophylaxis, or diagnosis of the Indication (the “Targets”). Acceleron did not designate any Targets prior to the notice of termination from Acceleron.</w:t>
      </w:r>
    </w:p>
    <w:p>
      <w:pPr>
        <w:spacing w:after="0" w:line="19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in December 2019 upon the execution of the Acceleron Collaboration Agreement. The Company was entitled to research milestone payments of up to $18.5 million in the aggregate upon achievement of specified research milestones, development milestone payments of up to $202.5 million in the aggregate upon achievement of specified clinical and regulatory milestones, and sales milestones payments of up to $217.5 million in the aggregate upon the achievement of certain aggregate annual worldwide net sales milestones for certain products directed to a Target that have achieved such milestones. Prior to the notice of termination from Acceleron, the Company achieved $2.0 million of specified research milestones. In addition, the Company was entitled to tiered royalties ranging from a mid single-digit percentage to a low double-digit percentage on Acceleron’s annual worldwide net sales of products directed to any Target, subject to reduction in specified circumstances. The Company was also entitled to receive reimbursement from Acceleron for research costs incurred under the research plan, including internal and external costs.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Identification of the Contract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assessed the Acceleron Collaboration Agreement and concluded that it represents a contract with a customer within the scope of ASC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606.</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Identification of the Promises and Performance Obligations</w:t>
      </w:r>
    </w:p>
    <w:p>
      <w:pPr>
        <w:spacing w:after="0" w:line="227"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The Company determined that the Acceleron Collaboration Agreement contained the following promises: (i) an exclusive worldwide license under certain intellectual property rights, including rights to a specified number of biological targets identified by the Company for the treatment, prophylaxis, or diagnosis of a targeted indication within the pulmonary disease space that was conveyed at the inception of the arrangement (the “License”), (ii) research services to identify and validate potential biological targets (the “Research Services”), and (iii) participation in the joint steering committee (the “JSC”).</w:t>
      </w:r>
    </w:p>
    <w:p>
      <w:pPr>
        <w:spacing w:after="0" w:line="16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assessed the above promises and concluded that the License is not capable of being distinct from the Research Services given that the License has limited value without the performance of the Research Services and the Research Services could only be performed by the Company due to their specialized nature. Therefore, the Company concluded that the License and the Research Services represented a single combined performance obligation.</w:t>
      </w:r>
    </w:p>
    <w:p>
      <w:pPr>
        <w:spacing w:after="0" w:line="180"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 Company also assessed the participation on the JSC and concluded that the promise was quantitatively and qualitatively immaterial in the context of the Acceleron Collaboration Agreement. Accordingly, the Company disregarded its participation on the JSC as a performance obligation.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22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upon the execution of the Acceleron Collaboration Agreement, which the Company included in the transaction price. In December 2020, the Company achieved $2.0 million of specified research milestones associated with the Acceleron Collaboration Agreement, which the Company included in the transaction price. The Company has constrained the variable consideration associated with the unachieved milestone payments as of the date that the Company received notice of termination from Acceleron and has excluded the unachieved milestone payments from the transaction price.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also included in the transaction price the amount of costs to be reimbursed for the Research Services.</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Prior to the receipt of notice of termination from Acceleron, the Company reassessed the transaction price at the end of each reporting period and as uncertain events were resolved or other changes in circumstances occurred, and, if necessary, adjusted its estimate of the transaction price. There was no change in the amount of variable consideration constrained during the year ended December 31, 2022.</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Performance Obligations</w:t>
      </w:r>
    </w:p>
    <w:p>
      <w:pPr>
        <w:spacing w:after="0" w:line="11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noted above, the Company identified a single performance obligation associated with the Acceleron Collaboration Agreement. Therefore, the Company allocated the entire amount of the transaction price to the identified single performance obligation.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recognized revenue related to the Acceleron Collaboration Agreement over time as the Research Services are rendered. The Company concluded that an input method was a representative depiction of the transfer of services under the Acceleron Collaboration Agreement. Prior to the receipt of notice of termination from Acceleron, the method of measuring progress towards the delivery of the services incorporated actual cumulative internal and external costs incurred relative to total internal and external costs expected to be incurred to satisfy the performance obligation. The period over which total costs was estimated reflected the Company’s estimate of the period over which it would perform the Research Services. Changes in estimates of total internal and external costs expected to be incurred were recognized in the period of change as a cumulative catch-up adjustment.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36" w:name="page137"/>
    <w:bookmarkEnd w:id="136"/>
    <w:p>
      <w:pPr>
        <w:ind w:firstLine="509"/>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$1.0 million of collaboration revenue associated with the Acceleron Collaboration Agreement, which includes $0.6 million of revenue recognized that was included in deferred revenue as of December 31, 2021. During the year ended December 31, 2021, the Company recognized $9.6 million of collaboration revenue associated with the Acceleron Collaboration Agreement, which includes $7.3 million of revenue recognized that was included in deferred revenue as of December 31, 2020. As of December 31, 2022 the Company recorded no deferred revenue associated with the Acceleron Collaboration Agreement. As of December 31, 2021 the Company recorded deferred revenue associated with the Acceleron Collaboration Agreement of $0.6 million, which was classified as either current or net of current portion in the accompanying consolidated balance sheets based on the period over which the revenue was expected to be recognized. The aggregate deferred revenue balance represents the aggregate amount of the transaction price allocated to the performance obligations that were unsatisfied as of December 31, 2021. As of December 31, 2022, the Company had received $4.9 million of cost reimbursement payments under the Acceleron Collaboration Agreement and $2.0 million associated with the achievement of specified research milestones. As of December 31, 2021, the Company had received $3.9 million of cost reimbursement payments under the Acceleron Collaboration Agreement and $2.0 million associated with the achievement of specified research milestones. As of December 31, 2022, the Company recorded no unbilled accounts receivable related to reimbursable research and development costs under the Acceleron Collaboration Agreement. As of December 31, 2021, the Company recorded unbilled accounts receivable of $0.7 million related to reimbursable research and development costs under the Acceleron Collaboration Agreement for activities performed during the three months ended December 31, 2021. As of December 31, 2022 and 2021, the Company had recorded no accounts receivable under the Acceleron Collaboration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MyoKardia Collaboration Agreement</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July 20, 2020, the Company entered into the MyoKardia Collaboration Agreement,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84"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8"/>
          <w:szCs w:val="18"/>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8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Under the MyoKardia Collaboration Agreement, MyoKardia made a $10.0 million upfront payment and a $2.5 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To date, the Company has achieved a $2.5 million specified preclinical milestone. MyoKardia will also pay the Company tiered royalties ranging from a mid single-digit percentage to 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7" w:name="page138"/>
    <w:bookmarkEnd w:id="137"/>
    <w:p>
      <w:pPr>
        <w:ind w:right="360"/>
        <w:spacing w:after="0" w:line="266" w:lineRule="auto"/>
        <w:rPr>
          <w:sz w:val="20"/>
          <w:szCs w:val="20"/>
          <w:color w:val="auto"/>
        </w:rPr>
      </w:pPr>
      <w:r>
        <w:rPr>
          <w:rFonts w:ascii="Times New Roman" w:cs="Times New Roman" w:eastAsia="Times New Roman" w:hAnsi="Times New Roman"/>
          <w:sz w:val="18"/>
          <w:szCs w:val="18"/>
          <w:color w:val="auto"/>
        </w:rPr>
        <w:t>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Identification of the Contract</w:t>
      </w:r>
    </w:p>
    <w:p>
      <w:pPr>
        <w:spacing w:after="0" w:line="11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assessed the MyoKardia Collaboration Agreement and concluded that it represents a contract with a customer within the scope of ASC 606.</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Identification of the Promises and Performance Obligations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8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8" w:name="page139"/>
    <w:bookmarkEnd w:id="138"/>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received a non-refundable upfront payment of $10.0 million, which the Company included in the transaction price. In December 2021, the Company achieved a $2.5 million specified preclinical milestone associated with the MyoKardia Collaboration Agreement, which was previously constrained due to the significant uncertainty regarding whether such preclinical milestone would be achieved. The Company included this amount in the transaction price as of December 31, 2021. Based on the continued uncertainty associated with the achievement of any of the remaining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8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54" w:lineRule="exact"/>
        <w:rPr>
          <w:sz w:val="20"/>
          <w:szCs w:val="20"/>
          <w:color w:val="auto"/>
        </w:rPr>
      </w:pPr>
    </w:p>
    <w:p>
      <w:pPr>
        <w:jc w:val="both"/>
        <w:ind w:right="820" w:firstLine="509"/>
        <w:spacing w:after="0" w:line="266" w:lineRule="auto"/>
        <w:rPr>
          <w:sz w:val="20"/>
          <w:szCs w:val="20"/>
          <w:color w:val="auto"/>
        </w:rPr>
      </w:pPr>
      <w:r>
        <w:rPr>
          <w:rFonts w:ascii="Times New Roman" w:cs="Times New Roman" w:eastAsia="Times New Roman" w:hAnsi="Times New Roman"/>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year ended December 31, 2022.</w:t>
      </w:r>
    </w:p>
    <w:p>
      <w:pPr>
        <w:spacing w:after="0" w:line="6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Allocation of the Transaction Price to Performance Obligations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$5.3 million of collaboration revenue associated with the MyoKardia Collaboration Agreement, which includes $3.2 million of revenue recognized that was included in deferred revenue as of December 31, 2021. During the year ended December 31, 2021, the Company recognized $9.6 million of collaboration revenue associated with the MyoKardia Collaboration Agreement, which includes $6.7 million of revenue recognized that was included in deferred revenue as of December 31, 2021 and a cumulative catch-up adjustment of $1.7 million attributable to the removal of the constraint associated with the $2.5 million preclinical milestone achieved in December 2021. As of December 31, 2022 and 2021, the Company recorded deferred revenue of $0.9 million and $4.1 million, respectively, associated with the MyoKardia Collaboration Agreement,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December 31, 2022 and 2021. As of December 31, 2022, the Company had received $5.6 million of cost reimbursement payments under the MyoKardia Collaboration Agreement and $2.5 million associated with the achievement of a preclinical milestone. As of December 31, 2021, the Company had received $3.2 million of cost reimbursement payments under the MyoKardia Collaboration Agreement and no milestone or royalty payments. As of December 31, 2022, the Company recorded unbilled accounts receivable of $0.2 million related to reimbursable research and development costs under the MyoKardia Collaboration Agreement for activities performed during the three months ended December 31, 2022. As of December 31, 2021, the Company recorded unbilled accounts receivable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9" w:name="page140"/>
    <w:bookmarkEnd w:id="139"/>
    <w:p>
      <w:pPr>
        <w:ind w:right="120"/>
        <w:spacing w:after="0" w:line="261" w:lineRule="auto"/>
        <w:rPr>
          <w:sz w:val="20"/>
          <w:szCs w:val="20"/>
          <w:color w:val="auto"/>
        </w:rPr>
      </w:pPr>
      <w:r>
        <w:rPr>
          <w:rFonts w:ascii="Times New Roman" w:cs="Times New Roman" w:eastAsia="Times New Roman" w:hAnsi="Times New Roman"/>
          <w:sz w:val="18"/>
          <w:szCs w:val="18"/>
          <w:color w:val="auto"/>
        </w:rPr>
        <w:t>of $0.5 million related to reimbursable research and development costs under the MyoKardia Collaboration Agreement for activities performed during the three months ended December 31, 2021. As of December 31, 2022, the Company recorded no accounts receivable under the MyoKardia Collaboration Agreement. As of December 31, 2021, the Company recorded accounts receivable of $2.5 million under the MyoKardia Collaboration Agreement associated with the achievement of a preclinical milestone in December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Right of Reference and License Agreement</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87"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Under the GSK Agreement, the Company issued 12,500,000 shares of Series B Preferred Stock to GSK. In addition, the Company may owe GSK up to $37.5 million in certain specified clinical and regulatory milestones, including a $5.0 million milestone that was achieved and paid during the year ended December 31, 2022 and a $2.5 million milestone previously achieved and paid during 2019, and up to $60.0 million in certain specified sales milestones. The Company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achieved a $5.0 million milestone during the second quarter of 2022, which the Company recorded as research and development expense in the consolidated statement of operations and comprehensive loss for the year ended December 31, 2022.</w:t>
      </w:r>
    </w:p>
    <w:p>
      <w:pPr>
        <w:spacing w:after="0" w:line="189"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clinical and regulatory milestone payments when the underlying contingency is resolved and the consideration is paid or becomes payable. The milestone payments are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26 Landsdowne Street</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December 31, 2022 and December 31, 2021.</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Under ASU 2016-02, as Amended</w:t>
      </w:r>
    </w:p>
    <w:p>
      <w:pPr>
        <w:spacing w:after="0" w:line="227"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adoption of ASU 2016-02, as amended, on January 1, 2022, the Company recorded a right-of-use asset and a corresponding lease liability associated with the 26 Landsdowne Street lease on the consolidated balance sheet as of December 31, 2022. As there is no rate implicit in the 26 Landsdowne Street lease, the Company estimated its incremental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0" w:name="page141"/>
    <w:bookmarkEnd w:id="140"/>
    <w:p>
      <w:pPr>
        <w:ind w:right="140"/>
        <w:spacing w:after="0" w:line="282" w:lineRule="auto"/>
        <w:rPr>
          <w:sz w:val="20"/>
          <w:szCs w:val="20"/>
          <w:color w:val="auto"/>
        </w:rPr>
      </w:pPr>
      <w:r>
        <w:rPr>
          <w:rFonts w:ascii="Times New Roman" w:cs="Times New Roman" w:eastAsia="Times New Roman" w:hAnsi="Times New Roman"/>
          <w:sz w:val="18"/>
          <w:szCs w:val="18"/>
          <w:color w:val="auto"/>
        </w:rPr>
        <w:t>borrowing rate based upon a synthetic credit rating and yield curve analysis. Based upon this analysis, the Company calculated a discount rate of 6.1% for the lease. As of December 31, 2022, the remaining lease term was 5.5 years.</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Pursuant to ASU 2016-02, as amended, operating lease expense and variable lease expense associated with this lease for the year ended December 31, 2022 was approximately $1.9 million and $1.0 million, respectively.</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future minimum lease payments associated with the 26 Landsdowne Street lease as of December 31, 2022,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Pr>
          <w:p>
            <w:pPr>
              <w:spacing w:after="0"/>
              <w:rPr>
                <w:sz w:val="20"/>
                <w:szCs w:val="20"/>
                <w:color w:val="auto"/>
              </w:rPr>
            </w:pPr>
          </w:p>
        </w:tc>
      </w:tr>
      <w:tr>
        <w:trPr>
          <w:trHeight w:val="243"/>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w:t>
            </w:r>
          </w:p>
        </w:tc>
        <w:tc>
          <w:tcPr>
            <w:tcW w:w="100" w:type="dxa"/>
            <w:vAlign w:val="bottom"/>
          </w:tcPr>
          <w:p>
            <w:pPr>
              <w:spacing w:after="0"/>
              <w:rPr>
                <w:sz w:val="20"/>
                <w:szCs w:val="20"/>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(2,278 )</w:t>
            </w:r>
          </w:p>
        </w:tc>
      </w:tr>
      <w:tr>
        <w:trPr>
          <w:trHeight w:val="237"/>
        </w:trPr>
        <w:tc>
          <w:tcPr>
            <w:tcW w:w="9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12,406</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Under ASC 840</w:t>
      </w:r>
    </w:p>
    <w:p>
      <w:pPr>
        <w:spacing w:after="0" w:line="227"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Prior to the adoption of ASU 2016-02, as amended, and pursuant to the legacy guidance within ASC 840, the Company recorded rent expense on a straight-line basis through the end of the lease term and also recorded deferred rent on the consolidated balance sheets. The Company recorded the leasehold improvement incentives as a deferred lease incentive on the consolidated balance sheets and amortized the deferred lease incentive through a reduction of rent expense ratably over the lease term.</w:t>
      </w:r>
    </w:p>
    <w:p>
      <w:pPr>
        <w:spacing w:after="0" w:line="18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Pursuant to ASC 840, rent expense associated with this lease for the year ended December 31, 2021 was approximately $1.9 million. Under ASC 840, minimum rental commitments under non-cancelable leases for each of the next five years and total thereafter as of December 31, 2021,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20"/>
                <w:szCs w:val="20"/>
                <w:color w:val="auto"/>
              </w:rPr>
            </w:pPr>
          </w:p>
        </w:tc>
      </w:tr>
      <w:tr>
        <w:trPr>
          <w:trHeight w:val="27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4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125 Sidney Street</w:t>
      </w:r>
    </w:p>
    <w:p>
      <w:pPr>
        <w:spacing w:after="0" w:line="22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November 2021, the Company entered into a lease agreement comprising approximately 12,196 square feet of office space at 125 Sidney Street in Cambridge, Massachusetts, commencing November 2021. The Company began recognizing rent expense associated with this lease during November 2021. The lease ends on March 31, 2024. The Company has the option to extend the term of the lease for two successive one-year periods, at the market rate, by giving the landlord written notice of its election to exercise the extension at least nine months prior to the original expiration of the lease term. The lease has a total commitment of $1.7 million over the initial term, and includes escalating rent payments.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Under ASU 2016-02, as Amended</w:t>
      </w:r>
    </w:p>
    <w:p>
      <w:pPr>
        <w:spacing w:after="0" w:line="22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a result of the adoption of ASU 2016-02, as amended, on January 1, 2022, the Company recorded a right-of-use asset and a corresponding lease liability associated with the 125 Sidney Street lease on the consolidated balance sheet as of December 31, 2022. As there is no rate implicit in the 125 Sidney Street lease, the Company estimated its incremental borrowing rate based upon a synthetic credit rating and yield curve analysis. Based upon this analysis, the Company calculated a discount rate of 4.2% for the lease. As of December 31, 2022, the remaining lease term was 1.2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1" w:name="page142"/>
    <w:bookmarkEnd w:id="141"/>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Pursuant to ASU 2016-02, as amended, operating lease expense associated with this lease for the year ended December 31, 2022 was approximately $0.7 million. No variable lease expense was recorded associated with this lease for the year ended December 31, 2022. The future minimum lease payments associated with this lease as of December 31, 2022,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r>
      <w:tr>
        <w:trPr>
          <w:trHeight w:val="241"/>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FF0FC"/>
          </w:tcPr>
          <w:p>
            <w:pPr>
              <w:spacing w:after="0"/>
              <w:rPr>
                <w:sz w:val="20"/>
                <w:szCs w:val="20"/>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r>
      <w:tr>
        <w:trPr>
          <w:trHeight w:val="27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liability</w:t>
            </w: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Accounting Under ASC 840</w:t>
      </w:r>
    </w:p>
    <w:p>
      <w:pPr>
        <w:spacing w:after="0" w:line="22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Prior to the adoption of ASU 2016-02, as amended, and pursuant to the legacy guidance within ASC 840, the Company recorded rent expense on a straight-line basis through the end of the lease term and also recorded deferred rent on the consolidated balance sheets.</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Pursuant to ASC 840, rent expense associated with this lease for the year ended December 31, 2021 was approximately $0.1 million. Under ASC 840, minimum rental commitments under non-cancelable leases for each of the next five years and total thereafter as of December 31, 2021,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20"/>
                <w:szCs w:val="20"/>
                <w:color w:val="auto"/>
              </w:rPr>
            </w:pPr>
          </w:p>
        </w:tc>
      </w:tr>
      <w:tr>
        <w:trPr>
          <w:trHeight w:val="243"/>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2022 or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for the years ended December 31, 2022 and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52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4960" w:type="dxa"/>
            <w:vAlign w:val="bottom"/>
          </w:tcPr>
          <w:p>
            <w:pPr>
              <w:spacing w:after="0"/>
              <w:rPr>
                <w:sz w:val="12"/>
                <w:szCs w:val="12"/>
                <w:color w:val="auto"/>
              </w:rPr>
            </w:pPr>
          </w:p>
        </w:tc>
        <w:tc>
          <w:tcPr>
            <w:tcW w:w="152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96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Federal income tax at statutory rate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(0.69 )</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(0.31 )</w:t>
            </w:r>
          </w:p>
        </w:tc>
      </w:tr>
      <w:tr>
        <w:trPr>
          <w:trHeight w:val="25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and state research and development credits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Federal orphan drug credits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Impact of ownership change</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(2.92 )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52"/>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(0.13 )</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80" w:type="dxa"/>
            <w:vAlign w:val="bottom"/>
          </w:tcPr>
          <w:p>
            <w:pPr>
              <w:spacing w:after="0"/>
              <w:rPr>
                <w:sz w:val="21"/>
                <w:szCs w:val="21"/>
                <w:color w:val="auto"/>
              </w:rPr>
            </w:pP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(31.71 )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(33.65 )</w:t>
            </w:r>
          </w:p>
        </w:tc>
        <w:tc>
          <w:tcPr>
            <w:tcW w:w="80" w:type="dxa"/>
            <w:vAlign w:val="bottom"/>
          </w:tcPr>
          <w:p>
            <w:pPr>
              <w:spacing w:after="0"/>
              <w:rPr>
                <w:sz w:val="20"/>
                <w:szCs w:val="20"/>
                <w:color w:val="auto"/>
              </w:rPr>
            </w:pPr>
          </w:p>
        </w:tc>
      </w:tr>
      <w:tr>
        <w:trPr>
          <w:trHeight w:val="23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-1422400</wp:posOffset>
            </wp:positionV>
            <wp:extent cx="4989195"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-179070</wp:posOffset>
            </wp:positionV>
            <wp:extent cx="4989195" cy="1797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989195" cy="179705"/>
                    </a:xfrm>
                    <a:prstGeom prst="rect">
                      <a:avLst/>
                    </a:prstGeom>
                    <a:noFill/>
                  </pic:spPr>
                </pic:pic>
              </a:graphicData>
            </a:graphic>
          </wp:anchor>
        </w:drawing>
      </w:r>
    </w:p>
    <w:p>
      <w:pPr>
        <w:spacing w:after="0" w:line="205"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incurred book and tax losses and, because it maintains a full valuation allowance on its net deferred tax assets, did not recognize federal or state income tax expense or benefit.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deferred tax assets and liabilities consist of the following (in thousands):</w:t>
      </w: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75,005</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2"/>
        </w:trPr>
        <w:tc>
          <w:tcPr>
            <w:tcW w:w="5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39"/>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Orphan drug credit carryforwards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47"/>
        </w:trPr>
        <w:tc>
          <w:tcPr>
            <w:tcW w:w="5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lease incentive</w:t>
            </w: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rent</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2"/>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132,698</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95,589</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(129,512 )</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(94,630 )</w:t>
            </w:r>
          </w:p>
        </w:tc>
        <w:tc>
          <w:tcPr>
            <w:tcW w:w="20" w:type="dxa"/>
            <w:vAlign w:val="bottom"/>
          </w:tcPr>
          <w:p>
            <w:pPr>
              <w:spacing w:after="0"/>
              <w:rPr>
                <w:sz w:val="21"/>
                <w:szCs w:val="21"/>
                <w:color w:val="auto"/>
              </w:rPr>
            </w:pPr>
          </w:p>
        </w:tc>
      </w:tr>
      <w:tr>
        <w:trPr>
          <w:trHeight w:val="232"/>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(3,186 )</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(959 )</w:t>
            </w:r>
          </w:p>
        </w:tc>
        <w:tc>
          <w:tcPr>
            <w:tcW w:w="20" w:type="dxa"/>
            <w:vAlign w:val="bottom"/>
          </w:tcPr>
          <w:p>
            <w:pPr>
              <w:spacing w:after="0"/>
              <w:rPr>
                <w:sz w:val="21"/>
                <w:szCs w:val="21"/>
                <w:color w:val="auto"/>
              </w:rPr>
            </w:pPr>
          </w:p>
        </w:tc>
      </w:tr>
      <w:tr>
        <w:trPr>
          <w:trHeight w:val="237"/>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-822325</wp:posOffset>
            </wp:positionV>
            <wp:extent cx="51435" cy="162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-822325</wp:posOffset>
            </wp:positionV>
            <wp:extent cx="43180" cy="162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16256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-505460</wp:posOffset>
            </wp:positionV>
            <wp:extent cx="51435" cy="1631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1631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-187960</wp:posOffset>
            </wp:positionV>
            <wp:extent cx="51435" cy="188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0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net deferred tax assets. The Company considered its history of cumulative net losses incurred since inception and its lack of commercialization of any products since inception and has concluded that it is more likely than not that the Company will not realize the benefits of the net deferred tax assets. Accordingly, a full valuation allowance has been established against the net deferred tax assets as of December 31, 2022 and 2021. The valuation allowance increased by $34.9 million during the year ended December 31, 2022, which is primarily attributable to increases in net operating loss carryforwards as a result of</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43" w:name="page144"/>
    <w:bookmarkEnd w:id="143"/>
    <w:p>
      <w:pPr>
        <w:ind w:right="20"/>
        <w:spacing w:after="0" w:line="282" w:lineRule="auto"/>
        <w:rPr>
          <w:sz w:val="20"/>
          <w:szCs w:val="20"/>
          <w:color w:val="auto"/>
        </w:rPr>
      </w:pPr>
      <w:r>
        <w:rPr>
          <w:rFonts w:ascii="Times New Roman" w:cs="Times New Roman" w:eastAsia="Times New Roman" w:hAnsi="Times New Roman"/>
          <w:sz w:val="18"/>
          <w:szCs w:val="18"/>
          <w:color w:val="auto"/>
        </w:rPr>
        <w:t>current year net losses, increases in capitalized research and development costs, and the generation of research and development and orphan drug tax credit carryforwards. The Company reevaluates the positive and negative evidence at each reporting period.</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federal net operating loss carryforwards of approximately $275.1 million, a portion of which begin to expire in 2036. Approximately $251.5 million of the federal net operating losses can be carried forward indefinitely. As of December 31, 2022, the Company also had state net operating loss carryforwards of approximately $272.6 million, which begin to expire in 2036.</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federal orphan drug credits of approximately $14.6 million, which begin to expire in 2040. As of December 31, 2022, the Company had federal research and development tax credit carryforwards of approximately $6.9 million, which begin to expire in 2035. As of December 31, 2022, the Company also had state research and development tax credit carryforwards of approximately $4.0 million, which begin to expire in 2030.</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Utilization of the net operating loss carryforwards and research and development tax credit carryforwards may be subject to an annual limitation under Section 382 of the Internal Revenue Code of 1986, as amended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conducted an analysis under Section 382 to determine if historical changes in ownership through December 31, 2021 would limit or otherwise restrict the Company's ability to utilize its pre-change net operating losses and research and development tax credit carryforwards to offset future taxable income. As a result of the analysis, the Company does not believe that there are any significant limitations on its ability to utilize its net operating losses and research and development tax credit carryforwards to offset future taxable income. The Company has not conducted a study to assess whether a change of control has occurred or whether there have been multiple changes of control since December 31, 2021. If the Company has experienced a change of control, as defined by Section 382, subsequent to December 31, 2021,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96"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2022, the Company’s tax years are still open under statute from 2016 to the present.</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It is the Company’s policy to include penalties and interest expense related to income taxes as a component of the provision for income taxes. As of December 31, 2022 and 2021, the Company had no accrued interest or penalties related to uncertain tax positions and no amounts have been recognized in the Company’s statements of operations. For the year ended December 31, 2022, the Company generated research and development tax credits but has not conducted a study to document the qualified activities. This study may result in an adjustment to the Company’s research and development tax credit carryforwards; however, until a study is completed and any adjustment is known, no amounts are being presented as an uncertain tax position. A full valuation allowance has been provided against the Company’s research and development tax credit carryforwards and, if an adjustment is required, this adjustment would result in an adjustment to the deferred tax asset established for the research and development tax credit carryforwards and the valuation allowance.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Defined Contribution Plan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$0.8 million in contributions to the 401(k) Plan for the year ended December 31, 2022. No contributions were made to the 401(k) Plan for the year ended December 31, 2021.</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16. Restructuring Activities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August 2022, the Company announced the implementation of a strategic plan to realign internal investments and operations to prioritize the Company's two clinical programs. In connection with this decision, the Company announced a workforce reduction of 25% of its planned headcount, which was completed in August 2022. During the year ended December 31, 2022, the Company recorded aggregate restructuring charges of $0.4 million related to severance and other employee-related costs. The Company does not expect to incur any additional significant costs associated with this restructuring. During the year ended December 31, 2022, the Company paid $0.4 million of the restructuring charges.</w:t>
      </w:r>
    </w:p>
    <w:p>
      <w:pPr>
        <w:spacing w:after="0" w:line="202" w:lineRule="exact"/>
        <w:rPr>
          <w:sz w:val="20"/>
          <w:szCs w:val="20"/>
          <w:color w:val="auto"/>
        </w:rPr>
      </w:pPr>
    </w:p>
    <w:tbl>
      <w:tblPr>
        <w:tblLayout w:type="fixed"/>
        <w:tblInd w:w="1360" w:type="dxa"/>
        <w:tblCellMar>
          <w:top w:w="0" w:type="dxa"/>
          <w:left w:w="0" w:type="dxa"/>
          <w:bottom w:w="0" w:type="dxa"/>
          <w:right w:w="0" w:type="dxa"/>
        </w:tblCellMar>
      </w:tblPr>
      <w:tr>
        <w:trPr>
          <w:trHeight w:val="243"/>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restructuring charges as of December 31, 2021</w:t>
            </w:r>
          </w:p>
        </w:tc>
        <w:tc>
          <w:tcPr>
            <w:tcW w:w="2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charges incurred during the period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20"/>
                <w:szCs w:val="20"/>
                <w:color w:val="auto"/>
              </w:rPr>
            </w:pPr>
          </w:p>
        </w:tc>
      </w:tr>
      <w:tr>
        <w:trPr>
          <w:trHeight w:val="243"/>
        </w:trPr>
        <w:tc>
          <w:tcPr>
            <w:tcW w:w="6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Amounts paid during the period</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(427 )</w:t>
            </w:r>
          </w:p>
        </w:tc>
      </w:tr>
      <w:tr>
        <w:trPr>
          <w:trHeight w:val="237"/>
        </w:trPr>
        <w:tc>
          <w:tcPr>
            <w:tcW w:w="6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restructuring charges as of December 31, 2022</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20"/>
                <w:szCs w:val="20"/>
                <w:color w:val="auto"/>
              </w:rPr>
            </w:pPr>
          </w:p>
        </w:tc>
      </w:tr>
      <w:tr>
        <w:trPr>
          <w:trHeight w:val="20"/>
        </w:trPr>
        <w:tc>
          <w:tcPr>
            <w:tcW w:w="65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-187960</wp:posOffset>
            </wp:positionV>
            <wp:extent cx="51435" cy="1885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Loss per Share</w:t>
      </w:r>
    </w:p>
    <w:p>
      <w:pPr>
        <w:spacing w:after="0" w:line="121"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per share for the periods indicated because including them would have had an anti-dilutive effect:</w:t>
      </w:r>
    </w:p>
    <w:p>
      <w:pPr>
        <w:spacing w:after="0" w:line="196"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4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0" w:type="dxa"/>
            <w:vAlign w:val="bottom"/>
            <w:tcBorders>
              <w:top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360" w:type="dxa"/>
            <w:vAlign w:val="bottom"/>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6,504,080</w:t>
            </w:r>
          </w:p>
        </w:tc>
        <w:tc>
          <w:tcPr>
            <w:tcW w:w="18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5,188,354</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76,718</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6"/>
        </w:trPr>
        <w:tc>
          <w:tcPr>
            <w:tcW w:w="1700" w:type="dxa"/>
            <w:vAlign w:val="bottom"/>
          </w:tcPr>
          <w:p>
            <w:pPr>
              <w:spacing w:after="0"/>
              <w:rPr>
                <w:sz w:val="24"/>
                <w:szCs w:val="24"/>
                <w:color w:val="auto"/>
              </w:rPr>
            </w:pPr>
          </w:p>
        </w:tc>
        <w:tc>
          <w:tcPr>
            <w:tcW w:w="2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6,580,798</w:t>
            </w:r>
          </w:p>
        </w:tc>
        <w:tc>
          <w:tcPr>
            <w:tcW w:w="18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5,198,528</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33"/>
        </w:trPr>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0" w:type="dxa"/>
            <w:vAlign w:val="bottom"/>
            <w:gridSpan w:val="2"/>
          </w:tcPr>
          <w:p>
            <w:pPr>
              <w:jc w:val="right"/>
              <w:ind w:right="1796"/>
              <w:spacing w:after="0"/>
              <w:rPr>
                <w:sz w:val="20"/>
                <w:szCs w:val="20"/>
                <w:color w:val="auto"/>
              </w:rPr>
            </w:pPr>
            <w:r>
              <w:rPr>
                <w:rFonts w:ascii="Times New Roman" w:cs="Times New Roman" w:eastAsia="Times New Roman" w:hAnsi="Times New Roman"/>
                <w:sz w:val="18"/>
                <w:szCs w:val="18"/>
                <w:color w:val="auto"/>
              </w:rPr>
              <w:t>F-31</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-521970</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-505460</wp:posOffset>
            </wp:positionV>
            <wp:extent cx="514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-521970</wp:posOffset>
            </wp:positionV>
            <wp:extent cx="431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38"/>
        </w:trPr>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60" w:type="dxa"/>
            <w:vAlign w:val="bottom"/>
            <w:gridSpan w:val="38"/>
          </w:tcPr>
          <w:p>
            <w:pPr>
              <w:ind w:left="36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24"/>
        </w:trPr>
        <w:tc>
          <w:tcPr>
            <w:tcW w:w="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60" w:type="dxa"/>
            <w:vAlign w:val="bottom"/>
            <w:gridSpan w:val="3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60" w:type="dxa"/>
            <w:vAlign w:val="bottom"/>
            <w:tcBorders>
              <w:bottom w:val="single" w:sz="8" w:color="auto"/>
            </w:tcBorders>
            <w:gridSpan w:val="3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Pr>
          <w:p>
            <w:pPr>
              <w:ind w:left="20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tcBorders>
              <w:bottom w:val="single" w:sz="8" w:color="0000FF"/>
            </w:tcBorders>
            <w:gridSpan w:val="36"/>
          </w:tcPr>
          <w:p>
            <w:pPr>
              <w:spacing w:after="0" w:line="169" w:lineRule="exact"/>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Restated Certificate of Incorporation of the Registrant (incorporated by reference to Exhibit 3.1 to the Registrant’s Current Report on Form</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8-K filed with the Securities and Exchange Commission on July 22, 2019).</w:t>
              </w:r>
            </w:hyperlink>
          </w:p>
        </w:tc>
        <w:tc>
          <w:tcPr>
            <w:tcW w:w="20" w:type="dxa"/>
            <w:vAlign w:val="bottom"/>
            <w:tcBorders>
              <w:bottom w:val="single" w:sz="8" w:color="0000EE"/>
            </w:tcBorders>
          </w:tcPr>
          <w:p>
            <w:pPr>
              <w:spacing w:after="0"/>
              <w:rPr>
                <w:sz w:val="17"/>
                <w:szCs w:val="17"/>
                <w:color w:val="auto"/>
              </w:rPr>
            </w:pPr>
          </w:p>
        </w:tc>
        <w:tc>
          <w:tcPr>
            <w:tcW w:w="472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Amended and Restated Bylaws of the Registrant (incorporated by reference to Exhibit 3.2 to the Registrant’s Current Report on Form 8-K</w:t>
              </w:r>
            </w:hyperlink>
          </w:p>
        </w:tc>
        <w:tc>
          <w:tcPr>
            <w:tcW w:w="1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40"/>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333">
              <w:r>
                <w:rPr>
                  <w:rFonts w:ascii="Times New Roman" w:cs="Times New Roman" w:eastAsia="Times New Roman" w:hAnsi="Times New Roman"/>
                  <w:sz w:val="18"/>
                  <w:szCs w:val="18"/>
                  <w:color w:val="0000FF"/>
                  <w:w w:val="99"/>
                </w:rPr>
                <w:t>Specimen Stock Certificate evidencing shares of common stock (incorporated by reference to Exhibit 4.1 to the Registrant’s Registration</w:t>
              </w:r>
            </w:hyperlink>
          </w:p>
        </w:tc>
        <w:tc>
          <w:tcPr>
            <w:tcW w:w="26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40"/>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Statement on Form S-1 (File No. 333-232260) filed with the Securities and Exchange Commission on June 21, 2019).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Description of the Registrant’s Securities Registered under Section 12 of the Exchange Act (incorporated by reference to Exhibit 4.2 to the</w:t>
              </w:r>
            </w:hyperlink>
          </w:p>
        </w:tc>
        <w:tc>
          <w:tcPr>
            <w:tcW w:w="1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Registrant’s Annual Report on Form 10-K filed with the Securities and Exchange Commission on March 5, 2020).</w:t>
              </w:r>
            </w:hyperlink>
          </w:p>
        </w:tc>
        <w:tc>
          <w:tcPr>
            <w:tcW w:w="20" w:type="dxa"/>
            <w:vAlign w:val="bottom"/>
            <w:tcBorders>
              <w:bottom w:val="single" w:sz="8" w:color="0000EE"/>
            </w:tcBorders>
          </w:tcPr>
          <w:p>
            <w:pPr>
              <w:spacing w:after="0"/>
              <w:rPr>
                <w:sz w:val="17"/>
                <w:szCs w:val="17"/>
                <w:color w:val="auto"/>
              </w:rPr>
            </w:pPr>
          </w:p>
        </w:tc>
        <w:tc>
          <w:tcPr>
            <w:tcW w:w="18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Amended and Restated Investors' Rights Agreement, dated as of August 24, 2018, by and among the Registrant and the other parties thereto</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(incorporated by reference to Exhibit 10.1 to the Registrant’s Registration Statement on Form S-1 (File No. 333-232260) filed with the</w:t>
              </w:r>
            </w:hyperlink>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Securities and Exchange Commission on June 21, 2019).</w:t>
              </w:r>
            </w:hyperlink>
          </w:p>
        </w:tc>
        <w:tc>
          <w:tcPr>
            <w:tcW w:w="20" w:type="dxa"/>
            <w:vAlign w:val="bottom"/>
            <w:tcBorders>
              <w:bottom w:val="single" w:sz="8" w:color="0000EE"/>
            </w:tcBorders>
          </w:tcPr>
          <w:p>
            <w:pPr>
              <w:spacing w:after="0"/>
              <w:rPr>
                <w:sz w:val="17"/>
                <w:szCs w:val="17"/>
                <w:color w:val="auto"/>
              </w:rPr>
            </w:pPr>
          </w:p>
        </w:tc>
        <w:tc>
          <w:tcPr>
            <w:tcW w:w="6020" w:type="dxa"/>
            <w:vAlign w:val="bottom"/>
            <w:gridSpan w:val="3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6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Registration Rights Agreement, dated June 9, 2020, by and among the Registrant and the other parties thereto (incorporated by reference to</w:t>
              </w:r>
            </w:hyperlink>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Exhibit 10.2 of the Registrant's Current Report on Form 8-K filed with the Securities and Exchange Commission on June 10, 2020).</w:t>
              </w:r>
            </w:hyperlink>
          </w:p>
        </w:tc>
        <w:tc>
          <w:tcPr>
            <w:tcW w:w="20" w:type="dxa"/>
            <w:vAlign w:val="bottom"/>
            <w:tcBorders>
              <w:bottom w:val="single" w:sz="8" w:color="0000EE"/>
            </w:tcBorders>
          </w:tcPr>
          <w:p>
            <w:pPr>
              <w:spacing w:after="0"/>
              <w:rPr>
                <w:sz w:val="17"/>
                <w:szCs w:val="17"/>
                <w:color w:val="auto"/>
              </w:rPr>
            </w:pPr>
          </w:p>
        </w:tc>
        <w:tc>
          <w:tcPr>
            <w:tcW w:w="5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2016 Stock Incentive Plan, as amended (incorporated by reference to Exhibit 10.2 to the Registrant’s Registration Statement on Form S-1</w:t>
              </w:r>
            </w:hyperlink>
          </w:p>
        </w:tc>
        <w:tc>
          <w:tcPr>
            <w:tcW w:w="2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40"/>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(File No. 333-232260) filed with the Securities and Exchange Commission on June 21, 2019).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3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Form of Incentive Stock Option Agreement under the 2016 Stock Incentive Plan (incorporated by reference to Exhibit 10.3 to the</w:t>
              </w:r>
            </w:hyperlink>
          </w:p>
        </w:tc>
        <w:tc>
          <w:tcPr>
            <w:tcW w:w="78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338">
              <w:r>
                <w:rPr>
                  <w:rFonts w:ascii="Times New Roman" w:cs="Times New Roman" w:eastAsia="Times New Roman" w:hAnsi="Times New Roman"/>
                  <w:sz w:val="18"/>
                  <w:szCs w:val="18"/>
                  <w:color w:val="0000FF"/>
                  <w:w w:val="99"/>
                </w:rPr>
                <w:t>Registrant’s Registration Statement on Form S-1 (File No. 333-232260) filed with the Securities and Exchange Commission on June 21,</w:t>
              </w:r>
            </w:hyperlink>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20" w:type="dxa"/>
            <w:vAlign w:val="bottom"/>
            <w:gridSpan w:val="4"/>
          </w:tcPr>
          <w:p>
            <w:pPr>
              <w:ind w:left="120"/>
              <w:spacing w:after="0" w:line="196" w:lineRule="exact"/>
              <w:rPr>
                <w:rFonts w:ascii="Times New Roman" w:cs="Times New Roman" w:eastAsia="Times New Roman" w:hAnsi="Times New Roman"/>
                <w:sz w:val="18"/>
                <w:szCs w:val="18"/>
                <w:color w:val="0000FF"/>
                <w:w w:val="98"/>
              </w:rPr>
            </w:pPr>
            <w:hyperlink r:id="rId338">
              <w:r>
                <w:rPr>
                  <w:rFonts w:ascii="Times New Roman" w:cs="Times New Roman" w:eastAsia="Times New Roman" w:hAnsi="Times New Roman"/>
                  <w:sz w:val="18"/>
                  <w:szCs w:val="18"/>
                  <w:color w:val="0000FF"/>
                  <w:w w:val="98"/>
                </w:rPr>
                <w:t>2019).</w:t>
              </w:r>
            </w:hyperlink>
          </w:p>
        </w:tc>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Form of Non-Statutory Stock Option Agreement under the 2016 Stock Incentive Plan (incorporated by reference to Exhibit 10.4 to the</w:t>
              </w:r>
            </w:hyperlink>
          </w:p>
        </w:tc>
        <w:tc>
          <w:tcPr>
            <w:tcW w:w="42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Registrant’s Registration Statement on Form S-1 (File No. 333-232260) filed with the Securities and Exchange Commission on June 21,</w:t>
              </w:r>
            </w:hyperlink>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20" w:type="dxa"/>
            <w:vAlign w:val="bottom"/>
            <w:gridSpan w:val="4"/>
          </w:tcPr>
          <w:p>
            <w:pPr>
              <w:ind w:left="120"/>
              <w:spacing w:after="0" w:line="196" w:lineRule="exact"/>
              <w:rPr>
                <w:rFonts w:ascii="Times New Roman" w:cs="Times New Roman" w:eastAsia="Times New Roman" w:hAnsi="Times New Roman"/>
                <w:sz w:val="18"/>
                <w:szCs w:val="18"/>
                <w:color w:val="0000FF"/>
                <w:w w:val="98"/>
              </w:rPr>
            </w:pPr>
            <w:hyperlink r:id="rId339">
              <w:r>
                <w:rPr>
                  <w:rFonts w:ascii="Times New Roman" w:cs="Times New Roman" w:eastAsia="Times New Roman" w:hAnsi="Times New Roman"/>
                  <w:sz w:val="18"/>
                  <w:szCs w:val="18"/>
                  <w:color w:val="0000FF"/>
                  <w:w w:val="98"/>
                </w:rPr>
                <w:t>2019).</w:t>
              </w:r>
            </w:hyperlink>
          </w:p>
        </w:tc>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Form of Restricted Stock Agreement under the 2016 Stock Incentive Plan (incorporated by reference to Exhibit 10.5 to the Registrant’s</w:t>
              </w:r>
            </w:hyperlink>
          </w:p>
        </w:tc>
        <w:tc>
          <w:tcPr>
            <w:tcW w:w="36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40"/>
          </w:tcPr>
          <w:p>
            <w:pPr>
              <w:spacing w:after="0" w:line="196"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Registration Statement on Form S-1 (File No. 333-232260) filed with the Securities and Exchange Commission on June 21, 2019).</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2019 Stock Incentive Plan (incorporated by reference to Exhibit 10.6 to Amendment No. 1 to Registrant’s Registration Statement on Form</w:t>
              </w:r>
            </w:hyperlink>
          </w:p>
        </w:tc>
        <w:tc>
          <w:tcPr>
            <w:tcW w:w="1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S-1 (File No. 333-232260) filed with the Securities and Exchange Commission on July 8, 2019).</w:t>
              </w:r>
            </w:hyperlink>
          </w:p>
        </w:tc>
        <w:tc>
          <w:tcPr>
            <w:tcW w:w="320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Form of Stock Option Agreement under the 2019 Stock Incentive Plan (incorporated by reference to Exhibit 10.7 to Amendment No. 1 to</w:t>
              </w:r>
            </w:hyperlink>
          </w:p>
        </w:tc>
        <w:tc>
          <w:tcPr>
            <w:tcW w:w="2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Registrant’s Registration Statement on Form S-1 (File No. 333-232260) filed with the Securities and Exchange Commission on July 8,</w:t>
              </w:r>
            </w:hyperlink>
          </w:p>
        </w:tc>
        <w:tc>
          <w:tcPr>
            <w:tcW w:w="4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20" w:type="dxa"/>
            <w:vAlign w:val="bottom"/>
            <w:gridSpan w:val="4"/>
          </w:tcPr>
          <w:p>
            <w:pPr>
              <w:ind w:left="120"/>
              <w:spacing w:after="0" w:line="196" w:lineRule="exact"/>
              <w:rPr>
                <w:rFonts w:ascii="Times New Roman" w:cs="Times New Roman" w:eastAsia="Times New Roman" w:hAnsi="Times New Roman"/>
                <w:sz w:val="18"/>
                <w:szCs w:val="18"/>
                <w:color w:val="0000FF"/>
                <w:w w:val="98"/>
              </w:rPr>
            </w:pPr>
            <w:hyperlink r:id="rId342">
              <w:r>
                <w:rPr>
                  <w:rFonts w:ascii="Times New Roman" w:cs="Times New Roman" w:eastAsia="Times New Roman" w:hAnsi="Times New Roman"/>
                  <w:sz w:val="18"/>
                  <w:szCs w:val="18"/>
                  <w:color w:val="0000FF"/>
                  <w:w w:val="98"/>
                </w:rPr>
                <w:t>2019).</w:t>
              </w:r>
            </w:hyperlink>
          </w:p>
        </w:tc>
        <w:tc>
          <w:tcPr>
            <w:tcW w:w="3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Form of Inducement Stock Option Agreement (incorporated by reference to Exhibit 10.1 to the Registrant’s Quarterly Report on Form 10-Q</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filed with the Securities and Exchange Commission on November 4, 2021).</w:t>
              </w:r>
            </w:hyperlink>
          </w:p>
        </w:tc>
        <w:tc>
          <w:tcPr>
            <w:tcW w:w="47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Form of Restricted Stock Unit Agreement under the 2019 Stock Incentive Plan (incorporated by reference to Exhibit 10.10 to the</w:t>
              </w:r>
            </w:hyperlink>
          </w:p>
        </w:tc>
        <w:tc>
          <w:tcPr>
            <w:tcW w:w="820" w:type="dxa"/>
            <w:vAlign w:val="bottom"/>
            <w:gridSpan w:val="2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Registrant’s Annual Report on Form 10-K filed with the Securities and Exchange Commission on March 3, 2022).</w:t>
              </w:r>
            </w:hyperlink>
          </w:p>
        </w:tc>
        <w:tc>
          <w:tcPr>
            <w:tcW w:w="20" w:type="dxa"/>
            <w:vAlign w:val="bottom"/>
            <w:tcBorders>
              <w:bottom w:val="single" w:sz="8" w:color="0000EE"/>
            </w:tcBorders>
          </w:tcPr>
          <w:p>
            <w:pPr>
              <w:spacing w:after="0"/>
              <w:rPr>
                <w:sz w:val="17"/>
                <w:szCs w:val="17"/>
                <w:color w:val="auto"/>
              </w:rPr>
            </w:pPr>
          </w:p>
        </w:tc>
        <w:tc>
          <w:tcPr>
            <w:tcW w:w="18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0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2019 Employee Stock Purchase Plan (incorporated by reference to Exhibit 10.8 to Amendment No. 1 to Registrant’s Registration Statement</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on Form S-1 (File No. 333-232260) filed with the Securities and Exchange Commission on July 8, 2019).</w:t>
              </w:r>
            </w:hyperlink>
          </w:p>
        </w:tc>
        <w:tc>
          <w:tcPr>
            <w:tcW w:w="25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2022 Inducement Stock Incentive Plan (incorporated by reference to Exhibit 10.12 to the Registrant’s Annual Report on Form 10-K filed</w:t>
              </w:r>
            </w:hyperlink>
          </w:p>
        </w:tc>
        <w:tc>
          <w:tcPr>
            <w:tcW w:w="24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with the Securities and Exchange Commission on March 3, 2022).</w:t>
              </w:r>
            </w:hyperlink>
          </w:p>
        </w:tc>
        <w:tc>
          <w:tcPr>
            <w:tcW w:w="536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First Amendment to 2022 Inducement Stock Incentive Plan.</w:t>
            </w:r>
          </w:p>
        </w:tc>
        <w:tc>
          <w:tcPr>
            <w:tcW w:w="20" w:type="dxa"/>
            <w:vAlign w:val="bottom"/>
            <w:tcBorders>
              <w:bottom w:val="single" w:sz="8" w:color="0000EE"/>
            </w:tcBorders>
          </w:tcPr>
          <w:p>
            <w:pPr>
              <w:spacing w:after="0"/>
              <w:rPr>
                <w:sz w:val="18"/>
                <w:szCs w:val="18"/>
                <w:color w:val="auto"/>
              </w:rPr>
            </w:pPr>
          </w:p>
        </w:tc>
        <w:tc>
          <w:tcPr>
            <w:tcW w:w="5800" w:type="dxa"/>
            <w:vAlign w:val="bottom"/>
            <w:gridSpan w:val="3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40"/>
          </w:tcPr>
          <w:p>
            <w:pPr>
              <w:spacing w:after="0"/>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Form of Non-Statutory Stock Option Agreement under 2022 Inducement Stock Incentive Plan (incorporated by reference to Exhibit 10.13 to</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00" w:type="dxa"/>
            <w:vAlign w:val="bottom"/>
            <w:tcBorders>
              <w:top w:val="single" w:sz="8" w:color="0000FF"/>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the Registrant’s Annual Report on Form 10-K filed with the Securities and Exchange Commission on March 3, 2022).</w:t>
              </w:r>
            </w:hyperlink>
          </w:p>
        </w:tc>
        <w:tc>
          <w:tcPr>
            <w:tcW w:w="1620" w:type="dxa"/>
            <w:vAlign w:val="bottom"/>
            <w:tcBorders>
              <w:top w:val="single" w:sz="8" w:color="0000FF"/>
            </w:tcBorders>
            <w:gridSpan w:val="2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Form of Restricted Stock Unit Agreement under 2022 Inducement Stock Incentive Plan (incorporated by reference to Exhibit 10.14 to the</w:t>
              </w:r>
            </w:hyperlink>
          </w:p>
        </w:tc>
        <w:tc>
          <w:tcPr>
            <w:tcW w:w="18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Registrant’s Annual Report on Form 10-K filed with the Securities and Exchange Commission on March 3, 2022).</w:t>
              </w:r>
            </w:hyperlink>
          </w:p>
        </w:tc>
        <w:tc>
          <w:tcPr>
            <w:tcW w:w="19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Summary of Non-Employee Director Compensation Program.</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Borders>
              <w:right w:val="single" w:sz="8" w:color="0000EE"/>
            </w:tcBorders>
            <w:gridSpan w:val="7"/>
            <w:shd w:val="clear" w:color="auto" w:fill="0000FF"/>
          </w:tcPr>
          <w:p>
            <w:pPr>
              <w:spacing w:after="0" w:line="20" w:lineRule="exact"/>
              <w:rPr>
                <w:sz w:val="1"/>
                <w:szCs w:val="1"/>
                <w:color w:val="auto"/>
              </w:rPr>
            </w:pPr>
          </w:p>
        </w:tc>
        <w:tc>
          <w:tcPr>
            <w:tcW w:w="4800" w:type="dxa"/>
            <w:vAlign w:val="bottom"/>
            <w:gridSpan w:val="12"/>
          </w:tcPr>
          <w:p>
            <w:pPr>
              <w:spacing w:after="0" w:line="20" w:lineRule="exact"/>
              <w:rPr>
                <w:sz w:val="1"/>
                <w:szCs w:val="1"/>
                <w:color w:val="auto"/>
              </w:rPr>
            </w:pPr>
          </w:p>
        </w:tc>
        <w:tc>
          <w:tcPr>
            <w:tcW w:w="620" w:type="dxa"/>
            <w:vAlign w:val="bottom"/>
            <w:gridSpan w:val="11"/>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Form of Employment Agreement for Executive Officers (incorporated by reference to Exhibit 10.12 to Amendment No. 1 to Registrant’s</w:t>
              </w:r>
            </w:hyperlink>
          </w:p>
        </w:tc>
        <w:tc>
          <w:tcPr>
            <w:tcW w:w="24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40"/>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Registration Statement on Form S-1 (File No. 333-232260) filed with the Securities and Exchange Commission on July 8, 2019).</w:t>
              </w:r>
            </w:hyperlink>
          </w:p>
        </w:tc>
        <w:tc>
          <w:tcPr>
            <w:tcW w:w="0" w:type="dxa"/>
            <w:vAlign w:val="bottom"/>
          </w:tcPr>
          <w:p>
            <w:pPr>
              <w:spacing w:after="0"/>
              <w:rPr>
                <w:sz w:val="1"/>
                <w:szCs w:val="1"/>
                <w:color w:val="auto"/>
              </w:rPr>
            </w:pPr>
          </w:p>
        </w:tc>
      </w:tr>
      <w:tr>
        <w:trPr>
          <w:trHeight w:val="365"/>
        </w:trPr>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6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3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78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6" w:name="page147"/>
    <w:bookmarkEnd w:id="146"/>
    <w:tbl>
      <w:tblPr>
        <w:tblLayout w:type="fixed"/>
        <w:tblInd w:w="20" w:type="dxa"/>
        <w:tblCellMar>
          <w:top w:w="0" w:type="dxa"/>
          <w:left w:w="0" w:type="dxa"/>
          <w:bottom w:w="0" w:type="dxa"/>
          <w:right w:w="0" w:type="dxa"/>
        </w:tblCellMar>
      </w:tblPr>
      <w:tr>
        <w:trPr>
          <w:trHeight w:val="207"/>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65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Letter Agreement, dated January 3, 2023, by and between Registrant and Robert J. Gould.</w:t>
            </w:r>
          </w:p>
        </w:tc>
        <w:tc>
          <w:tcPr>
            <w:tcW w:w="20" w:type="dxa"/>
            <w:vAlign w:val="bottom"/>
            <w:tcBorders>
              <w:bottom w:val="single" w:sz="8" w:color="0000EE"/>
            </w:tcBorders>
          </w:tcPr>
          <w:p>
            <w:pPr>
              <w:spacing w:after="0"/>
              <w:rPr>
                <w:sz w:val="17"/>
                <w:szCs w:val="17"/>
                <w:color w:val="auto"/>
              </w:rPr>
            </w:pPr>
          </w:p>
        </w:tc>
        <w:tc>
          <w:tcPr>
            <w:tcW w:w="3620" w:type="dxa"/>
            <w:vAlign w:val="bottom"/>
            <w:gridSpan w:val="24"/>
          </w:tcPr>
          <w:p>
            <w:pPr>
              <w:spacing w:after="0"/>
              <w:rPr>
                <w:sz w:val="17"/>
                <w:szCs w:val="17"/>
                <w:color w:val="auto"/>
              </w:rPr>
            </w:pPr>
          </w:p>
        </w:tc>
      </w:tr>
      <w:tr>
        <w:trPr>
          <w:trHeight w:val="209"/>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101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Separation Agreement, dated January 2, 2023, by and between Registrant and Bryan Stuart.</w:t>
            </w:r>
          </w:p>
        </w:tc>
      </w:tr>
      <w:tr>
        <w:trPr>
          <w:trHeight w:val="20"/>
        </w:trPr>
        <w:tc>
          <w:tcPr>
            <w:tcW w:w="10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10.20#</w:t>
            </w:r>
          </w:p>
        </w:tc>
        <w:tc>
          <w:tcPr>
            <w:tcW w:w="100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Employment Agreement, dated October 29, 2020, by and between the Registrant and Curtis Oltmans (incorporated by reference to Exhibit</w:t>
              </w:r>
            </w:hyperlink>
          </w:p>
        </w:tc>
        <w:tc>
          <w:tcPr>
            <w:tcW w:w="100" w:type="dxa"/>
            <w:vAlign w:val="bottom"/>
            <w:gridSpan w:val="3"/>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92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r>
                <w:rPr>
                  <w:rFonts w:ascii="Times New Roman" w:cs="Times New Roman" w:eastAsia="Times New Roman" w:hAnsi="Times New Roman"/>
                  <w:sz w:val="18"/>
                  <w:szCs w:val="18"/>
                  <w:color w:val="0000FF"/>
                </w:rPr>
                <w:t xml:space="preserve"> to the Registrant’s Annual Report on Form 10-K filed with the Securities and Exchange Commission on March 4, 2021).</w:t>
              </w:r>
            </w:hyperlink>
          </w:p>
        </w:tc>
        <w:tc>
          <w:tcPr>
            <w:tcW w:w="940" w:type="dxa"/>
            <w:vAlign w:val="bottom"/>
            <w:gridSpan w:val="17"/>
          </w:tcPr>
          <w:p>
            <w:pPr>
              <w:spacing w:after="0"/>
              <w:rPr>
                <w:sz w:val="17"/>
                <w:szCs w:val="17"/>
                <w:color w:val="auto"/>
              </w:rPr>
            </w:pPr>
          </w:p>
        </w:tc>
      </w:tr>
      <w:tr>
        <w:trPr>
          <w:trHeight w:val="210"/>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10.21*#</w:t>
            </w:r>
          </w:p>
        </w:tc>
        <w:tc>
          <w:tcPr>
            <w:tcW w:w="101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Separation Agreement, dated October 14, 2022, by and between the Registrant and Judith Dunn.</w:t>
            </w:r>
          </w:p>
        </w:tc>
      </w:tr>
      <w:tr>
        <w:trPr>
          <w:trHeight w:val="20"/>
        </w:trPr>
        <w:tc>
          <w:tcPr>
            <w:tcW w:w="10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EE"/>
            </w:tcBorders>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1014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Employment Agreement, dated September 7, 2021, by and between the Registrant and Mel Hayes (incorporated by reference to Exhibit 10.1</w:t>
              </w:r>
            </w:hyperlink>
          </w:p>
        </w:tc>
      </w:tr>
      <w:tr>
        <w:trPr>
          <w:trHeight w:val="196"/>
        </w:trPr>
        <w:tc>
          <w:tcPr>
            <w:tcW w:w="1060" w:type="dxa"/>
            <w:vAlign w:val="bottom"/>
          </w:tcPr>
          <w:p>
            <w:pPr>
              <w:spacing w:after="0"/>
              <w:rPr>
                <w:sz w:val="17"/>
                <w:szCs w:val="17"/>
                <w:color w:val="auto"/>
              </w:rPr>
            </w:pPr>
          </w:p>
        </w:tc>
        <w:tc>
          <w:tcPr>
            <w:tcW w:w="91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to the Registrant’s Quarterly Report on Form 10-Q filed with the Securities and Exchange Commission on November 8, 2022).</w:t>
              </w:r>
            </w:hyperlink>
          </w:p>
        </w:tc>
        <w:tc>
          <w:tcPr>
            <w:tcW w:w="20" w:type="dxa"/>
            <w:vAlign w:val="bottom"/>
            <w:tcBorders>
              <w:bottom w:val="single" w:sz="8" w:color="0000EE"/>
            </w:tcBorders>
          </w:tcPr>
          <w:p>
            <w:pPr>
              <w:spacing w:after="0"/>
              <w:rPr>
                <w:sz w:val="17"/>
                <w:szCs w:val="17"/>
                <w:color w:val="auto"/>
              </w:rPr>
            </w:pPr>
          </w:p>
        </w:tc>
        <w:tc>
          <w:tcPr>
            <w:tcW w:w="960" w:type="dxa"/>
            <w:vAlign w:val="bottom"/>
            <w:gridSpan w:val="18"/>
          </w:tcPr>
          <w:p>
            <w:pPr>
              <w:spacing w:after="0"/>
              <w:rPr>
                <w:sz w:val="17"/>
                <w:szCs w:val="17"/>
                <w:color w:val="auto"/>
              </w:rPr>
            </w:pPr>
          </w:p>
        </w:tc>
      </w:tr>
      <w:tr>
        <w:trPr>
          <w:trHeight w:val="210"/>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w:t>
            </w:r>
          </w:p>
        </w:tc>
        <w:tc>
          <w:tcPr>
            <w:tcW w:w="99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Employment Agreement, dated January 3, 2022, by and between the Registrant and Esther Rajavelu (incorporated by reference to Exhibit</w:t>
              </w:r>
            </w:hyperlink>
          </w:p>
        </w:tc>
        <w:tc>
          <w:tcPr>
            <w:tcW w:w="160" w:type="dxa"/>
            <w:vAlign w:val="bottom"/>
            <w:gridSpan w:val="6"/>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10140" w:type="dxa"/>
            <w:vAlign w:val="bottom"/>
            <w:gridSpan w:val="38"/>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Registrant’s Quarterly Report on Form 10-K filed with the Securities and Exchange Commission on March 3, 2022).</w:t>
              </w:r>
            </w:hyperlink>
          </w:p>
        </w:tc>
      </w:tr>
      <w:tr>
        <w:trPr>
          <w:trHeight w:val="209"/>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10.24*#</w:t>
            </w:r>
          </w:p>
        </w:tc>
        <w:tc>
          <w:tcPr>
            <w:tcW w:w="922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Employment Agreement, dated November 7, 2022, by and between the Registrant and Santiago Arroyo.</w:t>
            </w:r>
          </w:p>
        </w:tc>
        <w:tc>
          <w:tcPr>
            <w:tcW w:w="920" w:type="dxa"/>
            <w:vAlign w:val="bottom"/>
            <w:gridSpan w:val="16"/>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10.25#</w:t>
            </w:r>
          </w:p>
        </w:tc>
        <w:tc>
          <w:tcPr>
            <w:tcW w:w="100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Form of Indemnification Agreement between the Registrant and each of its Executive Officers and Directors (incorporated by reference to</w:t>
              </w:r>
            </w:hyperlink>
          </w:p>
        </w:tc>
        <w:tc>
          <w:tcPr>
            <w:tcW w:w="100" w:type="dxa"/>
            <w:vAlign w:val="bottom"/>
            <w:gridSpan w:val="3"/>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92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Exhibit 10.15 to Registrant’s Registration Statement on Form S-1 (File No. 333-232260) filed with the Securities and Exchange</w:t>
              </w:r>
            </w:hyperlink>
          </w:p>
        </w:tc>
        <w:tc>
          <w:tcPr>
            <w:tcW w:w="880" w:type="dxa"/>
            <w:vAlign w:val="bottom"/>
            <w:gridSpan w:val="15"/>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23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55">
              <w:r>
                <w:rPr>
                  <w:rFonts w:ascii="Times New Roman" w:cs="Times New Roman" w:eastAsia="Times New Roman" w:hAnsi="Times New Roman"/>
                  <w:sz w:val="18"/>
                  <w:szCs w:val="18"/>
                  <w:color w:val="0000FF"/>
                  <w:w w:val="99"/>
                </w:rPr>
                <w:t>Commission on June 21, 2019).</w:t>
              </w:r>
            </w:hyperlink>
          </w:p>
        </w:tc>
        <w:tc>
          <w:tcPr>
            <w:tcW w:w="7840" w:type="dxa"/>
            <w:vAlign w:val="bottom"/>
            <w:gridSpan w:val="32"/>
          </w:tcPr>
          <w:p>
            <w:pPr>
              <w:spacing w:after="0"/>
              <w:rPr>
                <w:sz w:val="17"/>
                <w:szCs w:val="17"/>
                <w:color w:val="auto"/>
              </w:rPr>
            </w:pPr>
          </w:p>
        </w:tc>
      </w:tr>
      <w:tr>
        <w:trPr>
          <w:trHeight w:val="209"/>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10.26</w:t>
            </w:r>
            <w:r>
              <w:rPr>
                <w:rFonts w:ascii="Times New Roman" w:cs="Times New Roman" w:eastAsia="Times New Roman" w:hAnsi="Times New Roman"/>
                <w:sz w:val="14"/>
                <w:szCs w:val="14"/>
                <w:color w:val="auto"/>
              </w:rPr>
              <w:t>†</w:t>
            </w:r>
          </w:p>
        </w:tc>
        <w:tc>
          <w:tcPr>
            <w:tcW w:w="97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Right of Reference and License Agreement, dated as of February 8, 2019, by and among the Registrant, GlaxoSmithKline Intellectual</w:t>
              </w:r>
            </w:hyperlink>
          </w:p>
        </w:tc>
        <w:tc>
          <w:tcPr>
            <w:tcW w:w="440" w:type="dxa"/>
            <w:vAlign w:val="bottom"/>
            <w:gridSpan w:val="9"/>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1004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Property (No. 2) Limited, GlaxoSmithKline LLC and Glaxo Group Limited (incorporated by reference to Exhibit 10.10 to the Registrant’s</w:t>
              </w:r>
            </w:hyperlink>
          </w:p>
        </w:tc>
        <w:tc>
          <w:tcPr>
            <w:tcW w:w="100" w:type="dxa"/>
            <w:vAlign w:val="bottom"/>
            <w:gridSpan w:val="3"/>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40" w:type="dxa"/>
            <w:vAlign w:val="bottom"/>
            <w:gridSpan w:val="38"/>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Registration Statement on Form S-1 (File No. 333-232260) filed with the Securities and Exchange Commission on June 21, 2019).</w:t>
              </w:r>
            </w:hyperlink>
          </w:p>
        </w:tc>
      </w:tr>
      <w:tr>
        <w:trPr>
          <w:trHeight w:val="20"/>
        </w:trPr>
        <w:tc>
          <w:tcPr>
            <w:tcW w:w="10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300" w:type="dxa"/>
            <w:vAlign w:val="bottom"/>
            <w:tcBorders>
              <w:right w:val="single" w:sz="8" w:color="0000EE"/>
            </w:tcBorders>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10.27</w:t>
            </w:r>
            <w:r>
              <w:rPr>
                <w:rFonts w:ascii="Times New Roman" w:cs="Times New Roman" w:eastAsia="Times New Roman" w:hAnsi="Times New Roman"/>
                <w:sz w:val="14"/>
                <w:szCs w:val="14"/>
                <w:color w:val="auto"/>
              </w:rPr>
              <w:t>†</w:t>
            </w:r>
          </w:p>
        </w:tc>
        <w:tc>
          <w:tcPr>
            <w:tcW w:w="95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First Amendment to the Right of Reference and License Agreement, dated as of September 23, 2020, by and among the Registrant,</w:t>
              </w:r>
            </w:hyperlink>
          </w:p>
        </w:tc>
        <w:tc>
          <w:tcPr>
            <w:tcW w:w="640" w:type="dxa"/>
            <w:vAlign w:val="bottom"/>
            <w:gridSpan w:val="12"/>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98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GlaxoSmithKline Intellectual Property (No. 2) Limited, GlaxoSmithKline LLC and Glaxo Group Limited (incorporated by reference to</w:t>
              </w:r>
            </w:hyperlink>
          </w:p>
        </w:tc>
        <w:tc>
          <w:tcPr>
            <w:tcW w:w="320" w:type="dxa"/>
            <w:vAlign w:val="bottom"/>
            <w:gridSpan w:val="8"/>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02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Exhibit 10.2 to the Registrant’s Quarterly Report on Form 10-Q (File No. 001-38978) filed with the Securities and Exchange Commission</w:t>
              </w:r>
            </w:hyperlink>
          </w:p>
        </w:tc>
        <w:tc>
          <w:tcPr>
            <w:tcW w:w="120" w:type="dxa"/>
            <w:vAlign w:val="bottom"/>
            <w:gridSpan w:val="4"/>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7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357">
              <w:r>
                <w:rPr>
                  <w:rFonts w:ascii="Times New Roman" w:cs="Times New Roman" w:eastAsia="Times New Roman" w:hAnsi="Times New Roman"/>
                  <w:sz w:val="18"/>
                  <w:szCs w:val="18"/>
                  <w:color w:val="0000FF"/>
                  <w:w w:val="99"/>
                </w:rPr>
                <w:t>on November 10, 2020).</w:t>
              </w:r>
            </w:hyperlink>
          </w:p>
        </w:tc>
        <w:tc>
          <w:tcPr>
            <w:tcW w:w="20" w:type="dxa"/>
            <w:vAlign w:val="bottom"/>
            <w:tcBorders>
              <w:bottom w:val="single" w:sz="8" w:color="0000EE"/>
            </w:tcBorders>
          </w:tcPr>
          <w:p>
            <w:pPr>
              <w:spacing w:after="0"/>
              <w:rPr>
                <w:sz w:val="17"/>
                <w:szCs w:val="17"/>
                <w:color w:val="auto"/>
              </w:rPr>
            </w:pPr>
          </w:p>
        </w:tc>
        <w:tc>
          <w:tcPr>
            <w:tcW w:w="8340" w:type="dxa"/>
            <w:vAlign w:val="bottom"/>
            <w:gridSpan w:val="34"/>
          </w:tcPr>
          <w:p>
            <w:pPr>
              <w:spacing w:after="0"/>
              <w:rPr>
                <w:sz w:val="17"/>
                <w:szCs w:val="17"/>
                <w:color w:val="auto"/>
              </w:rPr>
            </w:pPr>
          </w:p>
        </w:tc>
      </w:tr>
      <w:tr>
        <w:trPr>
          <w:trHeight w:val="209"/>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10.28</w:t>
            </w:r>
            <w:r>
              <w:rPr>
                <w:rFonts w:ascii="Times New Roman" w:cs="Times New Roman" w:eastAsia="Times New Roman" w:hAnsi="Times New Roman"/>
                <w:sz w:val="14"/>
                <w:szCs w:val="14"/>
                <w:color w:val="auto"/>
              </w:rPr>
              <w:t>†</w:t>
            </w:r>
          </w:p>
        </w:tc>
        <w:tc>
          <w:tcPr>
            <w:tcW w:w="97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Collaboration and License Agreement, dated as of July 20, 2020, by and between the Registrant and MyoKardia, Inc, a wholly-owned</w:t>
              </w:r>
            </w:hyperlink>
          </w:p>
        </w:tc>
        <w:tc>
          <w:tcPr>
            <w:tcW w:w="440" w:type="dxa"/>
            <w:vAlign w:val="bottom"/>
            <w:gridSpan w:val="9"/>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1010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subsidiary of Bristol Myers Squibb Company (incorporated by reference to Exhibit 10.1 to the Registrant’s Quarterly Report on Form 10-Q</w:t>
              </w:r>
            </w:hyperlink>
          </w:p>
        </w:tc>
        <w:tc>
          <w:tcPr>
            <w:tcW w:w="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10140" w:type="dxa"/>
            <w:vAlign w:val="bottom"/>
            <w:gridSpan w:val="38"/>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(File No. 001-38978) filed with the Securities and Exchange Commission on November 10, 2020).</w:t>
              </w:r>
            </w:hyperlink>
          </w:p>
        </w:tc>
      </w:tr>
      <w:tr>
        <w:trPr>
          <w:trHeight w:val="20"/>
        </w:trPr>
        <w:tc>
          <w:tcPr>
            <w:tcW w:w="10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5"/>
            <w:shd w:val="clear" w:color="auto" w:fill="0000FF"/>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10.29</w:t>
            </w:r>
          </w:p>
        </w:tc>
        <w:tc>
          <w:tcPr>
            <w:tcW w:w="1008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Lease for 26 Landsdowne Street, dated November 22, 2017, by and between the UP 26 Landsdowne, LLC and the Registrant (incorporated</w:t>
              </w:r>
            </w:hyperlink>
          </w:p>
        </w:tc>
        <w:tc>
          <w:tcPr>
            <w:tcW w:w="60" w:type="dxa"/>
            <w:vAlign w:val="bottom"/>
            <w:gridSpan w:val="2"/>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98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by reference to Exhibit 10.11 to the Registrant’s Registration Statement on Form S-1 (File No. 333-232260) filed with the Securities and</w:t>
              </w:r>
            </w:hyperlink>
          </w:p>
        </w:tc>
        <w:tc>
          <w:tcPr>
            <w:tcW w:w="260" w:type="dxa"/>
            <w:vAlign w:val="bottom"/>
            <w:gridSpan w:val="7"/>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30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59">
              <w:r>
                <w:rPr>
                  <w:rFonts w:ascii="Times New Roman" w:cs="Times New Roman" w:eastAsia="Times New Roman" w:hAnsi="Times New Roman"/>
                  <w:sz w:val="18"/>
                  <w:szCs w:val="18"/>
                  <w:color w:val="0000FF"/>
                  <w:w w:val="99"/>
                </w:rPr>
                <w:t>Exchange Commission on June 21, 2019).</w:t>
              </w:r>
            </w:hyperlink>
          </w:p>
        </w:tc>
        <w:tc>
          <w:tcPr>
            <w:tcW w:w="20" w:type="dxa"/>
            <w:vAlign w:val="bottom"/>
            <w:tcBorders>
              <w:bottom w:val="single" w:sz="8" w:color="0000EE"/>
            </w:tcBorders>
          </w:tcPr>
          <w:p>
            <w:pPr>
              <w:spacing w:after="0"/>
              <w:rPr>
                <w:sz w:val="17"/>
                <w:szCs w:val="17"/>
                <w:color w:val="auto"/>
              </w:rPr>
            </w:pPr>
          </w:p>
        </w:tc>
        <w:tc>
          <w:tcPr>
            <w:tcW w:w="7060" w:type="dxa"/>
            <w:vAlign w:val="bottom"/>
            <w:gridSpan w:val="30"/>
          </w:tcPr>
          <w:p>
            <w:pPr>
              <w:spacing w:after="0"/>
              <w:rPr>
                <w:sz w:val="17"/>
                <w:szCs w:val="17"/>
                <w:color w:val="auto"/>
              </w:rPr>
            </w:pPr>
          </w:p>
        </w:tc>
      </w:tr>
      <w:tr>
        <w:trPr>
          <w:trHeight w:val="210"/>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10.30</w:t>
            </w:r>
          </w:p>
        </w:tc>
        <w:tc>
          <w:tcPr>
            <w:tcW w:w="100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Equity Distribution Agreement, dated May 9, 2022, by and between the Registrant and Piper Sandler &amp; Co. (incorporated by reference to</w:t>
              </w:r>
            </w:hyperlink>
          </w:p>
        </w:tc>
        <w:tc>
          <w:tcPr>
            <w:tcW w:w="140" w:type="dxa"/>
            <w:vAlign w:val="bottom"/>
            <w:gridSpan w:val="5"/>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94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Exhibit 1.1 to the Registrant's Current Report on Form 8-K filed with the Securities and Exchange Commission on May 10, 2022).</w:t>
              </w:r>
            </w:hyperlink>
          </w:p>
        </w:tc>
        <w:tc>
          <w:tcPr>
            <w:tcW w:w="680" w:type="dxa"/>
            <w:vAlign w:val="bottom"/>
            <w:gridSpan w:val="13"/>
          </w:tcPr>
          <w:p>
            <w:pPr>
              <w:spacing w:after="0"/>
              <w:rPr>
                <w:sz w:val="17"/>
                <w:szCs w:val="17"/>
                <w:color w:val="auto"/>
              </w:rPr>
            </w:pPr>
          </w:p>
        </w:tc>
      </w:tr>
      <w:tr>
        <w:trPr>
          <w:trHeight w:val="209"/>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101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Subsidiary of the Registrant.</w:t>
            </w:r>
          </w:p>
        </w:tc>
      </w:tr>
      <w:tr>
        <w:trPr>
          <w:trHeight w:val="20"/>
        </w:trPr>
        <w:tc>
          <w:tcPr>
            <w:tcW w:w="106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gridSpan w:val="3"/>
            <w:shd w:val="clear" w:color="auto" w:fill="0000FF"/>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8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5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Consent of Ernst &amp; Young LLP, independent registered public accounting firm.</w:t>
            </w:r>
          </w:p>
        </w:tc>
        <w:tc>
          <w:tcPr>
            <w:tcW w:w="20" w:type="dxa"/>
            <w:vAlign w:val="bottom"/>
            <w:tcBorders>
              <w:bottom w:val="single" w:sz="8" w:color="0000EE"/>
            </w:tcBorders>
          </w:tcPr>
          <w:p>
            <w:pPr>
              <w:spacing w:after="0"/>
              <w:rPr>
                <w:sz w:val="18"/>
                <w:szCs w:val="18"/>
                <w:color w:val="auto"/>
              </w:rPr>
            </w:pPr>
          </w:p>
        </w:tc>
        <w:tc>
          <w:tcPr>
            <w:tcW w:w="4400" w:type="dxa"/>
            <w:vAlign w:val="bottom"/>
            <w:gridSpan w:val="26"/>
          </w:tcPr>
          <w:p>
            <w:pPr>
              <w:spacing w:after="0"/>
              <w:rPr>
                <w:sz w:val="18"/>
                <w:szCs w:val="18"/>
                <w:color w:val="auto"/>
              </w:rPr>
            </w:pPr>
          </w:p>
        </w:tc>
      </w:tr>
      <w:tr>
        <w:trPr>
          <w:trHeight w:val="210"/>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80" w:type="dxa"/>
            <w:vAlign w:val="bottom"/>
            <w:gridSpan w:val="10"/>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50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20" w:type="dxa"/>
            <w:vAlign w:val="bottom"/>
            <w:gridSpan w:val="28"/>
          </w:tcPr>
          <w:p>
            <w:pPr>
              <w:spacing w:after="0"/>
              <w:rPr>
                <w:sz w:val="17"/>
                <w:szCs w:val="17"/>
                <w:color w:val="auto"/>
              </w:rPr>
            </w:pPr>
          </w:p>
        </w:tc>
      </w:tr>
      <w:tr>
        <w:trPr>
          <w:trHeight w:val="210"/>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20" w:type="dxa"/>
            <w:vAlign w:val="bottom"/>
            <w:gridSpan w:val="11"/>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50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20" w:type="dxa"/>
            <w:vAlign w:val="bottom"/>
            <w:gridSpan w:val="28"/>
          </w:tcPr>
          <w:p>
            <w:pPr>
              <w:spacing w:after="0"/>
              <w:rPr>
                <w:sz w:val="17"/>
                <w:szCs w:val="17"/>
                <w:color w:val="auto"/>
              </w:rPr>
            </w:pPr>
          </w:p>
        </w:tc>
      </w:tr>
      <w:tr>
        <w:trPr>
          <w:trHeight w:val="210"/>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FF"/>
            </w:tcBorders>
            <w:gridSpan w:val="3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40" w:type="dxa"/>
            <w:vAlign w:val="bottom"/>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00" w:type="dxa"/>
            <w:vAlign w:val="bottom"/>
            <w:gridSpan w:val="36"/>
          </w:tcPr>
          <w:p>
            <w:pPr>
              <w:spacing w:after="0"/>
              <w:rPr>
                <w:sz w:val="17"/>
                <w:szCs w:val="17"/>
                <w:color w:val="auto"/>
              </w:rPr>
            </w:pPr>
          </w:p>
        </w:tc>
      </w:tr>
      <w:tr>
        <w:trPr>
          <w:trHeight w:val="210"/>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04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00" w:type="dxa"/>
            <w:vAlign w:val="bottom"/>
            <w:gridSpan w:val="3"/>
          </w:tcPr>
          <w:p>
            <w:pPr>
              <w:spacing w:after="0"/>
              <w:rPr>
                <w:sz w:val="18"/>
                <w:szCs w:val="18"/>
                <w:color w:val="auto"/>
              </w:rPr>
            </w:pPr>
          </w:p>
        </w:tc>
      </w:tr>
      <w:tr>
        <w:trPr>
          <w:trHeight w:val="196"/>
        </w:trPr>
        <w:tc>
          <w:tcPr>
            <w:tcW w:w="106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00" w:type="dxa"/>
            <w:vAlign w:val="bottom"/>
            <w:gridSpan w:val="36"/>
          </w:tcPr>
          <w:p>
            <w:pPr>
              <w:spacing w:after="0"/>
              <w:rPr>
                <w:sz w:val="17"/>
                <w:szCs w:val="17"/>
                <w:color w:val="auto"/>
              </w:rPr>
            </w:pPr>
          </w:p>
        </w:tc>
      </w:tr>
      <w:tr>
        <w:trPr>
          <w:trHeight w:val="25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41"/>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9"/>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1080" w:hanging="1059"/>
        <w:spacing w:after="0"/>
        <w:tabs>
          <w:tab w:leader="none" w:pos="1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6"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95123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0" w:lineRule="exact"/>
        <w:rPr>
          <w:sz w:val="20"/>
          <w:szCs w:val="20"/>
          <w:color w:val="auto"/>
        </w:rPr>
      </w:pPr>
    </w:p>
    <w:p>
      <w:pPr>
        <w:ind w:left="520" w:right="60" w:hanging="512"/>
        <w:spacing w:after="0" w:line="266" w:lineRule="auto"/>
        <w:tabs>
          <w:tab w:leader="none" w:pos="1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 registrant has determined that they are both not material and is the type of information that the registrant treats as private or confidential.</w:t>
      </w: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78" w:right="1440" w:bottom="1440" w:gutter="0" w:footer="0" w:header="0"/>
        </w:sectPr>
      </w:pPr>
    </w:p>
    <w:bookmarkStart w:id="148" w:name="page149"/>
    <w:bookmarkEnd w:id="1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158" w:lineRule="exact"/>
        <w:rPr>
          <w:sz w:val="20"/>
          <w:szCs w:val="20"/>
          <w:color w:val="auto"/>
        </w:rPr>
      </w:pPr>
    </w:p>
    <w:p>
      <w:pPr>
        <w:ind w:left="20"/>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March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Robert J. Gould, Ph.D.</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p>
      <w:pPr>
        <w:spacing w:after="0" w:line="23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96" w:lineRule="exact"/>
        <w:rPr>
          <w:sz w:val="20"/>
          <w:szCs w:val="20"/>
          <w:color w:val="auto"/>
        </w:rPr>
      </w:pPr>
    </w:p>
    <w:p>
      <w:pPr>
        <w:ind w:left="2020"/>
        <w:spacing w:after="0"/>
        <w:tabs>
          <w:tab w:leader="none" w:pos="6820" w:val="left"/>
          <w:tab w:leader="none" w:pos="1024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p>
      <w:pPr>
        <w:spacing w:after="0" w:line="38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9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color w:val="auto"/>
        </w:rPr>
        <w:t>Robert J. Gould, Ph.D.</w:t>
      </w:r>
    </w:p>
    <w:p>
      <w:pPr>
        <w:spacing w:after="0" w:line="37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Esther Rajavelu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7">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color w:val="auto"/>
        </w:rPr>
        <w:t>Esther Rajavelu</w:t>
      </w:r>
    </w:p>
    <w:p>
      <w:pPr>
        <w:spacing w:after="0" w:line="16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Gregory Tourangeau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9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color w:val="auto"/>
        </w:rPr>
        <w:t>Gregory Tourangeau</w:t>
      </w:r>
    </w:p>
    <w:p>
      <w:pPr>
        <w:spacing w:after="0" w:line="37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Kate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9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color w:val="auto"/>
        </w:rPr>
        <w:t>Kate Haviland</w:t>
      </w:r>
    </w:p>
    <w:p>
      <w:pPr>
        <w:spacing w:after="0" w:line="37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Sonja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color w:val="auto"/>
        </w:rPr>
        <w:t>Sonja Banks</w:t>
      </w:r>
    </w:p>
    <w:p>
      <w:pPr>
        <w:spacing w:after="0" w:line="37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James J.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color w:val="auto"/>
        </w:rPr>
        <w:t>James J. Collins Ph.D.</w:t>
      </w:r>
    </w:p>
    <w:p>
      <w:pPr>
        <w:spacing w:after="0" w:line="37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color w:val="auto"/>
        </w:rPr>
        <w:t>Katina Dorton</w:t>
      </w:r>
    </w:p>
    <w:p>
      <w:pPr>
        <w:spacing w:after="0" w:line="37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Alan Ezekowitz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3">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Alan Ezekowitz, MBChB, D. Phil</w:t>
      </w:r>
    </w:p>
    <w:p>
      <w:pPr>
        <w:spacing w:after="0" w:line="37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James 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78574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4"/>
          <w:szCs w:val="14"/>
          <w:color w:val="auto"/>
        </w:rPr>
        <w:t>James Geraghty</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Interim President and Chief Executive Officer,</w:t>
      </w:r>
      <w:r>
        <w:rPr>
          <w:sz w:val="20"/>
          <w:szCs w:val="20"/>
          <w:color w:val="auto"/>
        </w:rPr>
        <w:tab/>
      </w:r>
      <w:r>
        <w:rPr>
          <w:rFonts w:ascii="Times New Roman" w:cs="Times New Roman" w:eastAsia="Times New Roman" w:hAnsi="Times New Roman"/>
          <w:sz w:val="18"/>
          <w:szCs w:val="18"/>
          <w:color w:val="auto"/>
        </w:rPr>
        <w:t>March 9, 2023</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(Principal Executive Officer)</w:t>
      </w:r>
    </w:p>
    <w:p>
      <w:pPr>
        <w:spacing w:after="0" w:line="200" w:lineRule="exact"/>
        <w:rPr>
          <w:sz w:val="20"/>
          <w:szCs w:val="20"/>
          <w:color w:val="auto"/>
        </w:rPr>
      </w:pPr>
    </w:p>
    <w:p>
      <w:pPr>
        <w:spacing w:after="0" w:line="201"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Chief Financial Officer (Principal Financial Officer)</w:t>
      </w:r>
      <w:r>
        <w:rPr>
          <w:sz w:val="20"/>
          <w:szCs w:val="20"/>
          <w:color w:val="auto"/>
        </w:rPr>
        <w:tab/>
      </w:r>
      <w:r>
        <w:rPr>
          <w:rFonts w:ascii="Times New Roman" w:cs="Times New Roman" w:eastAsia="Times New Roman" w:hAnsi="Times New Roman"/>
          <w:sz w:val="18"/>
          <w:szCs w:val="18"/>
          <w:color w:val="auto"/>
        </w:rPr>
        <w:t>March 9, 2023</w:t>
      </w:r>
    </w:p>
    <w:p>
      <w:pPr>
        <w:spacing w:after="0" w:line="374"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Controller (Principal Accounting Officer)</w:t>
      </w:r>
      <w:r>
        <w:rPr>
          <w:sz w:val="20"/>
          <w:szCs w:val="20"/>
          <w:color w:val="auto"/>
        </w:rPr>
        <w:tab/>
      </w: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Chairman of the Board</w:t>
      </w:r>
      <w:r>
        <w:rPr>
          <w:sz w:val="20"/>
          <w:szCs w:val="20"/>
          <w:color w:val="auto"/>
        </w:rPr>
        <w:tab/>
      </w: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376"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376"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376"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9, 2023</w:t>
      </w:r>
    </w:p>
    <w:p>
      <w:pPr>
        <w:spacing w:after="0" w:line="200" w:lineRule="exact"/>
        <w:rPr>
          <w:sz w:val="20"/>
          <w:szCs w:val="20"/>
          <w:color w:val="auto"/>
        </w:rPr>
      </w:pPr>
    </w:p>
    <w:p>
      <w:pPr>
        <w:spacing w:after="0" w:line="376"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638810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820" w:space="720"/>
            <w:col w:w="6660"/>
          </w:cols>
          <w:pgMar w:left="320" w:top="333" w:right="379" w:bottom="1440" w:gutter="0" w:footer="0" w:header="0"/>
          <w:type w:val="continuous"/>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FULCRUM THERAPEUTICS,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2022 INDUCEMENT STOCK INCENTIVE PLAN</w:t>
      </w:r>
    </w:p>
    <w:p>
      <w:pPr>
        <w:spacing w:after="0" w:line="398" w:lineRule="exact"/>
        <w:rPr>
          <w:sz w:val="20"/>
          <w:szCs w:val="20"/>
          <w:color w:val="auto"/>
        </w:rPr>
      </w:pPr>
    </w:p>
    <w:p>
      <w:pPr>
        <w:ind w:right="380"/>
        <w:spacing w:after="0" w:line="241" w:lineRule="auto"/>
        <w:rPr>
          <w:sz w:val="20"/>
          <w:szCs w:val="20"/>
          <w:color w:val="auto"/>
        </w:rPr>
      </w:pPr>
      <w:r>
        <w:rPr>
          <w:rFonts w:ascii="Times New Roman" w:cs="Times New Roman" w:eastAsia="Times New Roman" w:hAnsi="Times New Roman"/>
          <w:sz w:val="22"/>
          <w:szCs w:val="22"/>
          <w:color w:val="auto"/>
        </w:rPr>
        <w:t>A.The Fulcrum Therapeutics, Inc. 2022 Inducement Stock Incentive Plan (the “Plan”) is hereby amended by deleting the first sentence of Section 4(a) and substituting therefore the following:</w:t>
      </w:r>
    </w:p>
    <w:p>
      <w:pPr>
        <w:spacing w:after="0" w:line="2" w:lineRule="exact"/>
        <w:rPr>
          <w:sz w:val="20"/>
          <w:szCs w:val="20"/>
          <w:color w:val="auto"/>
        </w:rPr>
      </w:pPr>
    </w:p>
    <w:p>
      <w:pPr>
        <w:ind w:left="760" w:right="1300"/>
        <w:spacing w:after="0" w:line="237" w:lineRule="auto"/>
        <w:rPr>
          <w:sz w:val="20"/>
          <w:szCs w:val="20"/>
          <w:color w:val="auto"/>
        </w:rPr>
      </w:pPr>
      <w:r>
        <w:rPr>
          <w:rFonts w:ascii="Times New Roman" w:cs="Times New Roman" w:eastAsia="Times New Roman" w:hAnsi="Times New Roman"/>
          <w:sz w:val="22"/>
          <w:szCs w:val="22"/>
          <w:color w:val="auto"/>
        </w:rPr>
        <w:t>“Subject to adjustment under Section 9, Awards may be made under the Plan for up to 3,750,000 shares of common stock, $0.001 par value per share, of the Company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B.The effective date of this First Amendment shall be March 8, 2023.</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C.Except as amended herein, the Plan is confirmed in all other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ind w:left="10180"/>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Effective February 3, 2023</w:t>
      </w:r>
    </w:p>
    <w:p>
      <w:pPr>
        <w:spacing w:after="0" w:line="225"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The Company’s non-employee directors shall receive the following compensation for their service as members of the Board of Directors (the “Board”) of the Company.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Our goal is to provide compensation for our non-employee directors in a manner that enables us to attract and retain outstanding director candidates and reflects the substantial time commitment necessary to oversee the Company’s affairs. We also seek to align the interests of our directors and our stockholders and we have chosen to do so by compensating our non-employee directors with a mix of cash and equity-based compensation.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229"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fees that will be paid to our non-employee directors for service on the Board, and for service on each committee of the Board on which the director is then a member, and the fees that will be paid to the chairperson of the Board, if one is then appointed, and the chairperson of each committee of the Board will be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1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Member Annual Fee</w:t>
            </w:r>
          </w:p>
        </w:tc>
        <w:tc>
          <w:tcPr>
            <w:tcW w:w="25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Chairman Incremental Annual Fee</w:t>
            </w:r>
          </w:p>
        </w:tc>
      </w:tr>
      <w:tr>
        <w:trPr>
          <w:trHeight w:val="50"/>
        </w:trPr>
        <w:tc>
          <w:tcPr>
            <w:tcW w:w="50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40,000</w:t>
            </w:r>
          </w:p>
        </w:tc>
        <w:tc>
          <w:tcPr>
            <w:tcW w:w="1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1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7,500</w:t>
            </w:r>
          </w:p>
        </w:tc>
        <w:tc>
          <w:tcPr>
            <w:tcW w:w="1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1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5,000</w:t>
            </w:r>
          </w:p>
        </w:tc>
        <w:tc>
          <w:tcPr>
            <w:tcW w:w="1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4,000</w:t>
            </w:r>
          </w:p>
        </w:tc>
        <w:tc>
          <w:tcPr>
            <w:tcW w:w="1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and Technology Committee</w:t>
            </w:r>
          </w:p>
        </w:tc>
        <w:tc>
          <w:tcPr>
            <w:tcW w:w="1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5,000</w:t>
            </w:r>
          </w:p>
        </w:tc>
        <w:tc>
          <w:tcPr>
            <w:tcW w:w="1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200" w:lineRule="exact"/>
        <w:rPr>
          <w:sz w:val="20"/>
          <w:szCs w:val="20"/>
          <w:color w:val="auto"/>
        </w:rPr>
      </w:pPr>
    </w:p>
    <w:p>
      <w:pPr>
        <w:spacing w:after="0" w:line="241"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foregoing fees will be payable in arrears in four equal quarterly installments on the last day of each quarter, provided that the amount of such payment will be prorated for any portion of such quarter that the director is not serving on the Board, on such committee or in such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u w:val="single" w:color="auto"/>
          <w:color w:val="auto"/>
        </w:rPr>
        <w:t>Initial Grants</w:t>
      </w:r>
      <w:r>
        <w:rPr>
          <w:rFonts w:ascii="Times New Roman" w:cs="Times New Roman" w:eastAsia="Times New Roman" w:hAnsi="Times New Roman"/>
          <w:sz w:val="18"/>
          <w:szCs w:val="18"/>
          <w:color w:val="auto"/>
        </w:rPr>
        <w:t xml:space="preserve"> . Upon initial election to the Board, each non-employee director will be granted, automatically and without the need for any further action by the Board, an initial equity award of an option to purchase 60,000 shares of our common stock. The initial award shall have a term of ten years from the date of the award, and shall vest and become exercisable as to 1/36 of the shares underlying such award at the end of each successive one-month period following the grant date until the third anniversary of the grant date, subject to the director’s continued service to the Company through each applicable vesting date. The vesting shall accelerate as to 100% of the shares upon a change in control of the Company. The exercise price shall be the closing price of our common stock on the date of grant.</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u w:val="single" w:color="auto"/>
          <w:color w:val="auto"/>
        </w:rPr>
        <w:t>Annual Grants</w:t>
      </w:r>
      <w:r>
        <w:rPr>
          <w:rFonts w:ascii="Times New Roman" w:cs="Times New Roman" w:eastAsia="Times New Roman" w:hAnsi="Times New Roman"/>
          <w:sz w:val="18"/>
          <w:szCs w:val="18"/>
          <w:color w:val="auto"/>
        </w:rPr>
        <w:t xml:space="preserve"> . Each non-employee director who has served as a member of the Board for at least six months prior to the date of our annual meeting of stockholders for a particular year will be granted, automatically and without the need for any further action by the Board, an equity award on the date of the first Board meeting held after our annual meeting of stockholders for such year of an option to purchase 30,000 shares of our common stock. The annual award shall have a term of ten years from the date of the award, and shall vest and become exercisable in full on the one-year anniversary of the grant date (or, if earlier, immediately prior to the first annual meeting of stockholders occurring after the grant date), subject to the director’s continued service to the Company through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1" w:name="page152"/>
    <w:bookmarkEnd w:id="151"/>
    <w:p>
      <w:pPr>
        <w:ind w:right="220"/>
        <w:spacing w:after="0" w:line="282" w:lineRule="auto"/>
        <w:rPr>
          <w:sz w:val="20"/>
          <w:szCs w:val="20"/>
          <w:color w:val="auto"/>
        </w:rPr>
      </w:pPr>
      <w:r>
        <w:rPr>
          <w:rFonts w:ascii="Times New Roman" w:cs="Times New Roman" w:eastAsia="Times New Roman" w:hAnsi="Times New Roman"/>
          <w:sz w:val="18"/>
          <w:szCs w:val="18"/>
          <w:color w:val="auto"/>
        </w:rPr>
        <w:t>applicable vesting date. The vesting shall accelerate as to 100% of the shares upon a change in control of the Company. The exercise price shall be the closing price of our common stock on the date of grant.</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foregoing share amounts shall be automatically adjusted in the event of any stock split, reverse stock split, stock dividend, recapitalization, combination of shares, reclassification of shares, spin-off or other similar change in capitalization or event effecting our common stock, or any distribution to holders of our common stock other than an ordinary cash dividend.</w:t>
      </w:r>
    </w:p>
    <w:p>
      <w:pPr>
        <w:spacing w:after="0" w:line="176"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initial awards and the annual awards shall be subject to the terms and conditions of our 2019 Stock Incentive Plan, or any successor plan, and the terms of the option agreements entered into with each director in connection with such awards.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Upon presentation of documentation of such expenses reasonably satisfactory to the Company, each non-employee director shall be reimbursed for his or her reasonable out-of-pocket business expenses incurred in connection with attending meetings of the Board and committees thereof or in connection with other business related to the Board, and each non-employee director shall also be reimbursed for his or her reasonable out-of-pocket business expenses authorized by the Board or a committee of the Board that are incurred in connection with attendance at various conferences or meetings with management of the Company, in accordance with the Company’s travel policy, as it may be in effect from time to time.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January 3, 2023 Robert</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J. Gould Dear Robert:</w:t>
      </w:r>
    </w:p>
    <w:p>
      <w:pPr>
        <w:ind w:left="100"/>
        <w:spacing w:after="0" w:line="230" w:lineRule="auto"/>
        <w:rPr>
          <w:sz w:val="20"/>
          <w:szCs w:val="20"/>
          <w:color w:val="auto"/>
        </w:rPr>
      </w:pPr>
      <w:r>
        <w:rPr>
          <w:rFonts w:ascii="Times New Roman" w:cs="Times New Roman" w:eastAsia="Times New Roman" w:hAnsi="Times New Roman"/>
          <w:sz w:val="22"/>
          <w:szCs w:val="22"/>
          <w:color w:val="auto"/>
        </w:rPr>
        <w:t>Fulcrum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 pleased to extend you a consulting role as Interim Chief</w:t>
      </w:r>
    </w:p>
    <w:p>
      <w:pPr>
        <w:spacing w:after="0" w:line="1" w:lineRule="exact"/>
        <w:rPr>
          <w:sz w:val="20"/>
          <w:szCs w:val="20"/>
          <w:color w:val="auto"/>
        </w:rPr>
      </w:pPr>
    </w:p>
    <w:p>
      <w:pPr>
        <w:ind w:left="100" w:right="780"/>
        <w:spacing w:after="0" w:line="237" w:lineRule="auto"/>
        <w:rPr>
          <w:sz w:val="20"/>
          <w:szCs w:val="20"/>
          <w:color w:val="auto"/>
        </w:rPr>
      </w:pPr>
      <w:r>
        <w:rPr>
          <w:rFonts w:ascii="Times New Roman" w:cs="Times New Roman" w:eastAsia="Times New Roman" w:hAnsi="Times New Roman"/>
          <w:sz w:val="22"/>
          <w:szCs w:val="22"/>
          <w:color w:val="auto"/>
        </w:rPr>
        <w:t>Executive Officer of the Company (“</w:t>
      </w:r>
      <w:r>
        <w:rPr>
          <w:rFonts w:ascii="Times New Roman" w:cs="Times New Roman" w:eastAsia="Times New Roman" w:hAnsi="Times New Roman"/>
          <w:sz w:val="22"/>
          <w:szCs w:val="22"/>
          <w:u w:val="single" w:color="auto"/>
          <w:color w:val="auto"/>
        </w:rPr>
        <w:t>Interim CEO</w:t>
      </w:r>
      <w:r>
        <w:rPr>
          <w:rFonts w:ascii="Times New Roman" w:cs="Times New Roman" w:eastAsia="Times New Roman" w:hAnsi="Times New Roman"/>
          <w:sz w:val="22"/>
          <w:szCs w:val="22"/>
          <w:color w:val="auto"/>
        </w:rPr>
        <w:t>”), reporting to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effective January 3,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terms are as follows:</w:t>
      </w:r>
    </w:p>
    <w:p>
      <w:pPr>
        <w:spacing w:after="0" w:line="215" w:lineRule="exact"/>
        <w:rPr>
          <w:sz w:val="20"/>
          <w:szCs w:val="20"/>
          <w:color w:val="auto"/>
        </w:rPr>
      </w:pPr>
    </w:p>
    <w:p>
      <w:pPr>
        <w:jc w:val="both"/>
        <w:ind w:left="100" w:right="240" w:hanging="7"/>
        <w:spacing w:after="0" w:line="241" w:lineRule="auto"/>
        <w:tabs>
          <w:tab w:leader="none" w:pos="841"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Term. </w:t>
      </w:r>
      <w:r>
        <w:rPr>
          <w:rFonts w:ascii="Times New Roman" w:cs="Times New Roman" w:eastAsia="Times New Roman" w:hAnsi="Times New Roman"/>
          <w:sz w:val="22"/>
          <w:szCs w:val="22"/>
          <w:color w:val="auto"/>
        </w:rPr>
        <w:t>It is anticipated that your consulting services will continue until the date that a new Chief Executive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New CEO</w:t>
      </w:r>
      <w:r>
        <w:rPr>
          <w:rFonts w:ascii="Times New Roman" w:cs="Times New Roman" w:eastAsia="Times New Roman" w:hAnsi="Times New Roman"/>
          <w:sz w:val="22"/>
          <w:szCs w:val="22"/>
          <w:color w:val="auto"/>
        </w:rPr>
        <w:t>”) commences employment with the Company (“</w:t>
      </w:r>
      <w:r>
        <w:rPr>
          <w:rFonts w:ascii="Times New Roman" w:cs="Times New Roman" w:eastAsia="Times New Roman" w:hAnsi="Times New Roman"/>
          <w:sz w:val="22"/>
          <w:szCs w:val="22"/>
          <w:u w:val="single" w:color="auto"/>
          <w:color w:val="auto"/>
        </w:rPr>
        <w:t>New CEO Commencement Date</w:t>
      </w:r>
      <w:r>
        <w:rPr>
          <w:rFonts w:ascii="Times New Roman" w:cs="Times New Roman" w:eastAsia="Times New Roman" w:hAnsi="Times New Roman"/>
          <w:sz w:val="22"/>
          <w:szCs w:val="22"/>
          <w:color w:val="auto"/>
        </w:rPr>
        <w:t>”), unless your consulting role is sooner terminated by you or the Board. The time period between the Effective Date and the last date as a consultant for the Company (the “</w:t>
      </w:r>
      <w:r>
        <w:rPr>
          <w:rFonts w:ascii="Times New Roman" w:cs="Times New Roman" w:eastAsia="Times New Roman" w:hAnsi="Times New Roman"/>
          <w:sz w:val="22"/>
          <w:szCs w:val="22"/>
          <w:u w:val="single" w:color="auto"/>
          <w:color w:val="auto"/>
        </w:rPr>
        <w:t>Date of Consulting Services Termination</w:t>
      </w:r>
      <w:r>
        <w:rPr>
          <w:rFonts w:ascii="Times New Roman" w:cs="Times New Roman" w:eastAsia="Times New Roman" w:hAnsi="Times New Roman"/>
          <w:sz w:val="22"/>
          <w:szCs w:val="22"/>
          <w:color w:val="auto"/>
        </w:rPr>
        <w:t>”) shall be referred to herein as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w:t>
      </w:r>
    </w:p>
    <w:p>
      <w:pPr>
        <w:spacing w:after="0" w:line="198" w:lineRule="exact"/>
        <w:rPr>
          <w:rFonts w:ascii="Times New Roman" w:cs="Times New Roman" w:eastAsia="Times New Roman" w:hAnsi="Times New Roman"/>
          <w:sz w:val="22"/>
          <w:szCs w:val="22"/>
          <w:b w:val="1"/>
          <w:bCs w:val="1"/>
          <w:color w:val="auto"/>
        </w:rPr>
      </w:pPr>
    </w:p>
    <w:p>
      <w:pPr>
        <w:ind w:left="100" w:right="160" w:hanging="7"/>
        <w:spacing w:after="0" w:line="246" w:lineRule="auto"/>
        <w:tabs>
          <w:tab w:leader="none" w:pos="841"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Position</w:t>
      </w:r>
      <w:r>
        <w:rPr>
          <w:rFonts w:ascii="Times New Roman" w:cs="Times New Roman" w:eastAsia="Times New Roman" w:hAnsi="Times New Roman"/>
          <w:sz w:val="21"/>
          <w:szCs w:val="21"/>
          <w:color w:val="auto"/>
        </w:rPr>
        <w:t>. As the Interim CEO, you shall have such powers and duties as may from time to time be prescribed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Board. At all times during the Term, you shall devote your full working time and efforts to the business and affairs of the Company. In addition, you shall continue to serve as member of the Board during the Term. Notwithstanding the foregoing, you may serve on other boards of directors and engage in other business activities, with the prior written approval of the Board (the “</w:t>
      </w:r>
      <w:r>
        <w:rPr>
          <w:rFonts w:ascii="Times New Roman" w:cs="Times New Roman" w:eastAsia="Times New Roman" w:hAnsi="Times New Roman"/>
          <w:sz w:val="21"/>
          <w:szCs w:val="21"/>
          <w:u w:val="single" w:color="auto"/>
          <w:color w:val="auto"/>
        </w:rPr>
        <w:t>Outside Activities</w:t>
      </w:r>
      <w:r>
        <w:rPr>
          <w:rFonts w:ascii="Times New Roman" w:cs="Times New Roman" w:eastAsia="Times New Roman" w:hAnsi="Times New Roman"/>
          <w:sz w:val="21"/>
          <w:szCs w:val="21"/>
          <w:color w:val="auto"/>
        </w:rPr>
        <w:t>”) provided that such Outside Activities do not create a conflict of interest. The Company acknowledges and consents to the boards of directors roles that the Interim CEO is serving on as of the Effective Date. Interim</w:t>
      </w:r>
    </w:p>
    <w:p>
      <w:pPr>
        <w:spacing w:after="0" w:line="1" w:lineRule="exact"/>
        <w:rPr>
          <w:sz w:val="20"/>
          <w:szCs w:val="20"/>
          <w:color w:val="auto"/>
        </w:rPr>
      </w:pPr>
    </w:p>
    <w:p>
      <w:pPr>
        <w:ind w:left="100" w:right="260"/>
        <w:spacing w:after="0" w:line="235" w:lineRule="auto"/>
        <w:rPr>
          <w:sz w:val="20"/>
          <w:szCs w:val="20"/>
          <w:color w:val="auto"/>
        </w:rPr>
      </w:pPr>
      <w:r>
        <w:rPr>
          <w:rFonts w:ascii="Times New Roman" w:cs="Times New Roman" w:eastAsia="Times New Roman" w:hAnsi="Times New Roman"/>
          <w:sz w:val="22"/>
          <w:szCs w:val="22"/>
          <w:color w:val="auto"/>
        </w:rPr>
        <w:t>CEO shall seek written approval of the Board for any additional Boards of Directors roles. You also may engage in religious, charitable or other community activities as long as such services only require a modest time commitment during the Term and such activities do not interfere with the performance of your duties to the Company.</w:t>
      </w:r>
    </w:p>
    <w:p>
      <w:pPr>
        <w:spacing w:after="0" w:line="214" w:lineRule="exact"/>
        <w:rPr>
          <w:sz w:val="20"/>
          <w:szCs w:val="20"/>
          <w:color w:val="auto"/>
        </w:rPr>
      </w:pPr>
    </w:p>
    <w:p>
      <w:pPr>
        <w:ind w:left="840" w:hanging="747"/>
        <w:spacing w:after="0"/>
        <w:tabs>
          <w:tab w:leader="none" w:pos="8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During the Term, the Company will pay you an annual base salary at the rate of</w:t>
      </w:r>
    </w:p>
    <w:p>
      <w:pPr>
        <w:spacing w:after="0" w:line="18" w:lineRule="exact"/>
        <w:rPr>
          <w:sz w:val="20"/>
          <w:szCs w:val="20"/>
          <w:color w:val="auto"/>
        </w:rPr>
      </w:pPr>
    </w:p>
    <w:p>
      <w:pPr>
        <w:jc w:val="both"/>
        <w:ind w:left="100" w:right="340"/>
        <w:spacing w:after="0" w:line="235" w:lineRule="auto"/>
        <w:rPr>
          <w:sz w:val="20"/>
          <w:szCs w:val="20"/>
          <w:color w:val="auto"/>
        </w:rPr>
      </w:pPr>
      <w:r>
        <w:rPr>
          <w:rFonts w:ascii="Times New Roman" w:cs="Times New Roman" w:eastAsia="Times New Roman" w:hAnsi="Times New Roman"/>
          <w:sz w:val="22"/>
          <w:szCs w:val="22"/>
          <w:color w:val="auto"/>
        </w:rPr>
        <w:t>$600,000 per year, payable at the monthly rate of $50,000 in accordance with the Company’s standard payroll schedule and subject to applicable deductions and withholdings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Base Salary shall be payable in a manner that is consistent with the Company’s usual payroll practices.</w:t>
      </w:r>
    </w:p>
    <w:p>
      <w:pPr>
        <w:spacing w:after="0" w:line="201" w:lineRule="exact"/>
        <w:rPr>
          <w:sz w:val="20"/>
          <w:szCs w:val="20"/>
          <w:color w:val="auto"/>
        </w:rPr>
      </w:pPr>
    </w:p>
    <w:p>
      <w:pPr>
        <w:ind w:left="100" w:right="660" w:hanging="7"/>
        <w:spacing w:after="0" w:line="263" w:lineRule="auto"/>
        <w:tabs>
          <w:tab w:leader="none" w:pos="814"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Existing Equity Awards</w:t>
      </w:r>
      <w:r>
        <w:rPr>
          <w:rFonts w:ascii="Times New Roman" w:cs="Times New Roman" w:eastAsia="Times New Roman" w:hAnsi="Times New Roman"/>
          <w:sz w:val="21"/>
          <w:szCs w:val="21"/>
          <w:color w:val="auto"/>
        </w:rPr>
        <w:t>. During the Term, you will continue to vest in your existing equity awards,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terms of the applicable equity award agreements and equity incentive plan(s). There will be no break in services from your status as a director and the commencement of your consulting role as Interim CEO pursuant to this Agreement.</w:t>
      </w:r>
    </w:p>
    <w:p>
      <w:pPr>
        <w:spacing w:after="0" w:line="191" w:lineRule="exact"/>
        <w:rPr>
          <w:rFonts w:ascii="Times New Roman" w:cs="Times New Roman" w:eastAsia="Times New Roman" w:hAnsi="Times New Roman"/>
          <w:sz w:val="21"/>
          <w:szCs w:val="21"/>
          <w:b w:val="1"/>
          <w:bCs w:val="1"/>
          <w:color w:val="auto"/>
        </w:rPr>
      </w:pPr>
    </w:p>
    <w:p>
      <w:pPr>
        <w:jc w:val="both"/>
        <w:ind w:left="100" w:right="520" w:hanging="7"/>
        <w:spacing w:after="0" w:line="246" w:lineRule="auto"/>
        <w:tabs>
          <w:tab w:leader="none" w:pos="814"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Expenses</w:t>
      </w:r>
      <w:r>
        <w:rPr>
          <w:rFonts w:ascii="Times New Roman" w:cs="Times New Roman" w:eastAsia="Times New Roman" w:hAnsi="Times New Roman"/>
          <w:sz w:val="22"/>
          <w:szCs w:val="22"/>
          <w:color w:val="auto"/>
        </w:rPr>
        <w:t>. You will be entitled to receive prompt reimbursement for all reasonable expenses that you incur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 in performing services hereunder, in accordance with the policies and procedures then in effect and established by the Company.</w:t>
      </w:r>
    </w:p>
    <w:p>
      <w:pPr>
        <w:spacing w:after="0" w:line="194" w:lineRule="exact"/>
        <w:rPr>
          <w:rFonts w:ascii="Times New Roman" w:cs="Times New Roman" w:eastAsia="Times New Roman" w:hAnsi="Times New Roman"/>
          <w:sz w:val="22"/>
          <w:szCs w:val="22"/>
          <w:b w:val="1"/>
          <w:bCs w:val="1"/>
          <w:color w:val="auto"/>
        </w:rPr>
      </w:pPr>
    </w:p>
    <w:p>
      <w:pPr>
        <w:ind w:left="100" w:right="840" w:hanging="7"/>
        <w:spacing w:after="0" w:line="243" w:lineRule="auto"/>
        <w:tabs>
          <w:tab w:leader="none" w:pos="814"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Accrued Obligations</w:t>
      </w:r>
      <w:r>
        <w:rPr>
          <w:rFonts w:ascii="Times New Roman" w:cs="Times New Roman" w:eastAsia="Times New Roman" w:hAnsi="Times New Roman"/>
          <w:sz w:val="22"/>
          <w:szCs w:val="22"/>
          <w:color w:val="auto"/>
        </w:rPr>
        <w:t>. In the event of the ending of your consulting role for any reason, the Company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 you (i) any Base Salary earned through the Date of Consulting Services</w:t>
      </w:r>
    </w:p>
    <w:p>
      <w:pPr>
        <w:spacing w:after="0" w:line="1" w:lineRule="exact"/>
        <w:rPr>
          <w:rFonts w:ascii="Times New Roman" w:cs="Times New Roman" w:eastAsia="Times New Roman" w:hAnsi="Times New Roman"/>
          <w:sz w:val="22"/>
          <w:szCs w:val="22"/>
          <w:b w:val="1"/>
          <w:bCs w:val="1"/>
          <w:color w:val="auto"/>
        </w:rPr>
      </w:pPr>
    </w:p>
    <w:p>
      <w:pPr>
        <w:ind w:left="1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Termination and (ii) any unpaid expense reimbursements on or before the time required by law but in no</w:t>
      </w:r>
    </w:p>
    <w:p>
      <w:pPr>
        <w:spacing w:after="0" w:line="200" w:lineRule="exact"/>
        <w:rPr>
          <w:sz w:val="20"/>
          <w:szCs w:val="20"/>
          <w:color w:val="auto"/>
        </w:rPr>
      </w:pP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ACTIVE/120625975.1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0" w:right="339" w:bottom="1440" w:gutter="0" w:footer="0" w:header="0"/>
        </w:sectPr>
      </w:pPr>
    </w:p>
    <w:bookmarkStart w:id="153" w:name="page154"/>
    <w:bookmarkEnd w:id="153"/>
    <w:p>
      <w:pPr>
        <w:ind w:left="100" w:right="140"/>
        <w:spacing w:after="0" w:line="244" w:lineRule="auto"/>
        <w:rPr>
          <w:sz w:val="20"/>
          <w:szCs w:val="20"/>
          <w:color w:val="auto"/>
        </w:rPr>
      </w:pPr>
      <w:r>
        <w:rPr>
          <w:rFonts w:ascii="Times New Roman" w:cs="Times New Roman" w:eastAsia="Times New Roman" w:hAnsi="Times New Roman"/>
          <w:sz w:val="22"/>
          <w:szCs w:val="22"/>
          <w:color w:val="auto"/>
        </w:rPr>
        <w:t>event more than 30 days after the Date of Consulting Services Termination (together,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Other than the Accrued Obligations, you will not be entitled to any compensation from the Company in connection with the ending of your consulting services.</w:t>
      </w:r>
    </w:p>
    <w:p>
      <w:pPr>
        <w:spacing w:after="0" w:line="210" w:lineRule="exact"/>
        <w:rPr>
          <w:sz w:val="20"/>
          <w:szCs w:val="20"/>
          <w:color w:val="auto"/>
        </w:rPr>
      </w:pPr>
    </w:p>
    <w:p>
      <w:pPr>
        <w:jc w:val="both"/>
        <w:ind w:left="100" w:right="240" w:firstLine="741"/>
        <w:spacing w:after="0" w:line="246" w:lineRule="auto"/>
        <w:tabs>
          <w:tab w:leader="none" w:pos="1569"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Confidentiality and Assignment Agreement</w:t>
      </w:r>
      <w:r>
        <w:rPr>
          <w:rFonts w:ascii="Times New Roman" w:cs="Times New Roman" w:eastAsia="Times New Roman" w:hAnsi="Times New Roman"/>
          <w:sz w:val="22"/>
          <w:szCs w:val="22"/>
          <w:color w:val="auto"/>
        </w:rPr>
        <w:t>. As a condition of your consulting role, you agree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existing Confidentiality and Assignment Agreement enclosed with this Agreement (the “</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remains in effect.</w:t>
      </w:r>
    </w:p>
    <w:p>
      <w:pPr>
        <w:spacing w:after="0" w:line="207" w:lineRule="exact"/>
        <w:rPr>
          <w:rFonts w:ascii="Times New Roman" w:cs="Times New Roman" w:eastAsia="Times New Roman" w:hAnsi="Times New Roman"/>
          <w:sz w:val="22"/>
          <w:szCs w:val="22"/>
          <w:b w:val="1"/>
          <w:bCs w:val="1"/>
          <w:color w:val="auto"/>
        </w:rPr>
      </w:pPr>
    </w:p>
    <w:p>
      <w:pPr>
        <w:ind w:left="100" w:right="320" w:firstLine="741"/>
        <w:spacing w:after="0" w:line="262" w:lineRule="auto"/>
        <w:tabs>
          <w:tab w:leader="none" w:pos="1583"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Withholding</w:t>
      </w:r>
      <w:r>
        <w:rPr>
          <w:rFonts w:ascii="Times New Roman" w:cs="Times New Roman" w:eastAsia="Times New Roman" w:hAnsi="Times New Roman"/>
          <w:sz w:val="22"/>
          <w:szCs w:val="22"/>
          <w:color w:val="auto"/>
        </w:rPr>
        <w:t>. All payments made by the Company to you under this Agreement shall be net of any tax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amounts required to be withheld by the Company under applicable law.</w:t>
      </w:r>
    </w:p>
    <w:p>
      <w:pPr>
        <w:spacing w:after="0" w:line="176" w:lineRule="exact"/>
        <w:rPr>
          <w:rFonts w:ascii="Times New Roman" w:cs="Times New Roman" w:eastAsia="Times New Roman" w:hAnsi="Times New Roman"/>
          <w:sz w:val="22"/>
          <w:szCs w:val="22"/>
          <w:b w:val="1"/>
          <w:bCs w:val="1"/>
          <w:color w:val="auto"/>
        </w:rPr>
      </w:pPr>
    </w:p>
    <w:p>
      <w:pPr>
        <w:ind w:left="100" w:right="260" w:firstLine="734"/>
        <w:spacing w:after="0" w:line="241" w:lineRule="auto"/>
        <w:tabs>
          <w:tab w:leader="none" w:pos="1583"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This Agreement, together with the Restrictive Covenants Agreement, constitutes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complete agreement between you and the Company, contains all of the terms of your consulting role with the Company and supersedes any prior agreements, representations or understandings (whether written, oral or implied) between you and the Company related to the terms and conditions of your consulting role as Interim CEO.</w:t>
      </w:r>
    </w:p>
    <w:p>
      <w:pPr>
        <w:spacing w:after="0" w:line="212" w:lineRule="exact"/>
        <w:rPr>
          <w:rFonts w:ascii="Times New Roman" w:cs="Times New Roman" w:eastAsia="Times New Roman" w:hAnsi="Times New Roman"/>
          <w:sz w:val="22"/>
          <w:szCs w:val="22"/>
          <w:b w:val="1"/>
          <w:bCs w:val="1"/>
          <w:color w:val="auto"/>
        </w:rPr>
      </w:pPr>
    </w:p>
    <w:p>
      <w:pPr>
        <w:ind w:left="100" w:firstLine="734"/>
        <w:spacing w:after="0" w:line="237" w:lineRule="auto"/>
        <w:tabs>
          <w:tab w:leader="none" w:pos="1583"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Assignment</w:t>
      </w:r>
      <w:r>
        <w:rPr>
          <w:rFonts w:ascii="Times New Roman" w:cs="Times New Roman" w:eastAsia="Times New Roman" w:hAnsi="Times New Roman"/>
          <w:sz w:val="22"/>
          <w:szCs w:val="22"/>
          <w:color w:val="auto"/>
        </w:rPr>
        <w:t>. Neither you nor the Company may make any assignment of this Agreement or any interest in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by operation of law or otherwise, without the prior written consent of the other;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may assign its rights and obligations under this Agreement without your consent to any affiliate or to any person or entity with whom the Company shall hereafter effect a reorganization, consolidate with, or merge into or to whom it transfers all or substantially all of its properties or assets. This Agreement shall inure to the benefit of and be binding upon you and the Company, and each of your and its respective successors, executors, administrators, heirs and permitted assigns.</w:t>
      </w:r>
    </w:p>
    <w:p>
      <w:pPr>
        <w:spacing w:after="0" w:line="215" w:lineRule="exact"/>
        <w:rPr>
          <w:rFonts w:ascii="Times New Roman" w:cs="Times New Roman" w:eastAsia="Times New Roman" w:hAnsi="Times New Roman"/>
          <w:sz w:val="22"/>
          <w:szCs w:val="22"/>
          <w:b w:val="1"/>
          <w:bCs w:val="1"/>
          <w:color w:val="auto"/>
        </w:rPr>
      </w:pPr>
    </w:p>
    <w:p>
      <w:pPr>
        <w:ind w:left="100" w:right="400" w:firstLine="734"/>
        <w:spacing w:after="0" w:line="246" w:lineRule="auto"/>
        <w:tabs>
          <w:tab w:leader="none" w:pos="1583"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Terms</w:t>
      </w:r>
      <w:r>
        <w:rPr>
          <w:rFonts w:ascii="Times New Roman" w:cs="Times New Roman" w:eastAsia="Times New Roman" w:hAnsi="Times New Roman"/>
          <w:sz w:val="22"/>
          <w:szCs w:val="22"/>
          <w:color w:val="auto"/>
        </w:rPr>
        <w:t>. This Agreement may be executed in any number of counterparts, each of which when 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and delivered shall be taken to be an original; but such counterparts shall together constitute one and the same document.</w:t>
      </w:r>
    </w:p>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ACTIVE/120625975.1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423" w:right="519" w:bottom="1440" w:gutter="0" w:footer="0" w:header="0"/>
        </w:sectPr>
      </w:pPr>
    </w:p>
    <w:bookmarkStart w:id="154" w:name="page155"/>
    <w:bookmarkEnd w:id="154"/>
    <w:p>
      <w:pPr>
        <w:ind w:left="120" w:firstLine="749"/>
        <w:spacing w:after="0" w:line="244" w:lineRule="auto"/>
        <w:rPr>
          <w:sz w:val="20"/>
          <w:szCs w:val="20"/>
          <w:color w:val="auto"/>
        </w:rPr>
      </w:pPr>
      <w:r>
        <w:rPr>
          <w:rFonts w:ascii="Times New Roman" w:cs="Times New Roman" w:eastAsia="Times New Roman" w:hAnsi="Times New Roman"/>
          <w:sz w:val="22"/>
          <w:szCs w:val="22"/>
          <w:color w:val="auto"/>
        </w:rPr>
        <w:t>Thank you for your willingness to serve as the Interim CEO. You may indicate your agreement with these terms by signing and dating this Agreement, together with the signed Restrictive Covenants Agreement, and returning them both to me. If you have any questions, please do not hesitate to contact me.</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395" w:lineRule="exact"/>
        <w:rPr>
          <w:sz w:val="20"/>
          <w:szCs w:val="20"/>
          <w:color w:val="auto"/>
        </w:rPr>
      </w:pPr>
    </w:p>
    <w:tbl>
      <w:tblPr>
        <w:tblLayout w:type="fixed"/>
        <w:tblInd w:w="360" w:type="dxa"/>
        <w:tblCellMar>
          <w:top w:w="0" w:type="dxa"/>
          <w:left w:w="0" w:type="dxa"/>
          <w:bottom w:w="0" w:type="dxa"/>
          <w:right w:w="0" w:type="dxa"/>
        </w:tblCellMar>
      </w:tblP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Kate Haviland</w:t>
            </w:r>
          </w:p>
        </w:tc>
      </w:tr>
      <w:tr>
        <w:trPr>
          <w:trHeight w:val="385"/>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Kate Haviland</w:t>
            </w:r>
          </w:p>
        </w:tc>
      </w:tr>
      <w:tr>
        <w:trPr>
          <w:trHeight w:val="385"/>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Chair, Board of Directors</w:t>
            </w:r>
          </w:p>
        </w:tc>
      </w:tr>
    </w:tbl>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 have read and accept this Agreement:</w:t>
      </w:r>
    </w:p>
    <w:p>
      <w:pPr>
        <w:spacing w:after="0" w:line="233" w:lineRule="exact"/>
        <w:rPr>
          <w:sz w:val="20"/>
          <w:szCs w:val="20"/>
          <w:color w:val="auto"/>
        </w:rPr>
      </w:pPr>
    </w:p>
    <w:p>
      <w:pPr>
        <w:ind w:left="360"/>
        <w:spacing w:after="0"/>
        <w:tabs>
          <w:tab w:leader="none" w:pos="12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19685</wp:posOffset>
            </wp:positionV>
            <wp:extent cx="241744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32" w:lineRule="exact"/>
        <w:rPr>
          <w:sz w:val="20"/>
          <w:szCs w:val="20"/>
          <w:color w:val="auto"/>
        </w:rPr>
      </w:pPr>
    </w:p>
    <w:p>
      <w:pPr>
        <w:ind w:left="360"/>
        <w:spacing w:after="0"/>
        <w:tabs>
          <w:tab w:leader="none" w:pos="1240" w:val="left"/>
        </w:tabs>
        <w:rPr>
          <w:sz w:val="20"/>
          <w:szCs w:val="20"/>
          <w:color w:val="auto"/>
        </w:rPr>
      </w:pPr>
      <w:r>
        <w:rPr>
          <w:rFonts w:ascii="Times New Roman" w:cs="Times New Roman" w:eastAsia="Times New Roman" w:hAnsi="Times New Roman"/>
          <w:sz w:val="22"/>
          <w:szCs w:val="22"/>
          <w:color w:val="auto"/>
        </w:rPr>
        <w:t>Name:</w:t>
        <w:tab/>
        <w:t>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19685</wp:posOffset>
            </wp:positionV>
            <wp:extent cx="241744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3</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ACTIVE/120625975.1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23" w:right="539"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color w:val="auto"/>
        </w:rPr>
        <w:t>DocuSign Envelope ID: 941E6C11-A720-4450-BEC2-6BF3A624C190</w:t>
      </w:r>
    </w:p>
    <w:p>
      <w:pPr>
        <w:spacing w:after="0" w:line="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SEVERANCE AGREEMENT</w:t>
      </w:r>
    </w:p>
    <w:p>
      <w:pPr>
        <w:spacing w:after="0" w:line="200" w:lineRule="exact"/>
        <w:rPr>
          <w:sz w:val="20"/>
          <w:szCs w:val="20"/>
          <w:color w:val="auto"/>
        </w:rPr>
      </w:pPr>
    </w:p>
    <w:p>
      <w:pPr>
        <w:spacing w:after="0" w:line="226" w:lineRule="exact"/>
        <w:rPr>
          <w:sz w:val="20"/>
          <w:szCs w:val="20"/>
          <w:color w:val="auto"/>
        </w:rPr>
      </w:pPr>
    </w:p>
    <w:p>
      <w:pPr>
        <w:ind w:left="140" w:right="500" w:firstLine="749"/>
        <w:spacing w:after="0" w:line="258" w:lineRule="auto"/>
        <w:rPr>
          <w:sz w:val="20"/>
          <w:szCs w:val="20"/>
          <w:color w:val="auto"/>
        </w:rPr>
      </w:pPr>
      <w:r>
        <w:rPr>
          <w:rFonts w:ascii="Times New Roman" w:cs="Times New Roman" w:eastAsia="Times New Roman" w:hAnsi="Times New Roman"/>
          <w:sz w:val="22"/>
          <w:szCs w:val="22"/>
          <w:color w:val="auto"/>
        </w:rPr>
        <w:t>This Severance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between Fulcrum Therapeutics,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Bryan Stuart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The Company together with the Executive shall be referred to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ind w:left="140" w:right="44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entered into an Employment Agreement dated March 31, 2021 (the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which superseded in all respects the prior employment agreement between the Parties dated July 3, 2019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ind w:left="140" w:right="6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the Employment Agreement, the Company and the Executive each retained the right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the Executive’s employment by the Company without any breach of the Employment Agreement under the circumstances set forth in Section 7 of the Employment Agreement;</w:t>
      </w:r>
    </w:p>
    <w:p>
      <w:pPr>
        <w:spacing w:after="0" w:line="208" w:lineRule="exact"/>
        <w:rPr>
          <w:sz w:val="20"/>
          <w:szCs w:val="20"/>
          <w:color w:val="auto"/>
        </w:rPr>
      </w:pPr>
    </w:p>
    <w:p>
      <w:pPr>
        <w:ind w:left="140" w:right="20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Executive’s employment will end on January 2, 2023 (the “</w:t>
      </w:r>
      <w:r>
        <w:rPr>
          <w:rFonts w:ascii="Times New Roman" w:cs="Times New Roman" w:eastAsia="Times New Roman" w:hAnsi="Times New Roman"/>
          <w:sz w:val="22"/>
          <w:szCs w:val="22"/>
          <w:u w:val="single" w:color="auto"/>
          <w:color w:val="auto"/>
        </w:rPr>
        <w:t>Date of Separation</w:t>
      </w:r>
      <w:r>
        <w:rPr>
          <w:rFonts w:ascii="Times New Roman" w:cs="Times New Roman" w:eastAsia="Times New Roman" w:hAnsi="Times New Roman"/>
          <w:sz w:val="22"/>
          <w:szCs w:val="22"/>
          <w:color w:val="auto"/>
        </w:rPr>
        <w:t>”), and the Parties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treating the ending of his employment as a termination without Cause pursuant to Section 7(b) of the Employment Agreement;</w:t>
      </w:r>
    </w:p>
    <w:p>
      <w:pPr>
        <w:spacing w:after="0" w:line="194" w:lineRule="exact"/>
        <w:rPr>
          <w:sz w:val="20"/>
          <w:szCs w:val="20"/>
          <w:color w:val="auto"/>
        </w:rPr>
      </w:pPr>
    </w:p>
    <w:p>
      <w:pPr>
        <w:ind w:left="140" w:right="38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if the Executive enters into, does not revoke and complies with this Agreement, the Executive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eligible to receive the severance pay and benefits as described in this Agreement; and</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this Agreement is the “</w:t>
      </w:r>
      <w:r>
        <w:rPr>
          <w:rFonts w:ascii="Times New Roman" w:cs="Times New Roman" w:eastAsia="Times New Roman" w:hAnsi="Times New Roman"/>
          <w:sz w:val="22"/>
          <w:szCs w:val="22"/>
          <w:u w:val="single" w:color="auto"/>
          <w:color w:val="auto"/>
        </w:rPr>
        <w:t>Severance Agreement</w:t>
      </w:r>
      <w:r>
        <w:rPr>
          <w:rFonts w:ascii="Times New Roman" w:cs="Times New Roman" w:eastAsia="Times New Roman" w:hAnsi="Times New Roman"/>
          <w:sz w:val="22"/>
          <w:szCs w:val="22"/>
          <w:color w:val="auto"/>
        </w:rPr>
        <w:t>” referred to in the Employment Agreement.</w:t>
      </w:r>
    </w:p>
    <w:p>
      <w:pPr>
        <w:spacing w:after="0" w:line="247" w:lineRule="exact"/>
        <w:rPr>
          <w:sz w:val="20"/>
          <w:szCs w:val="20"/>
          <w:color w:val="auto"/>
        </w:rPr>
      </w:pPr>
    </w:p>
    <w:p>
      <w:pPr>
        <w:ind w:left="140" w:right="11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good and valuable consideration, the receipt and sufficiency of which is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acknowledged, the Parties hereby agree as follows:</w:t>
      </w:r>
    </w:p>
    <w:p>
      <w:pPr>
        <w:spacing w:after="0" w:line="177" w:lineRule="exact"/>
        <w:rPr>
          <w:sz w:val="20"/>
          <w:szCs w:val="20"/>
          <w:color w:val="auto"/>
        </w:rPr>
      </w:pPr>
    </w:p>
    <w:p>
      <w:pPr>
        <w:ind w:left="880" w:hanging="752"/>
        <w:spacing w:after="0"/>
        <w:tabs>
          <w:tab w:leader="none" w:pos="8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Recitals</w:t>
      </w:r>
      <w:r>
        <w:rPr>
          <w:rFonts w:ascii="Times New Roman" w:cs="Times New Roman" w:eastAsia="Times New Roman" w:hAnsi="Times New Roman"/>
          <w:sz w:val="22"/>
          <w:szCs w:val="22"/>
          <w:color w:val="auto"/>
        </w:rPr>
        <w:t>. The Recitals set forth above are expressly incorporated into this Agreement.</w:t>
      </w:r>
    </w:p>
    <w:p>
      <w:pPr>
        <w:spacing w:after="0" w:line="246" w:lineRule="exact"/>
        <w:rPr>
          <w:rFonts w:ascii="Times New Roman" w:cs="Times New Roman" w:eastAsia="Times New Roman" w:hAnsi="Times New Roman"/>
          <w:sz w:val="22"/>
          <w:szCs w:val="22"/>
          <w:color w:val="auto"/>
        </w:rPr>
      </w:pPr>
    </w:p>
    <w:p>
      <w:pPr>
        <w:ind w:left="120" w:right="440" w:firstLine="8"/>
        <w:spacing w:after="0" w:line="262" w:lineRule="auto"/>
        <w:tabs>
          <w:tab w:leader="none" w:pos="89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Ending of Employment</w:t>
      </w:r>
      <w:r>
        <w:rPr>
          <w:rFonts w:ascii="Times New Roman" w:cs="Times New Roman" w:eastAsia="Times New Roman" w:hAnsi="Times New Roman"/>
          <w:sz w:val="22"/>
          <w:szCs w:val="22"/>
          <w:color w:val="auto"/>
        </w:rPr>
        <w:t>. The Executive’s employment with the Company will end on the Date of Separation.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terms shall apply regardless of whether this Agreement becomes effective:</w:t>
      </w:r>
    </w:p>
    <w:p>
      <w:pPr>
        <w:spacing w:after="0" w:line="190" w:lineRule="exact"/>
        <w:rPr>
          <w:rFonts w:ascii="Times New Roman" w:cs="Times New Roman" w:eastAsia="Times New Roman" w:hAnsi="Times New Roman"/>
          <w:sz w:val="22"/>
          <w:szCs w:val="22"/>
          <w:color w:val="auto"/>
        </w:rPr>
      </w:pPr>
    </w:p>
    <w:p>
      <w:pPr>
        <w:ind w:left="120" w:right="460" w:firstLine="1505"/>
        <w:spacing w:after="0" w:line="241" w:lineRule="auto"/>
        <w:tabs>
          <w:tab w:leader="none" w:pos="2336"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Resignations</w:t>
      </w:r>
      <w:r>
        <w:rPr>
          <w:rFonts w:ascii="Times New Roman" w:cs="Times New Roman" w:eastAsia="Times New Roman" w:hAnsi="Times New Roman"/>
          <w:sz w:val="22"/>
          <w:szCs w:val="22"/>
          <w:color w:val="auto"/>
        </w:rPr>
        <w:t>. The Executive shall be deemed to have resigned from all officer and board member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positions that the Executive holds with the Company or any of its respective subsidiaries and affiliates upon the Date of Separation. The Executive shall execute any documents in reasonable form as may be requested to confirm or effectuate any such resignations.</w:t>
      </w:r>
    </w:p>
    <w:p>
      <w:pPr>
        <w:spacing w:after="0" w:line="171" w:lineRule="exact"/>
        <w:rPr>
          <w:rFonts w:ascii="Times New Roman" w:cs="Times New Roman" w:eastAsia="Times New Roman" w:hAnsi="Times New Roman"/>
          <w:sz w:val="22"/>
          <w:szCs w:val="22"/>
          <w:color w:val="auto"/>
        </w:rPr>
      </w:pPr>
    </w:p>
    <w:p>
      <w:pPr>
        <w:ind w:left="120" w:right="480" w:firstLine="1505"/>
        <w:spacing w:after="0" w:line="263" w:lineRule="auto"/>
        <w:tabs>
          <w:tab w:leader="none" w:pos="2346"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Accrued Obligations</w:t>
      </w:r>
      <w:r>
        <w:rPr>
          <w:rFonts w:ascii="Times New Roman" w:cs="Times New Roman" w:eastAsia="Times New Roman" w:hAnsi="Times New Roman"/>
          <w:sz w:val="21"/>
          <w:szCs w:val="21"/>
          <w:color w:val="auto"/>
        </w:rPr>
        <w:t>. The Executive acknowledges and agrees that in connection with the ending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his employment, the Company shall pay or provide to the Executive the following “</w:t>
      </w: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(i) the Base Salary (as defined in the Employment Agreement) that has accrued and to which the Executive is entitled as of the Date</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ACTIVE/120535856.4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ACTIVE/121852692.1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color w:val="auto"/>
        </w:rPr>
        <w:t>DocuSign Envelope ID: 941E6C11-A720-4450-BEC2-6BF3A624C190</w:t>
      </w:r>
    </w:p>
    <w:p>
      <w:pPr>
        <w:spacing w:after="0" w:line="6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22"/>
          <w:szCs w:val="22"/>
          <w:color w:val="auto"/>
        </w:rPr>
        <w:t>of Separation and to the extent consistent with general Company policy, to be paid no later than the Date of Separation, (ii) unreimbursed business expenses for which expenses the Executive</w:t>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ACTIVE/120535856.4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ACTIVE/121852692.1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373" w:right="839" w:bottom="1440" w:gutter="0" w:footer="0" w:header="0"/>
        </w:sectPr>
      </w:pPr>
    </w:p>
    <w:bookmarkStart w:id="157" w:name="page158"/>
    <w:bookmarkEnd w:id="157"/>
    <w:p>
      <w:pPr>
        <w:spacing w:after="0"/>
        <w:rPr>
          <w:sz w:val="20"/>
          <w:szCs w:val="20"/>
          <w:color w:val="auto"/>
        </w:rPr>
      </w:pPr>
      <w:r>
        <w:rPr>
          <w:rFonts w:ascii="Arial" w:cs="Arial" w:eastAsia="Arial" w:hAnsi="Arial"/>
          <w:sz w:val="14"/>
          <w:szCs w:val="14"/>
          <w:color w:val="auto"/>
        </w:rPr>
        <w:t>DocuSign Envelope ID: 941E6C11-A720-4450-BEC2-6BF3A624C190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right="20"/>
        <w:spacing w:after="0" w:line="239" w:lineRule="auto"/>
        <w:rPr>
          <w:sz w:val="20"/>
          <w:szCs w:val="20"/>
          <w:color w:val="auto"/>
        </w:rPr>
      </w:pPr>
      <w:r>
        <w:rPr>
          <w:rFonts w:ascii="Times New Roman" w:cs="Times New Roman" w:eastAsia="Times New Roman" w:hAnsi="Times New Roman"/>
          <w:sz w:val="22"/>
          <w:szCs w:val="22"/>
          <w:color w:val="auto"/>
        </w:rPr>
        <w:t>has timely submitted appropriate documentation in accordance with Section 5 of the Employment Agreement, and (iii) any amounts or benefits to which the Executive is entitled under the terms of the benefit plans then-sponsored by the Company in accordance with their terms (and not accelerated to the extent acceleration does not satisfy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left="120" w:right="260" w:firstLine="1505"/>
        <w:spacing w:after="0" w:line="241" w:lineRule="auto"/>
        <w:tabs>
          <w:tab w:leader="none" w:pos="2349"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Health and Other Benefits</w:t>
      </w:r>
      <w:r>
        <w:rPr>
          <w:rFonts w:ascii="Times New Roman" w:cs="Times New Roman" w:eastAsia="Times New Roman" w:hAnsi="Times New Roman"/>
          <w:sz w:val="22"/>
          <w:szCs w:val="22"/>
          <w:color w:val="auto"/>
        </w:rPr>
        <w:t>. The Executive’s participation in all benefit plans shall end on or after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Date of Separation, in accordance with the terms of the applicable benefit plan. The Executive will be provided with information regarding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under separate cover, including payment obligations.</w:t>
      </w:r>
    </w:p>
    <w:p>
      <w:pPr>
        <w:spacing w:after="0" w:line="212" w:lineRule="exact"/>
        <w:rPr>
          <w:rFonts w:ascii="Times New Roman" w:cs="Times New Roman" w:eastAsia="Times New Roman" w:hAnsi="Times New Roman"/>
          <w:sz w:val="22"/>
          <w:szCs w:val="22"/>
          <w:color w:val="auto"/>
        </w:rPr>
      </w:pPr>
    </w:p>
    <w:p>
      <w:pPr>
        <w:ind w:left="120" w:right="100" w:firstLine="1505"/>
        <w:spacing w:after="0" w:line="238" w:lineRule="auto"/>
        <w:tabs>
          <w:tab w:leader="none" w:pos="2354"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Equity Awards</w:t>
      </w:r>
      <w:r>
        <w:rPr>
          <w:rFonts w:ascii="Times New Roman" w:cs="Times New Roman" w:eastAsia="Times New Roman" w:hAnsi="Times New Roman"/>
          <w:sz w:val="22"/>
          <w:szCs w:val="22"/>
          <w:color w:val="auto"/>
        </w:rPr>
        <w:t>. The Executive shall cease vesting in any outstanding, unvested stock options,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units or other equity awards as of the Date of Separation, consistent with the applicable equity award agreement and equity incentive plan (collectively, the “</w:t>
      </w:r>
      <w:r>
        <w:rPr>
          <w:rFonts w:ascii="Times New Roman" w:cs="Times New Roman" w:eastAsia="Times New Roman" w:hAnsi="Times New Roman"/>
          <w:sz w:val="22"/>
          <w:szCs w:val="22"/>
          <w:u w:val="single" w:color="auto"/>
          <w:color w:val="auto"/>
        </w:rPr>
        <w:t>Equity Documents</w:t>
      </w:r>
      <w:r>
        <w:rPr>
          <w:rFonts w:ascii="Times New Roman" w:cs="Times New Roman" w:eastAsia="Times New Roman" w:hAnsi="Times New Roman"/>
          <w:sz w:val="22"/>
          <w:szCs w:val="22"/>
          <w:color w:val="auto"/>
        </w:rPr>
        <w:t>”). The Executive may exercise his vested options, if any, within the time period set forth in the Equity Documents, subject to Section 4 below, if this Agreement becomes effective. The unvested portion of any equity award shall terminate or be forfeited on the Date of Separation.</w:t>
      </w:r>
    </w:p>
    <w:p>
      <w:pPr>
        <w:spacing w:after="0" w:line="176" w:lineRule="exact"/>
        <w:rPr>
          <w:rFonts w:ascii="Times New Roman" w:cs="Times New Roman" w:eastAsia="Times New Roman" w:hAnsi="Times New Roman"/>
          <w:sz w:val="22"/>
          <w:szCs w:val="22"/>
          <w:color w:val="auto"/>
        </w:rPr>
      </w:pPr>
    </w:p>
    <w:p>
      <w:pPr>
        <w:ind w:left="120" w:right="160" w:firstLine="1505"/>
        <w:spacing w:after="0" w:line="246" w:lineRule="auto"/>
        <w:tabs>
          <w:tab w:leader="none" w:pos="2349" w:val="left"/>
        </w:tabs>
        <w:numPr>
          <w:ilvl w:val="2"/>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Restrictive Covenants Agreement</w:t>
      </w:r>
      <w:r>
        <w:rPr>
          <w:rFonts w:ascii="Times New Roman" w:cs="Times New Roman" w:eastAsia="Times New Roman" w:hAnsi="Times New Roman"/>
          <w:sz w:val="22"/>
          <w:szCs w:val="22"/>
          <w:color w:val="auto"/>
        </w:rPr>
        <w:t>. The Executive is required to comply with the continuing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obligations under the Employee Confidentiality and Assignment Agreement between the Executive and the Company dated December 6, 2018 (the “</w:t>
      </w:r>
      <w:r>
        <w:rPr>
          <w:rFonts w:ascii="Times New Roman" w:cs="Times New Roman" w:eastAsia="Times New Roman" w:hAnsi="Times New Roman"/>
          <w:sz w:val="22"/>
          <w:szCs w:val="22"/>
          <w:u w:val="single" w:color="auto"/>
          <w:color w:val="auto"/>
        </w:rPr>
        <w:t>Restrictive Covenants Agreement</w:t>
      </w:r>
      <w:r>
        <w:rPr>
          <w:rFonts w:ascii="Times New Roman" w:cs="Times New Roman" w:eastAsia="Times New Roman" w:hAnsi="Times New Roman"/>
          <w:sz w:val="22"/>
          <w:szCs w:val="22"/>
          <w:color w:val="auto"/>
        </w:rPr>
        <w:t>”), which remains in full force and effect.</w:t>
      </w:r>
    </w:p>
    <w:p>
      <w:pPr>
        <w:spacing w:after="0" w:line="207" w:lineRule="exact"/>
        <w:rPr>
          <w:rFonts w:ascii="Times New Roman" w:cs="Times New Roman" w:eastAsia="Times New Roman" w:hAnsi="Times New Roman"/>
          <w:sz w:val="22"/>
          <w:szCs w:val="22"/>
          <w:color w:val="auto"/>
        </w:rPr>
      </w:pPr>
    </w:p>
    <w:p>
      <w:pPr>
        <w:ind w:left="120" w:right="520" w:firstLine="8"/>
        <w:spacing w:after="0" w:line="262" w:lineRule="auto"/>
        <w:tabs>
          <w:tab w:leader="none" w:pos="86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Severance Benefits</w:t>
      </w:r>
      <w:r>
        <w:rPr>
          <w:rFonts w:ascii="Times New Roman" w:cs="Times New Roman" w:eastAsia="Times New Roman" w:hAnsi="Times New Roman"/>
          <w:sz w:val="22"/>
          <w:szCs w:val="22"/>
          <w:color w:val="auto"/>
        </w:rPr>
        <w:t>. In exchange for the Executive entering into, not revoking and complying with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Executive will be entitled to the following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120" w:firstLine="1505"/>
        <w:spacing w:after="0" w:line="239" w:lineRule="auto"/>
        <w:tabs>
          <w:tab w:leader="none" w:pos="2357"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continue to pay to the Executive, in accordance with the Company’s regularly established payroll procedures, the Executive’s Base Salary for a period of twelve (12) months, with the first such payment to be made on the first regular payroll date following both the Date of Separation and the Effective Date of this Agreement (as defined below); and</w:t>
      </w:r>
    </w:p>
    <w:p>
      <w:pPr>
        <w:spacing w:after="0" w:line="166" w:lineRule="exact"/>
        <w:rPr>
          <w:rFonts w:ascii="Times New Roman" w:cs="Times New Roman" w:eastAsia="Times New Roman" w:hAnsi="Times New Roman"/>
          <w:sz w:val="22"/>
          <w:szCs w:val="22"/>
          <w:color w:val="auto"/>
        </w:rPr>
      </w:pPr>
    </w:p>
    <w:p>
      <w:pPr>
        <w:ind w:left="120" w:right="40" w:firstLine="1489"/>
        <w:spacing w:after="0" w:line="239" w:lineRule="auto"/>
        <w:tabs>
          <w:tab w:leader="none" w:pos="2342"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the Executive is eligible for and timely elects to continue receiving group medical insurance pursuant to the “COBRA” law, the Company shall continue to pay (but in no event longer than twelve (12) months following the Date of Separation) the share of the premium for health coverage that is paid by the Company for active and similarly-situated employees who receive the same type of coverage; and</w:t>
      </w:r>
    </w:p>
    <w:p>
      <w:pPr>
        <w:spacing w:after="0" w:line="220" w:lineRule="exact"/>
        <w:rPr>
          <w:rFonts w:ascii="Times New Roman" w:cs="Times New Roman" w:eastAsia="Times New Roman" w:hAnsi="Times New Roman"/>
          <w:sz w:val="22"/>
          <w:szCs w:val="22"/>
          <w:color w:val="auto"/>
        </w:rPr>
      </w:pPr>
    </w:p>
    <w:p>
      <w:pPr>
        <w:ind w:left="2380" w:hanging="755"/>
        <w:spacing w:after="0"/>
        <w:tabs>
          <w:tab w:leader="none" w:pos="238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 2022 bonus in the amount of</w:t>
      </w:r>
    </w:p>
    <w:p>
      <w:pPr>
        <w:spacing w:after="0" w:line="14" w:lineRule="exact"/>
        <w:rPr>
          <w:sz w:val="20"/>
          <w:szCs w:val="20"/>
          <w:color w:val="auto"/>
        </w:rPr>
      </w:pPr>
    </w:p>
    <w:p>
      <w:pPr>
        <w:ind w:left="140" w:right="80"/>
        <w:spacing w:after="0" w:line="237" w:lineRule="auto"/>
        <w:rPr>
          <w:sz w:val="20"/>
          <w:szCs w:val="20"/>
          <w:color w:val="auto"/>
        </w:rPr>
      </w:pPr>
      <w:r>
        <w:rPr>
          <w:rFonts w:ascii="Times New Roman" w:cs="Times New Roman" w:eastAsia="Times New Roman" w:hAnsi="Times New Roman"/>
          <w:sz w:val="22"/>
          <w:szCs w:val="22"/>
          <w:color w:val="auto"/>
        </w:rPr>
        <w:t>$220,000, less applicable tax withholdings, to be paid on the date that the Company’s executives receive their 2022 bonuses, and in any event no later than March 15, 2023.</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ACTIVE/120535856.4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ACTIVE/121852692.1</w:t>
      </w:r>
    </w:p>
    <w:p>
      <w:pPr>
        <w:spacing w:after="0" w:line="3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73" w:right="599"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color w:val="auto"/>
        </w:rPr>
        <w:t>DocuSign Envelope ID: 941E6C11-A720-4450-BEC2-6BF3A624C190</w:t>
      </w:r>
    </w:p>
    <w:p>
      <w:pPr>
        <w:spacing w:after="0" w:line="7" w:lineRule="exact"/>
        <w:rPr>
          <w:sz w:val="20"/>
          <w:szCs w:val="20"/>
          <w:color w:val="auto"/>
        </w:rPr>
      </w:pPr>
    </w:p>
    <w:p>
      <w:pPr>
        <w:ind w:left="120" w:firstLine="756"/>
        <w:spacing w:after="0" w:line="235" w:lineRule="auto"/>
        <w:tabs>
          <w:tab w:leader="none" w:pos="164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Extended Exercise Period</w:t>
      </w:r>
      <w:r>
        <w:rPr>
          <w:rFonts w:ascii="Times New Roman" w:cs="Times New Roman" w:eastAsia="Times New Roman" w:hAnsi="Times New Roman"/>
          <w:sz w:val="22"/>
          <w:szCs w:val="22"/>
          <w:color w:val="auto"/>
        </w:rPr>
        <w:t>. In addition, in exchange for the Executive entering into, not revoking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complying with this Agreement, the Company shall extend the exercise period with respect to the Executive’s vested stock options until the earlier of (i) the date that is</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ACTIVE/120535856.4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ACTIVE/121852692.1</w:t>
      </w:r>
    </w:p>
    <w:p>
      <w:pPr>
        <w:spacing w:after="0" w:line="3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373" w:right="839"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color w:val="auto"/>
        </w:rPr>
        <w:t>DocuSign Envelope ID: 941E6C11-A720-4450-BEC2-6BF3A624C190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40" w:right="600"/>
        <w:spacing w:after="0" w:line="244" w:lineRule="auto"/>
        <w:rPr>
          <w:sz w:val="20"/>
          <w:szCs w:val="20"/>
          <w:color w:val="auto"/>
        </w:rPr>
      </w:pPr>
      <w:r>
        <w:rPr>
          <w:rFonts w:ascii="Times New Roman" w:cs="Times New Roman" w:eastAsia="Times New Roman" w:hAnsi="Times New Roman"/>
          <w:sz w:val="22"/>
          <w:szCs w:val="22"/>
          <w:color w:val="auto"/>
        </w:rPr>
        <w:t>eighteen (18) months following the Date of Separation and (ii) the original 10-year expiration date for such vested stock options as provided in the Equity Documents (the “</w:t>
      </w:r>
      <w:r>
        <w:rPr>
          <w:rFonts w:ascii="Times New Roman" w:cs="Times New Roman" w:eastAsia="Times New Roman" w:hAnsi="Times New Roman"/>
          <w:sz w:val="22"/>
          <w:szCs w:val="22"/>
          <w:u w:val="single" w:color="auto"/>
          <w:color w:val="auto"/>
        </w:rPr>
        <w:t>Extended Exercise Period</w:t>
      </w:r>
      <w:r>
        <w:rPr>
          <w:rFonts w:ascii="Times New Roman" w:cs="Times New Roman" w:eastAsia="Times New Roman" w:hAnsi="Times New Roman"/>
          <w:sz w:val="22"/>
          <w:szCs w:val="22"/>
          <w:color w:val="auto"/>
        </w:rPr>
        <w:t>”). The Company advises the Executive to consult his personal tax advisor regarding the tax impact of the Extended Exercise Period.</w:t>
      </w:r>
    </w:p>
    <w:p>
      <w:pPr>
        <w:spacing w:after="0" w:line="196" w:lineRule="exact"/>
        <w:rPr>
          <w:sz w:val="20"/>
          <w:szCs w:val="20"/>
          <w:color w:val="auto"/>
        </w:rPr>
      </w:pPr>
    </w:p>
    <w:p>
      <w:pPr>
        <w:ind w:left="120" w:firstLine="8"/>
        <w:spacing w:after="0" w:line="243" w:lineRule="auto"/>
        <w:tabs>
          <w:tab w:leader="none" w:pos="914"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General Release</w:t>
      </w:r>
      <w:r>
        <w:rPr>
          <w:rFonts w:ascii="Times New Roman" w:cs="Times New Roman" w:eastAsia="Times New Roman" w:hAnsi="Times New Roman"/>
          <w:sz w:val="21"/>
          <w:szCs w:val="21"/>
          <w:color w:val="auto"/>
        </w:rPr>
        <w:t>. In consideration for, among other terms, the Severance Benefits and the Extended Exercise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which the Executive acknowledges that he would otherwise not be entitled, the Executive irrevocably and unconditionally releases and forever discharges the Company, all of its affiliated and related entities, its and their respective predecessors, successors and assigns, its and their respective employee benefit plans and the fiduciaries of such plans, and the current and former officers, directors, stockholders, employees, attorneys, accountants, and agents of each of the foregoing in their official and personal capacities (collectively referred to as the “</w:t>
      </w:r>
      <w:r>
        <w:rPr>
          <w:rFonts w:ascii="Times New Roman" w:cs="Times New Roman" w:eastAsia="Times New Roman" w:hAnsi="Times New Roman"/>
          <w:sz w:val="21"/>
          <w:szCs w:val="21"/>
          <w:u w:val="single" w:color="auto"/>
          <w:color w:val="auto"/>
        </w:rPr>
        <w:t>Releasees</w:t>
      </w:r>
      <w:r>
        <w:rPr>
          <w:rFonts w:ascii="Times New Roman" w:cs="Times New Roman" w:eastAsia="Times New Roman" w:hAnsi="Times New Roman"/>
          <w:sz w:val="21"/>
          <w:szCs w:val="21"/>
          <w:color w:val="auto"/>
        </w:rPr>
        <w:t>”) generally from all claims, demands, debts, damages and liabilities of every name and nature, known or unknown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that, as of the date when the Executive signs this Agreement, he has, ever had, now claims to have or ever claimed to have had against any or all of the Releasees. This release includes, without limitation, the complete waiver and release of all Claims: related to the Executive’s employment by the Company or termination of employment; arising out of or relating to the Employment Agreement, the Prior Agreement or any other agreement between the Executive and any of the Releasees; of breach of express or implied contract; of wrongful termination of employment whether in contract or tort; of violation of public policy; of intentional, reckless, or negligent infliction of emotional distress; of breach of any express or implied covenant of employment, including the covenant of good faith and fair dealing; of interference with contractual or advantageous relations, whether prospective or existing; of deceit or misrepresentation; of discrimination or retaliation under state, federal or municipal law, including, without limitation, Title VII of the Civil Rights Act of 1964, the Americans with Disabilities Act, the Age Discrimination in Employment Act, and the Massachusetts Fair Employment Practices Act; of whistleblower retaliation; of fraud; under any other federal, state or local statute, rule, ordinance or regulation; of promissory estoppel or detrimental reliance; for wages, bonuses, incentive compensation, stock, stock options, vacation pay, severance allowances or entitlements, and any other compensation or benefits, either under the Massachusetts Wage Act, or otherwise; of slander, libel, defamation, disparagement, intentional infliction of emotional distress, personal injury, negligence or other torts; for damages or other remedies of any sort, including, without limitation, compensatory damages, punitive damages, injunctive relief, attorneys’ fees, experts’ fees, medical fees or expenses, costs and disbursements. The Executive understands that this general release of Claims includes, without limitation, any and all Claims against the Company in respect of any stock-based awards of any kind, and all Claims in his capacity as a Company stockholder arising up to and through the date that the Executive enters into this Agreement. The Executive further understands that this general release does not extend to any rights or Claims that may arise out of acts or events that occur after the date on which the Executive signs this Agreement, to Claims that cannot be released as a matter of law or to any rights to any indemnification and defense that the Executive has with the Company, including, without limitation under the indemnification agreement between the Executive and the Company (the “</w:t>
      </w:r>
      <w:r>
        <w:rPr>
          <w:rFonts w:ascii="Times New Roman" w:cs="Times New Roman" w:eastAsia="Times New Roman" w:hAnsi="Times New Roman"/>
          <w:sz w:val="21"/>
          <w:szCs w:val="21"/>
          <w:u w:val="single" w:color="auto"/>
          <w:color w:val="auto"/>
        </w:rPr>
        <w:t>Indemnification Agreement</w:t>
      </w:r>
      <w:r>
        <w:rPr>
          <w:rFonts w:ascii="Times New Roman" w:cs="Times New Roman" w:eastAsia="Times New Roman" w:hAnsi="Times New Roman"/>
          <w:sz w:val="21"/>
          <w:szCs w:val="21"/>
          <w:color w:val="auto"/>
        </w:rPr>
        <w:t>”). This release does not affect the Executive’s rights or obligations under this Agreement, nor shall it affect the Executive’s rights, if any, to unemployment compensation benefits or to workers’ compensation. The Executive</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ACTIVE/120535856.4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ACTIVE/121852692.1</w:t>
      </w:r>
    </w:p>
    <w:p>
      <w:pPr>
        <w:spacing w:after="0" w:line="3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73" w:right="459"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color w:val="auto"/>
        </w:rPr>
        <w:t>DocuSign Envelope ID: 941E6C11-A720-4450-BEC2-6BF3A624C190</w:t>
      </w:r>
    </w:p>
    <w:p>
      <w:pPr>
        <w:spacing w:after="0" w:line="7" w:lineRule="exact"/>
        <w:rPr>
          <w:sz w:val="20"/>
          <w:szCs w:val="20"/>
          <w:color w:val="auto"/>
        </w:rPr>
      </w:pPr>
    </w:p>
    <w:p>
      <w:pPr>
        <w:ind w:left="120" w:firstLine="794"/>
        <w:spacing w:after="0" w:line="237" w:lineRule="auto"/>
        <w:rPr>
          <w:sz w:val="20"/>
          <w:szCs w:val="20"/>
          <w:color w:val="auto"/>
        </w:rPr>
      </w:pPr>
      <w:r>
        <w:rPr>
          <w:rFonts w:ascii="Times New Roman" w:cs="Times New Roman" w:eastAsia="Times New Roman" w:hAnsi="Times New Roman"/>
          <w:sz w:val="22"/>
          <w:szCs w:val="22"/>
          <w:color w:val="auto"/>
        </w:rPr>
        <w:t>agrees not to accept damages of any nature, other equitable or legal remedies for the Executive’s own benefit or attorney’s fees or costs from any of the Releasees with respect to any Claim</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ACTIVE/120535856.4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ACTIVE/121852692.1</w:t>
      </w:r>
    </w:p>
    <w:p>
      <w:pPr>
        <w:spacing w:after="0" w:line="3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373" w:right="999"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color w:val="auto"/>
        </w:rPr>
        <w:t>DocuSign Envelope ID: 941E6C11-A720-4450-BEC2-6BF3A624C190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40" w:right="300"/>
        <w:spacing w:after="0" w:line="258" w:lineRule="auto"/>
        <w:rPr>
          <w:sz w:val="20"/>
          <w:szCs w:val="20"/>
          <w:color w:val="auto"/>
        </w:rPr>
      </w:pPr>
      <w:r>
        <w:rPr>
          <w:rFonts w:ascii="Times New Roman" w:cs="Times New Roman" w:eastAsia="Times New Roman" w:hAnsi="Times New Roman"/>
          <w:sz w:val="22"/>
          <w:szCs w:val="22"/>
          <w:color w:val="auto"/>
        </w:rPr>
        <w:t>released by this Agreement. The Executive represents that he has not assigned to any third party and has not filed with any agency or court any Claim released by this Agreement.</w:t>
      </w:r>
    </w:p>
    <w:p>
      <w:pPr>
        <w:spacing w:after="0" w:line="185" w:lineRule="exact"/>
        <w:rPr>
          <w:sz w:val="20"/>
          <w:szCs w:val="20"/>
          <w:color w:val="auto"/>
        </w:rPr>
      </w:pPr>
    </w:p>
    <w:p>
      <w:pPr>
        <w:jc w:val="both"/>
        <w:ind w:left="140" w:right="300"/>
        <w:spacing w:after="0" w:line="255" w:lineRule="auto"/>
        <w:rPr>
          <w:sz w:val="20"/>
          <w:szCs w:val="20"/>
          <w:color w:val="auto"/>
        </w:rPr>
      </w:pPr>
      <w:r>
        <w:rPr>
          <w:rFonts w:ascii="Times New Roman" w:cs="Times New Roman" w:eastAsia="Times New Roman" w:hAnsi="Times New Roman"/>
          <w:sz w:val="21"/>
          <w:szCs w:val="21"/>
          <w:color w:val="auto"/>
        </w:rPr>
        <w:t>In consideration for the promises and covenants contained herein, the Company acknowledges that it knows of no claims, liabilities, obligations, promises, causes of action, actions, suits or demands, of whatever kind or character, arising from or relating to any omissions, acts or facts that have occurred up until and including the date of this Agreement. The Company further agrees that the Indemnification Agreement remains in full force and effect in accordance with its terms.</w:t>
      </w:r>
    </w:p>
    <w:p>
      <w:pPr>
        <w:spacing w:after="0" w:line="185" w:lineRule="exact"/>
        <w:rPr>
          <w:sz w:val="20"/>
          <w:szCs w:val="20"/>
          <w:color w:val="auto"/>
        </w:rPr>
      </w:pPr>
    </w:p>
    <w:p>
      <w:pPr>
        <w:ind w:left="120" w:right="60" w:firstLine="8"/>
        <w:spacing w:after="0" w:line="234" w:lineRule="auto"/>
        <w:tabs>
          <w:tab w:leader="none" w:pos="91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Return of Property</w:t>
      </w:r>
      <w:r>
        <w:rPr>
          <w:rFonts w:ascii="Times New Roman" w:cs="Times New Roman" w:eastAsia="Times New Roman" w:hAnsi="Times New Roman"/>
          <w:sz w:val="22"/>
          <w:szCs w:val="22"/>
          <w:color w:val="auto"/>
        </w:rPr>
        <w:t>. The Executive acknowledges and agrees that he is required to return all Company property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pursuant to the Restrictive Covenants Agreement upon the ending of his employment. By entering into this Agreement, the Executive confirms that he has returned to the Company all Company property, including, without limitation, any Company laptop, computer equipment, software, keys and access cards, credit cards, files and any documents (including computerized data and any copies made of any computerized data or software) containing information concerning the Company, its business or its business relationships, without deletion or alteration. After returning all Company property, the Executive agrees to delete and finally purge any duplicates of files or documents that may contain Company or customer information from any non-Company computer or other device that remains the Executive’s property after the Date of Separation. The obligations under this Section 6 are supplemental to, and not in lieu of, the Executive’s obligations under the Restrictive Covenants Agreement.</w:t>
      </w:r>
    </w:p>
    <w:p>
      <w:pPr>
        <w:spacing w:after="0" w:line="219" w:lineRule="exact"/>
        <w:rPr>
          <w:rFonts w:ascii="Times New Roman" w:cs="Times New Roman" w:eastAsia="Times New Roman" w:hAnsi="Times New Roman"/>
          <w:sz w:val="22"/>
          <w:szCs w:val="22"/>
          <w:color w:val="auto"/>
        </w:rPr>
      </w:pPr>
    </w:p>
    <w:p>
      <w:pPr>
        <w:ind w:left="880" w:hanging="752"/>
        <w:spacing w:after="0"/>
        <w:tabs>
          <w:tab w:leader="none" w:pos="8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Communications; Non-Disparagement</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ind w:left="120" w:right="100" w:firstLine="1505"/>
        <w:spacing w:after="0" w:line="235" w:lineRule="auto"/>
        <w:tabs>
          <w:tab w:leader="none" w:pos="2348"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agrees that he will not communicate about his departure with anyone until after the Company has made a formal announcement about the Executive’s departure through a company-wide communication (together, the “</w:t>
      </w:r>
      <w:r>
        <w:rPr>
          <w:rFonts w:ascii="Times New Roman" w:cs="Times New Roman" w:eastAsia="Times New Roman" w:hAnsi="Times New Roman"/>
          <w:sz w:val="22"/>
          <w:szCs w:val="22"/>
          <w:u w:val="single" w:color="auto"/>
          <w:color w:val="auto"/>
        </w:rPr>
        <w:t>Company Announcement</w:t>
      </w:r>
      <w:r>
        <w:rPr>
          <w:rFonts w:ascii="Times New Roman" w:cs="Times New Roman" w:eastAsia="Times New Roman" w:hAnsi="Times New Roman"/>
          <w:sz w:val="22"/>
          <w:szCs w:val="22"/>
          <w:color w:val="auto"/>
        </w:rPr>
        <w:t>”); provided that the Executive may communicate with his tax advisors, attorneys and spouse about his departure before the Company Announcement, provided further that the Executive first advises such persons not to reveal information about the Executive’s departure and each such person agrees. Once the Company has made the Company Announcement, the Executive agrees to limit any communications regarding his departure to statements consistent with the Company Announcement.</w:t>
      </w:r>
    </w:p>
    <w:p>
      <w:pPr>
        <w:spacing w:after="0" w:line="210" w:lineRule="exact"/>
        <w:rPr>
          <w:rFonts w:ascii="Times New Roman" w:cs="Times New Roman" w:eastAsia="Times New Roman" w:hAnsi="Times New Roman"/>
          <w:sz w:val="22"/>
          <w:szCs w:val="22"/>
          <w:color w:val="auto"/>
        </w:rPr>
      </w:pPr>
    </w:p>
    <w:p>
      <w:pPr>
        <w:jc w:val="both"/>
        <w:ind w:left="120" w:right="260" w:firstLine="1505"/>
        <w:spacing w:after="0" w:line="244" w:lineRule="auto"/>
        <w:tabs>
          <w:tab w:leader="none" w:pos="2334"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11, the Executive agrees not to make nor cause to be made any disparaging statements (whether written, oral, through social or electronic media or otherwise) concerning the Company or any of the Releasees.</w:t>
      </w:r>
    </w:p>
    <w:p>
      <w:pPr>
        <w:spacing w:after="0" w:line="213" w:lineRule="exact"/>
        <w:rPr>
          <w:rFonts w:ascii="Times New Roman" w:cs="Times New Roman" w:eastAsia="Times New Roman" w:hAnsi="Times New Roman"/>
          <w:sz w:val="22"/>
          <w:szCs w:val="22"/>
          <w:color w:val="auto"/>
        </w:rPr>
      </w:pPr>
    </w:p>
    <w:p>
      <w:pPr>
        <w:ind w:left="120" w:firstLine="1505"/>
        <w:spacing w:after="0" w:line="239" w:lineRule="auto"/>
        <w:tabs>
          <w:tab w:leader="none" w:pos="2357"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instruct the current members of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for so long as they are members of the Board, not to make or cause to be made any disparaging statements (whether written, oral, through social or electronic media or otherwise) concerning the Executive. For the avoidance of doubt, nothing in this Section 7(c)</w:t>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ACTIVE/120535856.4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ACTIVE/121852692.1</w:t>
      </w:r>
    </w:p>
    <w:p>
      <w:pPr>
        <w:spacing w:after="0" w:line="3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73" w:right="55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color w:val="auto"/>
        </w:rPr>
        <w:t>DocuSign Envelope ID: 941E6C11-A720-4450-BEC2-6BF3A624C190</w:t>
      </w:r>
    </w:p>
    <w:p>
      <w:pPr>
        <w:spacing w:after="0" w:line="7" w:lineRule="exact"/>
        <w:rPr>
          <w:sz w:val="20"/>
          <w:szCs w:val="20"/>
          <w:color w:val="auto"/>
        </w:rPr>
      </w:pPr>
    </w:p>
    <w:p>
      <w:pPr>
        <w:ind w:left="120"/>
        <w:spacing w:after="0" w:line="237" w:lineRule="auto"/>
        <w:rPr>
          <w:sz w:val="20"/>
          <w:szCs w:val="20"/>
          <w:color w:val="auto"/>
        </w:rPr>
      </w:pPr>
      <w:r>
        <w:rPr>
          <w:rFonts w:ascii="Times New Roman" w:cs="Times New Roman" w:eastAsia="Times New Roman" w:hAnsi="Times New Roman"/>
          <w:sz w:val="22"/>
          <w:szCs w:val="22"/>
          <w:color w:val="auto"/>
        </w:rPr>
        <w:t>applies to truthful testimony in a legal proceeding nor prevents the Board from communicating truthfully with investors or potential investors.</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ACTIVE/120535856.4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ACTIVE/121852692.1</w:t>
      </w:r>
    </w:p>
    <w:p>
      <w:pPr>
        <w:spacing w:after="0" w:line="3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373" w:right="879"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color w:val="auto"/>
        </w:rPr>
        <w:t>DocuSign Envelope ID: 941E6C11-A720-4450-BEC2-6BF3A624C190</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80" w:hanging="752"/>
        <w:spacing w:after="0"/>
        <w:tabs>
          <w:tab w:leader="none" w:pos="8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Cooperation</w:t>
      </w:r>
      <w:r>
        <w:rPr>
          <w:rFonts w:ascii="Times New Roman" w:cs="Times New Roman" w:eastAsia="Times New Roman" w:hAnsi="Times New Roman"/>
          <w:sz w:val="22"/>
          <w:szCs w:val="22"/>
          <w:color w:val="auto"/>
        </w:rPr>
        <w:t>. The Executive shall cooperate reasonably with the Company, including in</w:t>
      </w:r>
    </w:p>
    <w:p>
      <w:pPr>
        <w:spacing w:after="0" w:line="18" w:lineRule="exact"/>
        <w:rPr>
          <w:rFonts w:ascii="Times New Roman" w:cs="Times New Roman" w:eastAsia="Times New Roman" w:hAnsi="Times New Roman"/>
          <w:sz w:val="22"/>
          <w:szCs w:val="22"/>
          <w:color w:val="auto"/>
        </w:rPr>
      </w:pPr>
    </w:p>
    <w:p>
      <w:pPr>
        <w:ind w:left="140" w:right="60" w:hanging="8"/>
        <w:spacing w:after="0" w:line="231" w:lineRule="auto"/>
        <w:tabs>
          <w:tab w:leader="none" w:pos="398"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The Executive also shall cooperate reasonably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8, including but not limited to the Executive’s reasonable attorneys’ fees in the event the parties mutually agree that a conflict of interest exists with respect to the Executive’s performance of obligations pursuant to this Section 8.</w:t>
      </w:r>
    </w:p>
    <w:p>
      <w:pPr>
        <w:spacing w:after="0" w:line="209" w:lineRule="exact"/>
        <w:rPr>
          <w:rFonts w:ascii="Times New Roman" w:cs="Times New Roman" w:eastAsia="Times New Roman" w:hAnsi="Times New Roman"/>
          <w:sz w:val="22"/>
          <w:szCs w:val="22"/>
          <w:color w:val="auto"/>
        </w:rPr>
      </w:pPr>
    </w:p>
    <w:p>
      <w:pPr>
        <w:ind w:left="120" w:firstLine="8"/>
        <w:spacing w:after="0" w:line="232" w:lineRule="auto"/>
        <w:tabs>
          <w:tab w:leader="none" w:pos="91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Continuing Obligations; Termination of Payments; Injunctive Relief</w:t>
      </w:r>
      <w:r>
        <w:rPr>
          <w:rFonts w:ascii="Times New Roman" w:cs="Times New Roman" w:eastAsia="Times New Roman" w:hAnsi="Times New Roman"/>
          <w:sz w:val="22"/>
          <w:szCs w:val="22"/>
          <w:color w:val="auto"/>
        </w:rPr>
        <w:t>. The Executive acknowledges that his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Severance Benefits is conditioned on his full compliance with Sections 6 through 8 of this Agreement and the Restrictive Covenants Agreement, which is incorporated by reference herein, and together with Sections 6 through 8 of this Agreement, shall be referred to as the “</w:t>
      </w: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 In the event that the Executive materially breaches any of the Continuing Obligations, and such material breach (to the extent it is curable), has not been cured by the Executive within ten (10) days of written notification of such material breach, then in addition to any other legal or equitable remedies it may have for such breach, the Company shall have the right to terminate payments provided under this Agreement other than the Accrued Obligations. Such termination in the event of a breach by the Executive of the Continuing Obligations shall not affect the general release in Section 5 of this Agreement or the Executive’s obligation to comply with the Continuing Obligations and shall be in addition to, and not in lieu of, the Company’s rights to other legal and equitable remedies that the Company may have. Further, the Executive and the Company agree that it would be difficult to measure any harm caused to that might result from any breach by a party of any of the Continuing Obligations and that, in any event, money damages would be an inadequate remedy for any such breach. Accordingly, the Executive and the Company agree that if in the event of a material breach, or proposed material breach, of any portion of the Continuing Obligations, then the non- breaching party shall be entitled, in addition to all other remedies it may have, to an injunction or other appropriate equitable relief to restrain any such breach, without showing or proving any actual damage to the Company and without the necessity of posting a bond, and to recover the attorneys’ fees and costs associated with any such breach.</w:t>
      </w:r>
    </w:p>
    <w:p>
      <w:pPr>
        <w:spacing w:after="0" w:line="230" w:lineRule="exact"/>
        <w:rPr>
          <w:rFonts w:ascii="Times New Roman" w:cs="Times New Roman" w:eastAsia="Times New Roman" w:hAnsi="Times New Roman"/>
          <w:sz w:val="22"/>
          <w:szCs w:val="22"/>
          <w:color w:val="auto"/>
        </w:rPr>
      </w:pPr>
    </w:p>
    <w:p>
      <w:pPr>
        <w:ind w:left="920" w:hanging="792"/>
        <w:spacing w:after="0"/>
        <w:tabs>
          <w:tab w:leader="none" w:pos="9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Absence of Reliance; Non-Admission</w:t>
      </w:r>
      <w:r>
        <w:rPr>
          <w:rFonts w:ascii="Times New Roman" w:cs="Times New Roman" w:eastAsia="Times New Roman" w:hAnsi="Times New Roman"/>
          <w:sz w:val="22"/>
          <w:szCs w:val="22"/>
          <w:color w:val="auto"/>
        </w:rPr>
        <w:t>. This Agreement is a legally binding document and the Executive’s</w:t>
      </w:r>
    </w:p>
    <w:p>
      <w:pPr>
        <w:spacing w:after="0" w:line="18" w:lineRule="exact"/>
        <w:rPr>
          <w:sz w:val="20"/>
          <w:szCs w:val="20"/>
          <w:color w:val="auto"/>
        </w:rPr>
      </w:pPr>
    </w:p>
    <w:p>
      <w:pPr>
        <w:ind w:left="120" w:right="220"/>
        <w:spacing w:after="0" w:line="237" w:lineRule="auto"/>
        <w:rPr>
          <w:sz w:val="20"/>
          <w:szCs w:val="20"/>
          <w:color w:val="auto"/>
        </w:rPr>
      </w:pPr>
      <w:r>
        <w:rPr>
          <w:rFonts w:ascii="Times New Roman" w:cs="Times New Roman" w:eastAsia="Times New Roman" w:hAnsi="Times New Roman"/>
          <w:sz w:val="22"/>
          <w:szCs w:val="22"/>
          <w:color w:val="auto"/>
        </w:rPr>
        <w:t>signature will commit the Executive to its terms. In signing this Agreement, the Executive agrees that he is not relying upon any promise or representations made by anyone at</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ACTIVE/120535856.4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ACTIVE/121852692.1</w:t>
      </w:r>
    </w:p>
    <w:p>
      <w:pPr>
        <w:spacing w:after="0" w:line="3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73" w:right="519"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color w:val="auto"/>
        </w:rPr>
        <w:t>DocuSign Envelope ID: 941E6C11-A720-4450-BEC2-6BF3A624C190</w:t>
      </w:r>
    </w:p>
    <w:p>
      <w:pPr>
        <w:spacing w:after="0" w:line="7" w:lineRule="exact"/>
        <w:rPr>
          <w:sz w:val="20"/>
          <w:szCs w:val="20"/>
          <w:color w:val="auto"/>
        </w:rPr>
      </w:pPr>
    </w:p>
    <w:p>
      <w:pPr>
        <w:ind w:left="120" w:firstLine="784"/>
        <w:spacing w:after="0" w:line="237" w:lineRule="auto"/>
        <w:rPr>
          <w:sz w:val="20"/>
          <w:szCs w:val="20"/>
          <w:color w:val="auto"/>
        </w:rPr>
      </w:pPr>
      <w:r>
        <w:rPr>
          <w:rFonts w:ascii="Times New Roman" w:cs="Times New Roman" w:eastAsia="Times New Roman" w:hAnsi="Times New Roman"/>
          <w:sz w:val="22"/>
          <w:szCs w:val="22"/>
          <w:color w:val="auto"/>
        </w:rPr>
        <w:t>or on behalf of the Company, and he understands that the Company is not admitting in any way that it violated any legal obligation that it owed to the Executive.</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ACTIVE/120535856.4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ACTIVE/121852692.1</w:t>
      </w:r>
    </w:p>
    <w:p>
      <w:pPr>
        <w:spacing w:after="0" w:line="3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373" w:right="759"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color w:val="auto"/>
        </w:rPr>
        <w:t>DocuSign Envelope ID: 941E6C11-A720-4450-BEC2-6BF3A624C190</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80" w:hanging="752"/>
        <w:spacing w:after="0"/>
        <w:tabs>
          <w:tab w:leader="none" w:pos="8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Protected Disclosures</w:t>
      </w:r>
      <w:r>
        <w:rPr>
          <w:rFonts w:ascii="Times New Roman" w:cs="Times New Roman" w:eastAsia="Times New Roman" w:hAnsi="Times New Roman"/>
          <w:sz w:val="22"/>
          <w:szCs w:val="22"/>
          <w:color w:val="auto"/>
        </w:rPr>
        <w:t>. Nothing in this Agreement or otherwise limits the Executive’s:</w:t>
      </w:r>
    </w:p>
    <w:p>
      <w:pPr>
        <w:spacing w:after="0" w:line="18" w:lineRule="exact"/>
        <w:rPr>
          <w:sz w:val="20"/>
          <w:szCs w:val="20"/>
          <w:color w:val="auto"/>
        </w:rPr>
      </w:pPr>
    </w:p>
    <w:p>
      <w:pPr>
        <w:ind w:left="140" w:right="180" w:hanging="8"/>
        <w:spacing w:after="0" w:line="232" w:lineRule="auto"/>
        <w:tabs>
          <w:tab w:leader="none" w:pos="39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 to testify truthfully in any legal proceeding; (ii) right to file a charge, claim or complaint with any federal agency (such as the Equal Employment Opportunity Commission) or any state or local governmental agency or commission (together, a “</w:t>
      </w:r>
      <w:r>
        <w:rPr>
          <w:rFonts w:ascii="Times New Roman" w:cs="Times New Roman" w:eastAsia="Times New Roman" w:hAnsi="Times New Roman"/>
          <w:sz w:val="22"/>
          <w:szCs w:val="22"/>
          <w:u w:val="single" w:color="auto"/>
          <w:color w:val="auto"/>
        </w:rPr>
        <w:t>Government Agency</w:t>
      </w:r>
      <w:r>
        <w:rPr>
          <w:rFonts w:ascii="Times New Roman" w:cs="Times New Roman" w:eastAsia="Times New Roman" w:hAnsi="Times New Roman"/>
          <w:sz w:val="22"/>
          <w:szCs w:val="22"/>
          <w:color w:val="auto"/>
        </w:rPr>
        <w:t>”), provided that the Executive waives any right to monetary or other individualized relief (either individually or as part of any collective or class action); provided further that nothing in this Agreement limits any right that the Executive may have to receive a whistleblower award or bounty for information provided to the Securities and Exchange Commission; or (iii) ability to communicate with any Government Agency or otherwise participate in any investigation or proceeding that may be conducted by any Government Agency.</w:t>
      </w:r>
    </w:p>
    <w:p>
      <w:pPr>
        <w:spacing w:after="0" w:line="204" w:lineRule="exact"/>
        <w:rPr>
          <w:sz w:val="20"/>
          <w:szCs w:val="20"/>
          <w:color w:val="auto"/>
        </w:rPr>
      </w:pPr>
    </w:p>
    <w:p>
      <w:pPr>
        <w:ind w:left="120" w:right="320" w:firstLine="8"/>
        <w:spacing w:after="0" w:line="237" w:lineRule="auto"/>
        <w:tabs>
          <w:tab w:leader="none" w:pos="903"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Time for Consideration; Effective Date</w:t>
      </w:r>
      <w:r>
        <w:rPr>
          <w:rFonts w:ascii="Times New Roman" w:cs="Times New Roman" w:eastAsia="Times New Roman" w:hAnsi="Times New Roman"/>
          <w:sz w:val="22"/>
          <w:szCs w:val="22"/>
          <w:color w:val="auto"/>
        </w:rPr>
        <w:t>. The Company advises the Executive to consult with an attorney before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entering into this Agreement. The Executive acknowledges that he has carefully read and fully understands all of the provisions of this Agreement and that the Executive is voluntarily and knowingly entering into this Agreement. The Executive acknowledges that he has been given the opportunity to consider this Agreement for twenty-one</w:t>
      </w:r>
    </w:p>
    <w:p>
      <w:pPr>
        <w:ind w:left="14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 days before executing it (the “</w:t>
      </w:r>
      <w:r>
        <w:rPr>
          <w:rFonts w:ascii="Times New Roman" w:cs="Times New Roman" w:eastAsia="Times New Roman" w:hAnsi="Times New Roman"/>
          <w:sz w:val="22"/>
          <w:szCs w:val="22"/>
          <w:u w:val="single" w:color="auto"/>
          <w:color w:val="auto"/>
        </w:rPr>
        <w:t>Consideration Period</w:t>
      </w:r>
      <w:r>
        <w:rPr>
          <w:rFonts w:ascii="Times New Roman" w:cs="Times New Roman" w:eastAsia="Times New Roman" w:hAnsi="Times New Roman"/>
          <w:sz w:val="22"/>
          <w:szCs w:val="22"/>
          <w:color w:val="auto"/>
        </w:rPr>
        <w:t>”). To accept this Agreement, the Executive must return a signed, unmodified original or PDF copy of this Agreement so that it is received by the undersigned at or before the expiration of the Consideration Period. If the Executive signs this Agreement before the end of the Consideration Period, the Executive acknowledges that such decision was entirely voluntary and that the Executive had the opportunity to consider this Agreement for the entire Consideration Period. For the period of seven (7) days from the date when the Executive signs this Agreement, the Executive has the right to revoke this Agreement by written notice to the undersigned, provided that such notice is delivered so that it is received at or before the expiration of the seven (7) day revocation period. This Agreement shall not become effective or enforceable during the revocation period. This Agreement shall become effective on the first business day following the expiration of the revocation period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214" w:lineRule="exact"/>
        <w:rPr>
          <w:rFonts w:ascii="Times New Roman" w:cs="Times New Roman" w:eastAsia="Times New Roman" w:hAnsi="Times New Roman"/>
          <w:sz w:val="22"/>
          <w:szCs w:val="22"/>
          <w:color w:val="auto"/>
        </w:rPr>
      </w:pPr>
    </w:p>
    <w:p>
      <w:pPr>
        <w:jc w:val="both"/>
        <w:ind w:left="120" w:right="220" w:firstLine="8"/>
        <w:spacing w:after="0" w:line="241" w:lineRule="auto"/>
        <w:tabs>
          <w:tab w:leader="none" w:pos="91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Enforceability</w:t>
      </w:r>
      <w:r>
        <w:rPr>
          <w:rFonts w:ascii="Times New Roman" w:cs="Times New Roman" w:eastAsia="Times New Roman" w:hAnsi="Times New Roman"/>
          <w:sz w:val="22"/>
          <w:szCs w:val="22"/>
          <w:color w:val="auto"/>
        </w:rPr>
        <w:t>. The Executive acknowledges that, if any portion or provision of this Agreement or the Continuing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Obligations shall to any extent be declared illegal or unenforceable by a court of competent jurisdiction, then the remainder other than those as to which it is so declared illegal or unenforceable, shall not be affected thereby, and each portion and provision shall be valid and enforceable to the fullest extent permitted by law.</w:t>
      </w:r>
    </w:p>
    <w:p>
      <w:pPr>
        <w:spacing w:after="0" w:line="212" w:lineRule="exact"/>
        <w:rPr>
          <w:rFonts w:ascii="Times New Roman" w:cs="Times New Roman" w:eastAsia="Times New Roman" w:hAnsi="Times New Roman"/>
          <w:sz w:val="22"/>
          <w:szCs w:val="22"/>
          <w:color w:val="auto"/>
        </w:rPr>
      </w:pPr>
    </w:p>
    <w:p>
      <w:pPr>
        <w:ind w:left="120" w:right="120" w:firstLine="8"/>
        <w:spacing w:after="0" w:line="238" w:lineRule="auto"/>
        <w:tabs>
          <w:tab w:leader="none" w:pos="90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together with the Restrictive Covenants Agreement, the 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the Equity Documents (subject to the terms of this Agreement), constitutes the entire agreement between the Executive and the Company concerning the Executive’s relationship with the Company, and supersedes and replaces any and all prior agreements and understandings between the Parties concerning the Executive’s relationship with the Company including, without limitation, the Employment Agreement and the Prior Agreement.</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ACTIVE/120535856.4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ACTIVE/121852692.1</w:t>
      </w:r>
    </w:p>
    <w:p>
      <w:pPr>
        <w:spacing w:after="0" w:line="3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73" w:right="519" w:bottom="1440" w:gutter="0" w:footer="0" w:header="0"/>
        </w:sectPr>
      </w:pPr>
    </w:p>
    <w:bookmarkStart w:id="166" w:name="page167"/>
    <w:bookmarkEnd w:id="166"/>
    <w:p>
      <w:pPr>
        <w:spacing w:after="0"/>
        <w:rPr>
          <w:sz w:val="20"/>
          <w:szCs w:val="20"/>
          <w:color w:val="auto"/>
        </w:rPr>
      </w:pPr>
      <w:r>
        <w:rPr>
          <w:rFonts w:ascii="Arial" w:cs="Arial" w:eastAsia="Arial" w:hAnsi="Arial"/>
          <w:sz w:val="14"/>
          <w:szCs w:val="14"/>
          <w:color w:val="auto"/>
        </w:rPr>
        <w:t>DocuSign Envelope ID: 941E6C11-A720-4450-BEC2-6BF3A624C190</w:t>
      </w:r>
    </w:p>
    <w:p>
      <w:pPr>
        <w:spacing w:after="0" w:line="7" w:lineRule="exact"/>
        <w:rPr>
          <w:sz w:val="20"/>
          <w:szCs w:val="20"/>
          <w:color w:val="auto"/>
        </w:rPr>
      </w:pPr>
    </w:p>
    <w:p>
      <w:pPr>
        <w:jc w:val="both"/>
        <w:ind w:left="120" w:firstLine="8"/>
        <w:spacing w:after="0" w:line="234" w:lineRule="auto"/>
        <w:tabs>
          <w:tab w:leader="none" w:pos="87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Amendment</w:t>
      </w:r>
      <w:r>
        <w:rPr>
          <w:rFonts w:ascii="Times New Roman" w:cs="Times New Roman" w:eastAsia="Times New Roman" w:hAnsi="Times New Roman"/>
          <w:sz w:val="22"/>
          <w:szCs w:val="22"/>
          <w:color w:val="auto"/>
        </w:rPr>
        <w:t>. No waiver of any provision of this Agreement, including the Continuing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effective unless made in writing and signed by the waiving party. The failure of either Party to require the performance of any term or obligation of this Agreement or the Continuing Obligations, or the waiver by either Party of any breach of this</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ACTIVE/120535856.4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ACTIVE/121852692.1</w:t>
      </w:r>
    </w:p>
    <w:p>
      <w:pPr>
        <w:spacing w:after="0" w:line="3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373" w:right="959"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color w:val="auto"/>
        </w:rPr>
        <w:t>DocuSign Envelope ID: 941E6C11-A720-4450-BEC2-6BF3A624C190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right="280"/>
        <w:spacing w:after="0" w:line="244" w:lineRule="auto"/>
        <w:rPr>
          <w:sz w:val="20"/>
          <w:szCs w:val="20"/>
          <w:color w:val="auto"/>
        </w:rPr>
      </w:pPr>
      <w:r>
        <w:rPr>
          <w:rFonts w:ascii="Times New Roman" w:cs="Times New Roman" w:eastAsia="Times New Roman" w:hAnsi="Times New Roman"/>
          <w:sz w:val="22"/>
          <w:szCs w:val="22"/>
          <w:color w:val="auto"/>
        </w:rPr>
        <w:t>Agreement or the Continuing Obligations shall not prevent any subsequent enforcement of such term or obligation or be deemed a waiver of any subsequent breach. This Agreement may not be modified or amended except in a writing signed by both the Executive and a duly authorized officer of the Company.</w:t>
      </w:r>
    </w:p>
    <w:p>
      <w:pPr>
        <w:spacing w:after="0" w:line="196" w:lineRule="exact"/>
        <w:rPr>
          <w:sz w:val="20"/>
          <w:szCs w:val="20"/>
          <w:color w:val="auto"/>
        </w:rPr>
      </w:pPr>
    </w:p>
    <w:p>
      <w:pPr>
        <w:ind w:left="120" w:right="320" w:firstLine="8"/>
        <w:spacing w:after="0" w:line="241" w:lineRule="auto"/>
        <w:tabs>
          <w:tab w:leader="none" w:pos="91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All payments made by the Company to the Executive under this Agreement shall be net of any tax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212" w:lineRule="exact"/>
        <w:rPr>
          <w:rFonts w:ascii="Times New Roman" w:cs="Times New Roman" w:eastAsia="Times New Roman" w:hAnsi="Times New Roman"/>
          <w:sz w:val="22"/>
          <w:szCs w:val="22"/>
          <w:color w:val="auto"/>
        </w:rPr>
      </w:pPr>
    </w:p>
    <w:p>
      <w:pPr>
        <w:ind w:left="120" w:right="20" w:firstLine="8"/>
        <w:spacing w:after="0" w:line="248" w:lineRule="auto"/>
        <w:tabs>
          <w:tab w:leader="none" w:pos="913"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 The Parties intend that this Agreement will be administered in accordance with Section 409A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210" w:lineRule="exact"/>
        <w:rPr>
          <w:rFonts w:ascii="Times New Roman" w:cs="Times New Roman" w:eastAsia="Times New Roman" w:hAnsi="Times New Roman"/>
          <w:sz w:val="21"/>
          <w:szCs w:val="21"/>
          <w:color w:val="auto"/>
        </w:rPr>
      </w:pPr>
    </w:p>
    <w:p>
      <w:pPr>
        <w:ind w:left="120" w:right="80" w:firstLine="8"/>
        <w:spacing w:after="0" w:line="235" w:lineRule="auto"/>
        <w:tabs>
          <w:tab w:leader="none" w:pos="91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Acknowledgment of Wage and Other Payments</w:t>
      </w:r>
      <w:r>
        <w:rPr>
          <w:rFonts w:ascii="Times New Roman" w:cs="Times New Roman" w:eastAsia="Times New Roman" w:hAnsi="Times New Roman"/>
          <w:sz w:val="22"/>
          <w:szCs w:val="22"/>
          <w:color w:val="auto"/>
        </w:rPr>
        <w:t>. The Executive acknowledges and represents that, except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expressly provided in this Agreement, the Executive has been paid all wages, bonuses, compensation, benefits and other amounts that any of the Releasees has ever owed to the Executive through the date this Agreement is executed. The Executive is not entitled to any bonus, incentive compensation or other compensation except as specifically set forth in this Agreement. By entering into this Agreement, the Executive acknowledges and agrees that the Severance Benefits are the exclusive payments and benefits to be paid to the Executive in connection with the ending of his employment and that he is not entitled to any other severance pay, benefits or equity rights, including without limitation pursuant to any severance plan, program or arrangement. The Executive further acknowledges and agrees that all notice provisions under the Employment Agreement regarding the ending of his employment have been satisfied.</w:t>
      </w:r>
    </w:p>
    <w:p>
      <w:pPr>
        <w:spacing w:after="0" w:line="200" w:lineRule="exact"/>
        <w:rPr>
          <w:rFonts w:ascii="Times New Roman" w:cs="Times New Roman" w:eastAsia="Times New Roman" w:hAnsi="Times New Roman"/>
          <w:sz w:val="22"/>
          <w:szCs w:val="22"/>
          <w:color w:val="auto"/>
        </w:rPr>
      </w:pPr>
    </w:p>
    <w:p>
      <w:pPr>
        <w:ind w:left="120" w:firstLine="8"/>
        <w:spacing w:after="0" w:line="237" w:lineRule="auto"/>
        <w:tabs>
          <w:tab w:leader="none" w:pos="91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 Interpretation</w:t>
      </w:r>
      <w:r>
        <w:rPr>
          <w:rFonts w:ascii="Times New Roman" w:cs="Times New Roman" w:eastAsia="Times New Roman" w:hAnsi="Times New Roman"/>
          <w:sz w:val="22"/>
          <w:szCs w:val="22"/>
          <w:color w:val="auto"/>
        </w:rPr>
        <w:t>. This is a Massachusetts contract and shall be construed under and be governed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 In the event of any dispute, this Agreement is intended by the Parties to be construed as a whole, to be interpreted in accordance with its fair meaning, and not to be construed strictly for or against either Party or the “drafter” of all or any portion of this Agreement.</w:t>
      </w: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ACTIVE/120535856.4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ACTIVE/121852692.1</w:t>
      </w:r>
    </w:p>
    <w:p>
      <w:pPr>
        <w:spacing w:after="0" w:line="3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73" w:right="479"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color w:val="auto"/>
        </w:rPr>
        <w:t>DocuSign Envelope ID: 941E6C11-A720-4450-BEC2-6BF3A624C190</w:t>
      </w:r>
    </w:p>
    <w:p>
      <w:pPr>
        <w:spacing w:after="0" w:line="7" w:lineRule="exact"/>
        <w:rPr>
          <w:sz w:val="20"/>
          <w:szCs w:val="20"/>
          <w:color w:val="auto"/>
        </w:rPr>
      </w:pPr>
    </w:p>
    <w:p>
      <w:pPr>
        <w:ind w:left="120" w:firstLine="8"/>
        <w:spacing w:after="0" w:line="235" w:lineRule="auto"/>
        <w:tabs>
          <w:tab w:leader="none" w:pos="88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Consent to Jurisdiction; Jury Trial Waiver</w:t>
      </w:r>
      <w:r>
        <w:rPr>
          <w:rFonts w:ascii="Times New Roman" w:cs="Times New Roman" w:eastAsia="Times New Roman" w:hAnsi="Times New Roman"/>
          <w:sz w:val="22"/>
          <w:szCs w:val="22"/>
          <w:color w:val="auto"/>
        </w:rPr>
        <w:t>. The parties hereby consent to the exclusive jurisdiction of the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federal courts of the Commonwealth of Massachusetts. Accordingly, with respect to any such court action, the Executive (a) submits to the exclusive</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ACTIVE/120535856.4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ACTIVE/121852692.1</w:t>
      </w:r>
    </w:p>
    <w:p>
      <w:pPr>
        <w:spacing w:after="0" w:line="3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373" w:right="879"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color w:val="auto"/>
        </w:rPr>
        <w:t>DocuSign Envelope ID: 941E6C11-A720-4450-BEC2-6BF3A624C190</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right="160"/>
        <w:spacing w:after="0" w:line="239" w:lineRule="auto"/>
        <w:rPr>
          <w:sz w:val="20"/>
          <w:szCs w:val="20"/>
          <w:color w:val="auto"/>
        </w:rPr>
      </w:pPr>
      <w:r>
        <w:rPr>
          <w:rFonts w:ascii="Times New Roman" w:cs="Times New Roman" w:eastAsia="Times New Roman" w:hAnsi="Times New Roman"/>
          <w:sz w:val="22"/>
          <w:szCs w:val="22"/>
          <w:color w:val="auto"/>
        </w:rPr>
        <w:t>personal jurisdiction of such courts; (b) consents to service of process; and (c) waives any other requirement (whether imposed by statute, rule of court, or otherwise) with respect to personal jurisdiction or service of process. The Company and the Executive each hereby irrevocably waives any right to a trial by jury in any action, suit or other legal proceeding arising under or relating to any provision of this Agreement.</w:t>
      </w:r>
    </w:p>
    <w:p>
      <w:pPr>
        <w:spacing w:after="0" w:line="203" w:lineRule="exact"/>
        <w:rPr>
          <w:sz w:val="20"/>
          <w:szCs w:val="20"/>
          <w:color w:val="auto"/>
        </w:rPr>
      </w:pPr>
    </w:p>
    <w:p>
      <w:pPr>
        <w:ind w:left="120" w:firstLine="8"/>
        <w:spacing w:after="0" w:line="234" w:lineRule="auto"/>
        <w:tabs>
          <w:tab w:leader="none" w:pos="91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Assignment; Successors and Assigns</w:t>
      </w:r>
      <w:r>
        <w:rPr>
          <w:rFonts w:ascii="Times New Roman" w:cs="Times New Roman" w:eastAsia="Times New Roman" w:hAnsi="Times New Roman"/>
          <w:sz w:val="22"/>
          <w:szCs w:val="22"/>
          <w:color w:val="auto"/>
        </w:rPr>
        <w:t>. Neither the Executive nor the Company may make any assignment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any interest in it, by operation of law or otherwise, without the prior written consent of the other; provided, however,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This Agreement shall inure to the benefit of and be binding upon the Executive and the Company, and each of the Executive’s and the Company’s respective successors, executors, administrators, heirs and permitted assigns. In the event of the Executive’s death after the Date of Separation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216" w:lineRule="exact"/>
        <w:rPr>
          <w:rFonts w:ascii="Times New Roman" w:cs="Times New Roman" w:eastAsia="Times New Roman" w:hAnsi="Times New Roman"/>
          <w:sz w:val="22"/>
          <w:szCs w:val="22"/>
          <w:color w:val="auto"/>
        </w:rPr>
      </w:pPr>
    </w:p>
    <w:p>
      <w:pPr>
        <w:ind w:left="120" w:firstLine="8"/>
        <w:spacing w:after="0" w:line="246" w:lineRule="auto"/>
        <w:tabs>
          <w:tab w:leader="none" w:pos="90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delivered shall be taken to be an original, but all of which together shall constitute one and the same document. Electronic and pdf signatures shall be deemed to be of equal force and effect as originals.</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ACTIVE/120535856.4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ACTIVE/121852692.1</w:t>
      </w:r>
    </w:p>
    <w:p>
      <w:pPr>
        <w:spacing w:after="0" w:line="3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73" w:right="539" w:bottom="1440" w:gutter="0" w:footer="0" w:header="0"/>
        </w:sectPr>
      </w:pPr>
    </w:p>
    <w:bookmarkStart w:id="170" w:name="page171"/>
    <w:bookmarkEnd w:id="170"/>
    <w:p>
      <w:pPr>
        <w:spacing w:after="0"/>
        <w:rPr>
          <w:sz w:val="20"/>
          <w:szCs w:val="20"/>
          <w:color w:val="auto"/>
        </w:rPr>
      </w:pPr>
      <w:r>
        <w:rPr>
          <w:rFonts w:ascii="Arial" w:cs="Arial" w:eastAsia="Arial" w:hAnsi="Arial"/>
          <w:sz w:val="14"/>
          <w:szCs w:val="14"/>
          <w:color w:val="auto"/>
        </w:rPr>
        <w:t>DocuSign Envelope ID: 941E6C11-A720-4450-BEC2-6BF3A624C190</w:t>
      </w:r>
    </w:p>
    <w:p>
      <w:pPr>
        <w:spacing w:after="0" w:line="60" w:lineRule="exact"/>
        <w:rPr>
          <w:sz w:val="20"/>
          <w:szCs w:val="20"/>
          <w:color w:val="auto"/>
        </w:rPr>
      </w:pPr>
    </w:p>
    <w:p>
      <w:pPr>
        <w:ind w:left="1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intending to be legally bound, have executed this Agreement on the date(s)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indicated below.</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00" w:lineRule="exact"/>
        <w:rPr>
          <w:sz w:val="20"/>
          <w:szCs w:val="20"/>
          <w:color w:val="auto"/>
        </w:rPr>
      </w:pPr>
    </w:p>
    <w:p>
      <w:pPr>
        <w:spacing w:after="0" w:line="290" w:lineRule="exact"/>
        <w:rPr>
          <w:sz w:val="20"/>
          <w:szCs w:val="20"/>
          <w:color w:val="auto"/>
        </w:rPr>
      </w:pPr>
    </w:p>
    <w:tbl>
      <w:tblPr>
        <w:tblLayout w:type="fixed"/>
        <w:tblInd w:w="360" w:type="dxa"/>
        <w:tblCellMar>
          <w:top w:w="0" w:type="dxa"/>
          <w:left w:w="0" w:type="dxa"/>
          <w:bottom w:w="0" w:type="dxa"/>
          <w:right w:w="0" w:type="dxa"/>
        </w:tblCellMar>
      </w:tblP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Curt Oltmans</w:t>
            </w:r>
          </w:p>
        </w:tc>
      </w:tr>
      <w:tr>
        <w:trPr>
          <w:trHeight w:val="385"/>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Curt Oltmans</w:t>
            </w:r>
          </w:p>
        </w:tc>
      </w:tr>
      <w:tr>
        <w:trPr>
          <w:trHeight w:val="385"/>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Chief Legal Officer</w:t>
            </w:r>
          </w:p>
        </w:tc>
      </w:tr>
      <w:tr>
        <w:trPr>
          <w:trHeight w:val="385"/>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January 3, 2023</w:t>
            </w: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307" w:lineRule="exact"/>
        <w:rPr>
          <w:sz w:val="20"/>
          <w:szCs w:val="20"/>
          <w:color w:val="auto"/>
        </w:rPr>
      </w:pPr>
    </w:p>
    <w:tbl>
      <w:tblPr>
        <w:tblLayout w:type="fixed"/>
        <w:tblInd w:w="360" w:type="dxa"/>
        <w:tblCellMar>
          <w:top w:w="0" w:type="dxa"/>
          <w:left w:w="0" w:type="dxa"/>
          <w:bottom w:w="0" w:type="dxa"/>
          <w:right w:w="0" w:type="dxa"/>
        </w:tblCellMar>
      </w:tblP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Bryan Stuart</w:t>
            </w:r>
          </w:p>
        </w:tc>
      </w:tr>
      <w:tr>
        <w:trPr>
          <w:trHeight w:val="385"/>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Bryan Stuart</w:t>
            </w:r>
          </w:p>
        </w:tc>
      </w:tr>
      <w:tr>
        <w:trPr>
          <w:trHeight w:val="385"/>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January 3, 2023</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ACTIVE/120535856.4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ACTIVE/121852692.1</w:t>
      </w:r>
    </w:p>
    <w:p>
      <w:pPr>
        <w:spacing w:after="0" w:line="3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73" w:right="6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3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231F20"/>
        </w:rPr>
        <w:t>October 14, 2022</w:t>
      </w:r>
    </w:p>
    <w:p>
      <w:pPr>
        <w:spacing w:after="0" w:line="2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231F20"/>
        </w:rPr>
        <w:t>Ms. Judith Dunn</w:t>
      </w:r>
    </w:p>
    <w:p>
      <w:pPr>
        <w:spacing w:after="0" w:line="2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231F20"/>
        </w:rPr>
        <w:t>Dear Judith:</w:t>
      </w:r>
    </w:p>
    <w:p>
      <w:pPr>
        <w:spacing w:after="0" w:line="247" w:lineRule="exact"/>
        <w:rPr>
          <w:sz w:val="20"/>
          <w:szCs w:val="20"/>
          <w:color w:val="auto"/>
        </w:rPr>
      </w:pPr>
    </w:p>
    <w:p>
      <w:pPr>
        <w:jc w:val="both"/>
        <w:ind w:left="480" w:right="160" w:firstLine="728"/>
        <w:spacing w:after="0" w:line="236" w:lineRule="auto"/>
        <w:rPr>
          <w:sz w:val="20"/>
          <w:szCs w:val="20"/>
          <w:color w:val="auto"/>
        </w:rPr>
      </w:pPr>
      <w:r>
        <w:rPr>
          <w:rFonts w:ascii="Times New Roman" w:cs="Times New Roman" w:eastAsia="Times New Roman" w:hAnsi="Times New Roman"/>
          <w:sz w:val="22"/>
          <w:szCs w:val="22"/>
          <w:color w:val="231F20"/>
        </w:rPr>
        <w:t>This letter confirms that your Employment Agreement dated March 19, 2021 between you and Fulcrum Therapeutics, Inc. (the "</w:t>
      </w:r>
      <w:r>
        <w:rPr>
          <w:rFonts w:ascii="Times New Roman" w:cs="Times New Roman" w:eastAsia="Times New Roman" w:hAnsi="Times New Roman"/>
          <w:sz w:val="22"/>
          <w:szCs w:val="22"/>
          <w:u w:val="single" w:color="auto"/>
          <w:color w:val="231F20"/>
        </w:rPr>
        <w:t>Company</w:t>
      </w:r>
      <w:r>
        <w:rPr>
          <w:rFonts w:ascii="Times New Roman" w:cs="Times New Roman" w:eastAsia="Times New Roman" w:hAnsi="Times New Roman"/>
          <w:sz w:val="22"/>
          <w:szCs w:val="22"/>
          <w:color w:val="231F20"/>
        </w:rPr>
        <w:t>") is terminating effective on the Separation Date (as defined below), and summarizes the terms of the separation agreement that the Company is willing to offer as a result of your separation from the Company. Please read this letter agreement (the "Letter Agreement"), which includes a general release, carefully. If you are willing to agree to its terms, please sign in the space provided below and return it to me within 21 days.</w:t>
      </w:r>
    </w:p>
    <w:p>
      <w:pPr>
        <w:spacing w:after="0" w:line="235" w:lineRule="exact"/>
        <w:rPr>
          <w:sz w:val="20"/>
          <w:szCs w:val="20"/>
          <w:color w:val="auto"/>
        </w:rPr>
      </w:pPr>
    </w:p>
    <w:p>
      <w:pPr>
        <w:jc w:val="both"/>
        <w:ind w:left="480" w:right="140" w:firstLine="729"/>
        <w:spacing w:after="0" w:line="234" w:lineRule="auto"/>
        <w:tabs>
          <w:tab w:leader="none" w:pos="1937" w:val="left"/>
        </w:tabs>
        <w:numPr>
          <w:ilvl w:val="0"/>
          <w:numId w:val="78"/>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Your employment with the Company terminates as of January 3, 2023 (the "Separation Date"), provided however, that you will not be required to come to work after the Effective Date of this Letter Agreement but will (i) remain available through the Separation Date to satisfactorily perform in good faith the job duties set forth in Attachment A hereto; and (ii) comply with Company rules and policies, and not make or publish any written or oral disparaging or defamatory statements, including online or in social media, regarding the Company, and its current and former employees, officers, directors and agents. You will continue to receive your current base salary and all benefits (subject to the terms and conditions of the governing plan documents) through the Separation Date, less lawful deductions, provided you remain employed by the Company and otherwise comply with the terms of this Agreement.</w:t>
      </w:r>
    </w:p>
    <w:p>
      <w:pPr>
        <w:spacing w:after="0" w:line="250" w:lineRule="exact"/>
        <w:rPr>
          <w:rFonts w:ascii="Cambria" w:cs="Cambria" w:eastAsia="Cambria" w:hAnsi="Cambria"/>
          <w:sz w:val="21"/>
          <w:szCs w:val="21"/>
          <w:b w:val="1"/>
          <w:bCs w:val="1"/>
          <w:color w:val="231F20"/>
        </w:rPr>
      </w:pPr>
    </w:p>
    <w:p>
      <w:pPr>
        <w:jc w:val="both"/>
        <w:ind w:left="480" w:right="140" w:firstLine="729"/>
        <w:spacing w:after="0" w:line="236" w:lineRule="auto"/>
        <w:tabs>
          <w:tab w:leader="none" w:pos="1936" w:val="left"/>
        </w:tabs>
        <w:numPr>
          <w:ilvl w:val="0"/>
          <w:numId w:val="78"/>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After the Separation Date, except as provided below, you will not be entitled to receive any benefits paid by or participate in any benefit programs offered by the Company to its employees. Your coverage (if any) under any Company sponsored health, dental, vision, life, short-term disability, long-term disability, and accidental death &amp; dismemberment insurance will terminate as of the Separation Date. You will receive, under separate cover, information concerning any right to continue your health insurance benefits after the Separation Date in accordance with COBRA.</w:t>
      </w:r>
    </w:p>
    <w:p>
      <w:pPr>
        <w:spacing w:after="0" w:line="235" w:lineRule="exact"/>
        <w:rPr>
          <w:rFonts w:ascii="Cambria" w:cs="Cambria" w:eastAsia="Cambria" w:hAnsi="Cambria"/>
          <w:sz w:val="21"/>
          <w:szCs w:val="21"/>
          <w:b w:val="1"/>
          <w:bCs w:val="1"/>
          <w:color w:val="231F20"/>
        </w:rPr>
      </w:pPr>
    </w:p>
    <w:p>
      <w:pPr>
        <w:ind w:left="480" w:right="160" w:firstLine="729"/>
        <w:spacing w:after="0" w:line="241" w:lineRule="auto"/>
        <w:tabs>
          <w:tab w:leader="none" w:pos="1936" w:val="left"/>
        </w:tabs>
        <w:numPr>
          <w:ilvl w:val="0"/>
          <w:numId w:val="78"/>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In consideration for signing this Letter Agreement, and in compliance with the promises made herein (including those set forth in paragraph 4 below) and returning</w:t>
      </w:r>
    </w:p>
    <w:p>
      <w:pPr>
        <w:spacing w:after="0" w:line="1" w:lineRule="exact"/>
        <w:rPr>
          <w:rFonts w:ascii="Cambria" w:cs="Cambria" w:eastAsia="Cambria" w:hAnsi="Cambria"/>
          <w:sz w:val="21"/>
          <w:szCs w:val="21"/>
          <w:b w:val="1"/>
          <w:bCs w:val="1"/>
          <w:color w:val="231F20"/>
        </w:rPr>
      </w:pPr>
    </w:p>
    <w:p>
      <w:pPr>
        <w:jc w:val="both"/>
        <w:ind w:left="480" w:right="140"/>
        <w:spacing w:after="0" w:line="233" w:lineRule="auto"/>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 xml:space="preserve">it within the appropriate time periods and not revoking your acceptance as set forth below, the Company agrees to provide you the following payments and benefits (the "Severance Benefits") provided that you (i) satisfactorily complete the work deliverables set forth in </w:t>
      </w:r>
      <w:r>
        <w:rPr>
          <w:rFonts w:ascii="Times New Roman" w:cs="Times New Roman" w:eastAsia="Times New Roman" w:hAnsi="Times New Roman"/>
          <w:sz w:val="22"/>
          <w:szCs w:val="22"/>
          <w:u w:val="single" w:color="auto"/>
          <w:color w:val="231F20"/>
        </w:rPr>
        <w:t>Attachment A</w:t>
      </w:r>
      <w:r>
        <w:rPr>
          <w:rFonts w:ascii="Times New Roman" w:cs="Times New Roman" w:eastAsia="Times New Roman" w:hAnsi="Times New Roman"/>
          <w:sz w:val="22"/>
          <w:szCs w:val="22"/>
          <w:color w:val="231F20"/>
        </w:rPr>
        <w:t xml:space="preserve"> hereto, and (ii) sign and return </w:t>
      </w:r>
      <w:r>
        <w:rPr>
          <w:rFonts w:ascii="Times New Roman" w:cs="Times New Roman" w:eastAsia="Times New Roman" w:hAnsi="Times New Roman"/>
          <w:sz w:val="22"/>
          <w:szCs w:val="22"/>
          <w:u w:val="single" w:color="auto"/>
          <w:color w:val="231F20"/>
        </w:rPr>
        <w:t>Attachment B</w:t>
      </w:r>
      <w:r>
        <w:rPr>
          <w:rFonts w:ascii="Times New Roman" w:cs="Times New Roman" w:eastAsia="Times New Roman" w:hAnsi="Times New Roman"/>
          <w:sz w:val="22"/>
          <w:szCs w:val="22"/>
          <w:color w:val="231F20"/>
        </w:rPr>
        <w:t xml:space="preserve"> hereto no sooner than the day after the Separation Date and no later than 7 calendar days after the Separation Date:</w:t>
      </w:r>
    </w:p>
    <w:p>
      <w:pPr>
        <w:spacing w:after="0" w:line="233" w:lineRule="exact"/>
        <w:rPr>
          <w:sz w:val="20"/>
          <w:szCs w:val="20"/>
          <w:color w:val="auto"/>
        </w:rPr>
      </w:pPr>
    </w:p>
    <w:p>
      <w:pPr>
        <w:ind w:left="1560" w:hanging="351"/>
        <w:spacing w:after="0"/>
        <w:tabs>
          <w:tab w:leader="none" w:pos="1560" w:val="left"/>
        </w:tabs>
        <w:numPr>
          <w:ilvl w:val="0"/>
          <w:numId w:val="79"/>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The Company will pay you separation pay in the total gross amount of</w:t>
      </w:r>
    </w:p>
    <w:p>
      <w:pPr>
        <w:spacing w:after="0" w:line="27" w:lineRule="exact"/>
        <w:rPr>
          <w:rFonts w:ascii="Cambria" w:cs="Cambria" w:eastAsia="Cambria" w:hAnsi="Cambria"/>
          <w:sz w:val="21"/>
          <w:szCs w:val="21"/>
          <w:b w:val="1"/>
          <w:bCs w:val="1"/>
          <w:color w:val="231F20"/>
        </w:rPr>
      </w:pPr>
    </w:p>
    <w:p>
      <w:pPr>
        <w:jc w:val="both"/>
        <w:ind w:left="1580" w:right="140"/>
        <w:spacing w:after="0" w:line="233" w:lineRule="auto"/>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$461,867.00, less all applicable taxes and withholdings, which sum represents 12 months of pay at your current base salary. This separation pay will be paid to you in the form of salary continuation pursuant to the Company's regularly established payroll procedures over a period of 12 months, beginning with the first regular Company payroll cycle after the Separation Date and expiration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49530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846" w:right="339" w:bottom="1440" w:gutter="0" w:footer="0" w:header="0"/>
        </w:sectPr>
      </w:pPr>
    </w:p>
    <w:bookmarkStart w:id="172" w:name="page173"/>
    <w:bookmarkEnd w:id="172"/>
    <w:p>
      <w:pPr>
        <w:jc w:val="both"/>
        <w:ind w:left="1580" w:right="20"/>
        <w:spacing w:after="0" w:line="263" w:lineRule="auto"/>
        <w:rPr>
          <w:sz w:val="20"/>
          <w:szCs w:val="20"/>
          <w:color w:val="auto"/>
        </w:rPr>
      </w:pPr>
      <w:r>
        <w:rPr>
          <w:rFonts w:ascii="Times New Roman" w:cs="Times New Roman" w:eastAsia="Times New Roman" w:hAnsi="Times New Roman"/>
          <w:sz w:val="21"/>
          <w:szCs w:val="21"/>
          <w:color w:val="231F20"/>
        </w:rPr>
        <w:t xml:space="preserve">revocation period set forth in </w:t>
      </w:r>
      <w:r>
        <w:rPr>
          <w:rFonts w:ascii="Times New Roman" w:cs="Times New Roman" w:eastAsia="Times New Roman" w:hAnsi="Times New Roman"/>
          <w:sz w:val="21"/>
          <w:szCs w:val="21"/>
          <w:b w:val="1"/>
          <w:bCs w:val="1"/>
          <w:u w:val="single" w:color="auto"/>
          <w:color w:val="231F20"/>
        </w:rPr>
        <w:t>Attachment B</w:t>
      </w:r>
      <w:r>
        <w:rPr>
          <w:rFonts w:ascii="Times New Roman" w:cs="Times New Roman" w:eastAsia="Times New Roman" w:hAnsi="Times New Roman"/>
          <w:sz w:val="21"/>
          <w:szCs w:val="21"/>
          <w:color w:val="231F20"/>
        </w:rPr>
        <w:t>, provided that if the revocation period would end in a calendar year subsequent to the year containing the Separation Date, the payments described in this paragraph will not begin before the first Company payroll of such subsequent calendar year.</w:t>
      </w:r>
    </w:p>
    <w:p>
      <w:pPr>
        <w:spacing w:after="0" w:line="223" w:lineRule="exact"/>
        <w:rPr>
          <w:sz w:val="20"/>
          <w:szCs w:val="20"/>
          <w:color w:val="auto"/>
        </w:rPr>
      </w:pPr>
    </w:p>
    <w:p>
      <w:pPr>
        <w:jc w:val="both"/>
        <w:ind w:left="1560" w:right="20" w:hanging="351"/>
        <w:spacing w:after="0" w:line="233" w:lineRule="auto"/>
        <w:tabs>
          <w:tab w:leader="none" w:pos="1560" w:val="left"/>
        </w:tabs>
        <w:numPr>
          <w:ilvl w:val="1"/>
          <w:numId w:val="80"/>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Provided that you properly and timely elect to continue your group medical insurance coverage under COBRA, the Company will contribute towards the cost of such COBRA coverage in the same amount as if you were actively employed, plus any COBRA administration fees, until the earlier of (i) the one year anniversary of the Separation Date; or (ii) the date you become eligible for coverage under the group medical plan of another employer (the "COBRA Contribution Period"). During this COBRA Contribution Period, in order to continue receiving the benefit described in this paragraph, you will be required to pay the remaining cost of the COBRA premium, and you agree that your contribution may be taken by the Company directly from the salary continuation payments set forth above. After the COBRA Contribution Period, you will be responsible for the full cost of any such COBRA premiums. You agree to promptly notify the Company if you become eligible under the group health plan of another employer during the period in which the Company is subsidizing your COBRA premiums.</w:t>
      </w:r>
    </w:p>
    <w:p>
      <w:pPr>
        <w:spacing w:after="0" w:line="238" w:lineRule="exact"/>
        <w:rPr>
          <w:rFonts w:ascii="Cambria" w:cs="Cambria" w:eastAsia="Cambria" w:hAnsi="Cambria"/>
          <w:sz w:val="21"/>
          <w:szCs w:val="21"/>
          <w:b w:val="1"/>
          <w:bCs w:val="1"/>
          <w:color w:val="231F20"/>
        </w:rPr>
      </w:pPr>
    </w:p>
    <w:p>
      <w:pPr>
        <w:jc w:val="both"/>
        <w:ind w:left="1560" w:right="20" w:hanging="351"/>
        <w:spacing w:after="0" w:line="236" w:lineRule="auto"/>
        <w:tabs>
          <w:tab w:leader="none" w:pos="1560" w:val="left"/>
        </w:tabs>
        <w:numPr>
          <w:ilvl w:val="1"/>
          <w:numId w:val="80"/>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The Company will permit you to exercise the stock options that you previously received under the Company's incentive equity plan, to the extent vested and exercisable as of the Separation Date (the "</w:t>
      </w:r>
      <w:r>
        <w:rPr>
          <w:rFonts w:ascii="Times New Roman" w:cs="Times New Roman" w:eastAsia="Times New Roman" w:hAnsi="Times New Roman"/>
          <w:sz w:val="22"/>
          <w:szCs w:val="22"/>
          <w:u w:val="single" w:color="auto"/>
          <w:color w:val="231F20"/>
        </w:rPr>
        <w:t>Vested Options</w:t>
      </w:r>
      <w:r>
        <w:rPr>
          <w:rFonts w:ascii="Times New Roman" w:cs="Times New Roman" w:eastAsia="Times New Roman" w:hAnsi="Times New Roman"/>
          <w:sz w:val="22"/>
          <w:szCs w:val="22"/>
          <w:color w:val="231F20"/>
        </w:rPr>
        <w:t>"), and not subsequently forfeited under the terms of the equity plan and award agreements governing the Vested Options, until the earlier of (i) one hundred eighty</w:t>
      </w:r>
    </w:p>
    <w:p>
      <w:pPr>
        <w:jc w:val="both"/>
        <w:ind w:left="1560" w:right="20" w:firstLine="4"/>
        <w:spacing w:after="0" w:line="232" w:lineRule="auto"/>
        <w:tabs>
          <w:tab w:leader="none" w:pos="2117" w:val="left"/>
        </w:tabs>
        <w:numPr>
          <w:ilvl w:val="2"/>
          <w:numId w:val="8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days after the Separation Date, (ii) the last possible date on which the Vested Options expire under Sections 3(c) (as amended by item 3c(i) above) upon your violation of the Employee Confidentiality and Assignment Agreement, 3(d), or 3(e) of the applicable Award Agreements or (iii) the Final Exercise Date as defined in the applicable Award Agreements. The Vested Options will expire and be forfeited for no consideration to the extent they are not exercised by you within the extended exercise period described in the preceding sentence, in accordance with the terms and conditions of their governing documents.</w:t>
      </w:r>
    </w:p>
    <w:p>
      <w:pPr>
        <w:spacing w:after="0" w:line="248" w:lineRule="exact"/>
        <w:rPr>
          <w:rFonts w:ascii="Times New Roman" w:cs="Times New Roman" w:eastAsia="Times New Roman" w:hAnsi="Times New Roman"/>
          <w:sz w:val="22"/>
          <w:szCs w:val="22"/>
          <w:color w:val="231F20"/>
        </w:rPr>
      </w:pPr>
    </w:p>
    <w:p>
      <w:pPr>
        <w:jc w:val="both"/>
        <w:ind w:left="1560" w:right="20" w:hanging="351"/>
        <w:spacing w:after="0" w:line="244" w:lineRule="auto"/>
        <w:tabs>
          <w:tab w:leader="none" w:pos="1560" w:val="left"/>
        </w:tabs>
        <w:numPr>
          <w:ilvl w:val="1"/>
          <w:numId w:val="80"/>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The Company will instruct its Executive Team and Board of Directors not to make or publish any written or oral disparaging or defamatory statements, including online or in social media, regarding you to any outside third parties.</w:t>
      </w:r>
    </w:p>
    <w:p>
      <w:pPr>
        <w:spacing w:after="0" w:line="227" w:lineRule="exact"/>
        <w:rPr>
          <w:rFonts w:ascii="Cambria" w:cs="Cambria" w:eastAsia="Cambria" w:hAnsi="Cambria"/>
          <w:sz w:val="21"/>
          <w:szCs w:val="21"/>
          <w:b w:val="1"/>
          <w:bCs w:val="1"/>
          <w:color w:val="231F20"/>
        </w:rPr>
      </w:pPr>
    </w:p>
    <w:p>
      <w:pPr>
        <w:jc w:val="both"/>
        <w:ind w:left="480" w:firstLine="729"/>
        <w:spacing w:after="0" w:line="233" w:lineRule="auto"/>
        <w:tabs>
          <w:tab w:leader="none" w:pos="1938" w:val="left"/>
        </w:tabs>
        <w:numPr>
          <w:ilvl w:val="0"/>
          <w:numId w:val="81"/>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 xml:space="preserve">You understand and agree that you would not receive the Severance Benefits specified in paragraph 3 above, except for your timely execution and non- revocation of this Letter Agreement and the fulfillment of the promises contained therein. In signing this Letter Agreement, you agree to perform the following as a condition to your receipt of the Severance Benefits: (a) upon your separation, promptly returning all Company-provided technology in proper condition subject to normal wear and tear (b) upon your separation, immediately returning any other Company property in your possession, (c) satisfactorily performing any job duties or other transitional tasks asked of you by the Company through the Separation Date including as set forth in </w:t>
      </w:r>
      <w:r>
        <w:rPr>
          <w:rFonts w:ascii="Times New Roman" w:cs="Times New Roman" w:eastAsia="Times New Roman" w:hAnsi="Times New Roman"/>
          <w:sz w:val="22"/>
          <w:szCs w:val="22"/>
          <w:b w:val="1"/>
          <w:bCs w:val="1"/>
          <w:u w:val="single" w:color="auto"/>
          <w:color w:val="231F20"/>
        </w:rPr>
        <w:t>Attachment A</w:t>
      </w:r>
      <w:r>
        <w:rPr>
          <w:rFonts w:ascii="Times New Roman" w:cs="Times New Roman" w:eastAsia="Times New Roman" w:hAnsi="Times New Roman"/>
          <w:sz w:val="22"/>
          <w:szCs w:val="22"/>
          <w:color w:val="231F20"/>
        </w:rPr>
        <w:t>, (d) refraining from acts that are intended to cause, or that do cause, damage to the Company, its property (tangible and intangible) and its employees, and (e) not making or publishing any written or oral disparaging or defamatory statements, including online or in social media, regarding the Company, and its current and former employees, officers, directors and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55245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351" w:right="459" w:bottom="1440" w:gutter="0" w:footer="0" w:header="0"/>
        </w:sectPr>
      </w:pPr>
    </w:p>
    <w:bookmarkStart w:id="173" w:name="page174"/>
    <w:bookmarkEnd w:id="173"/>
    <w:p>
      <w:pPr>
        <w:jc w:val="both"/>
        <w:ind w:left="480" w:firstLine="729"/>
        <w:spacing w:after="0" w:line="232" w:lineRule="auto"/>
        <w:tabs>
          <w:tab w:leader="none" w:pos="1937" w:val="left"/>
        </w:tabs>
        <w:numPr>
          <w:ilvl w:val="0"/>
          <w:numId w:val="82"/>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In consideration of the payments and other consideration to be made by the Company to you as set forth in paragraph 3 above and the promises contained in this Letter Agreement, you, except as provided below, voluntarily and of your own freewill hereby release, forever discharge and hold harmless Fulcrum Therapeutics, Inc., its parents, subsidiaries, divisions and affiliates, its present or former officers, directors, trustees, employees, agents, insurers, or successors or assigns (the "Releasees") from any and all claims, demands, rules or regulations, or any other causes of action of whatever nature that exist as of the date of this Letter Agreement, whether known or unknown, including, but not limited to, the National Labor Relations Act, as amended; Title VII of the Civil Rights Act of 1964, as amended; Sections 1981 through 1988 of Title 42 of the United States Code, as amended; the Age Discrimination in Employment Act of 1967, as amended; the Older Workers Benefit Protection Act; the Immigration Reform Control Act,</w:t>
      </w:r>
    </w:p>
    <w:p>
      <w:pPr>
        <w:spacing w:after="0" w:line="8" w:lineRule="exact"/>
        <w:rPr>
          <w:rFonts w:ascii="Cambria" w:cs="Cambria" w:eastAsia="Cambria" w:hAnsi="Cambria"/>
          <w:sz w:val="21"/>
          <w:szCs w:val="21"/>
          <w:b w:val="1"/>
          <w:bCs w:val="1"/>
          <w:color w:val="231F20"/>
        </w:rPr>
      </w:pPr>
    </w:p>
    <w:p>
      <w:pPr>
        <w:jc w:val="both"/>
        <w:ind w:left="480"/>
        <w:spacing w:after="0" w:line="242" w:lineRule="auto"/>
        <w:rPr>
          <w:rFonts w:ascii="Cambria" w:cs="Cambria" w:eastAsia="Cambria" w:hAnsi="Cambria"/>
          <w:sz w:val="21"/>
          <w:szCs w:val="21"/>
          <w:b w:val="1"/>
          <w:bCs w:val="1"/>
          <w:color w:val="231F20"/>
        </w:rPr>
      </w:pPr>
      <w:r>
        <w:rPr>
          <w:rFonts w:ascii="Times New Roman" w:cs="Times New Roman" w:eastAsia="Times New Roman" w:hAnsi="Times New Roman"/>
          <w:sz w:val="21"/>
          <w:szCs w:val="21"/>
          <w:color w:val="231F20"/>
        </w:rPr>
        <w:t xml:space="preserve">as amended; the Employee Retirement Income Security Act of 1974, 29 U.S.C. § 1001, </w:t>
      </w:r>
      <w:r>
        <w:rPr>
          <w:rFonts w:ascii="Times New Roman" w:cs="Times New Roman" w:eastAsia="Times New Roman" w:hAnsi="Times New Roman"/>
          <w:sz w:val="21"/>
          <w:szCs w:val="21"/>
          <w:u w:val="single" w:color="auto"/>
          <w:color w:val="231F20"/>
        </w:rPr>
        <w:t>et seq</w:t>
      </w:r>
      <w:r>
        <w:rPr>
          <w:rFonts w:ascii="Times New Roman" w:cs="Times New Roman" w:eastAsia="Times New Roman" w:hAnsi="Times New Roman"/>
          <w:sz w:val="21"/>
          <w:szCs w:val="21"/>
          <w:color w:val="231F20"/>
        </w:rPr>
        <w:t xml:space="preserve">.; the Occupational Safety and Health Act, as amended; the Civil Rights Act of 1866, 29 U.S.C. § 1981, </w:t>
      </w:r>
      <w:r>
        <w:rPr>
          <w:rFonts w:ascii="Times New Roman" w:cs="Times New Roman" w:eastAsia="Times New Roman" w:hAnsi="Times New Roman"/>
          <w:sz w:val="21"/>
          <w:szCs w:val="21"/>
          <w:u w:val="single" w:color="auto"/>
          <w:color w:val="231F20"/>
        </w:rPr>
        <w:t>et seq.</w:t>
      </w:r>
      <w:r>
        <w:rPr>
          <w:rFonts w:ascii="Times New Roman" w:cs="Times New Roman" w:eastAsia="Times New Roman" w:hAnsi="Times New Roman"/>
          <w:sz w:val="21"/>
          <w:szCs w:val="21"/>
          <w:color w:val="231F20"/>
        </w:rPr>
        <w:t xml:space="preserve">; the Rehabilitation Act of 1973, 29 U.S.C. § 701, </w:t>
      </w:r>
      <w:r>
        <w:rPr>
          <w:rFonts w:ascii="Times New Roman" w:cs="Times New Roman" w:eastAsia="Times New Roman" w:hAnsi="Times New Roman"/>
          <w:sz w:val="21"/>
          <w:szCs w:val="21"/>
          <w:u w:val="single" w:color="auto"/>
          <w:color w:val="231F20"/>
        </w:rPr>
        <w:t>et seq</w:t>
      </w:r>
      <w:r>
        <w:rPr>
          <w:rFonts w:ascii="Times New Roman" w:cs="Times New Roman" w:eastAsia="Times New Roman" w:hAnsi="Times New Roman"/>
          <w:sz w:val="21"/>
          <w:szCs w:val="21"/>
          <w:color w:val="231F20"/>
        </w:rPr>
        <w:t xml:space="preserve">.; the Americans With Disabilities Act of 1990, as amended; the Civil Rights Act of 1991; the Massachusetts Law Against Discrimination, G.L. c. 151B; the Massachusetts Wage Payment Statutes, G.L. c. 149, §§ 148, 148A, 148B, 149, 150, 150A-150C, 151, 152, 152A, </w:t>
      </w:r>
      <w:r>
        <w:rPr>
          <w:rFonts w:ascii="Times New Roman" w:cs="Times New Roman" w:eastAsia="Times New Roman" w:hAnsi="Times New Roman"/>
          <w:sz w:val="21"/>
          <w:szCs w:val="21"/>
          <w:u w:val="single" w:color="auto"/>
          <w:color w:val="231F20"/>
        </w:rPr>
        <w:t>et seq</w:t>
      </w:r>
      <w:r>
        <w:rPr>
          <w:rFonts w:ascii="Times New Roman" w:cs="Times New Roman" w:eastAsia="Times New Roman" w:hAnsi="Times New Roman"/>
          <w:sz w:val="21"/>
          <w:szCs w:val="21"/>
          <w:color w:val="231F20"/>
        </w:rPr>
        <w:t xml:space="preserve">.; the Massachusetts Wage and Hour Laws, G.L. c. 151§1A </w:t>
      </w:r>
      <w:r>
        <w:rPr>
          <w:rFonts w:ascii="Times New Roman" w:cs="Times New Roman" w:eastAsia="Times New Roman" w:hAnsi="Times New Roman"/>
          <w:sz w:val="21"/>
          <w:szCs w:val="21"/>
          <w:u w:val="single" w:color="auto"/>
          <w:color w:val="231F20"/>
        </w:rPr>
        <w:t>et seq</w:t>
      </w:r>
      <w:r>
        <w:rPr>
          <w:rFonts w:ascii="Times New Roman" w:cs="Times New Roman" w:eastAsia="Times New Roman" w:hAnsi="Times New Roman"/>
          <w:sz w:val="21"/>
          <w:szCs w:val="21"/>
          <w:color w:val="231F20"/>
        </w:rPr>
        <w:t xml:space="preserve">.; the Massachusetts Privacy Statute, G.L. c. 214, § 1B; the Massachusetts Sexual Harassment Statute, G.L. c. 214 § 1C; the Massachusetts Civil Rights Act, G.L. c. 12, § 11H, the Massachusetts Equal Rights Act, G.L. c. 93, § 102; the Massachusetts Equal Pay Act, G.L. c. 149, § 105A; the Massachusetts Parental Leave Act, G.L. c. 149, §105D; the Massachusetts Family and Medical Leave Law, G.L. c. 175M; or any other federal or state law, regulation, or ordinance; any public policy, contract, tort, or common law; or any allegation for costs, fees, or other expenses including attorneys' fees incurred in these matters. Notwithstanding anything to the contrary contained in the Letter Agreement, you are not releasing or waiving the following rights or claims: (a) your own vested accrued employee benefits under the Company's health, welfare or retirement benefit plans; (b) claims to the Vested Options, subject to the terms of their governing documents, including but not limited to the Company's 2019 Stock Incentive Plan, as amended by this Letter Agreement; (c) benefits and/or the right to seek benefits under applicable workers' compensation and/or unemployment compensation statutes; (d) claims which by law cannot be waived by signing this Letter Agreement; (e) claims for breach of this Letter Agreement or to enforce this Letter Agreement; (f) any claims arising solely after the execution of this Letter Agreement; (g) claims under </w:t>
      </w:r>
      <w:r>
        <w:rPr>
          <w:rFonts w:ascii="Times New Roman" w:cs="Times New Roman" w:eastAsia="Times New Roman" w:hAnsi="Times New Roman"/>
          <w:sz w:val="21"/>
          <w:szCs w:val="21"/>
          <w:color w:val="1F285C"/>
        </w:rPr>
        <w:t>ERISA § 502(a)(1)(B), 29 U.S.C. § 1132(a)(1)(B)</w:t>
      </w:r>
      <w:r>
        <w:rPr>
          <w:rFonts w:ascii="Times New Roman" w:cs="Times New Roman" w:eastAsia="Times New Roman" w:hAnsi="Times New Roman"/>
          <w:sz w:val="21"/>
          <w:szCs w:val="21"/>
          <w:color w:val="231F20"/>
        </w:rPr>
        <w:t>; (h) any rights and/or claims you may have under the Consolidated Omnibus Budget Reconciliation Act of 1985 ("COBRA"); (i) claims for reimbursement of approved business expenses incurred prior to the date of this Letter Agreement under and subject to the Company's business expense reimbursement policy; (j) rights, if any, to defense and indemnification from the Company or its insurers for actions taken by you in the course and scope of your employment with the Company under and subject to the applicable Company policy; and (k) any right you may have to obtain contribution as permitted by law in the event of entry of judgment against you as a result of any act or failure to act for which you and the Company or its past, present and future trustees, officers, directors, agents, administrators, representatives, employees, affiliates, or insurers are held jointly liable.</w:t>
      </w:r>
    </w:p>
    <w:p>
      <w:pPr>
        <w:spacing w:after="0" w:line="219" w:lineRule="exact"/>
        <w:rPr>
          <w:sz w:val="20"/>
          <w:szCs w:val="20"/>
          <w:color w:val="auto"/>
        </w:rPr>
      </w:pPr>
    </w:p>
    <w:p>
      <w:pPr>
        <w:jc w:val="both"/>
        <w:ind w:left="480" w:right="20" w:firstLine="1456"/>
        <w:spacing w:after="0" w:line="238" w:lineRule="auto"/>
        <w:rPr>
          <w:sz w:val="20"/>
          <w:szCs w:val="20"/>
          <w:color w:val="auto"/>
        </w:rPr>
      </w:pPr>
      <w:r>
        <w:rPr>
          <w:rFonts w:ascii="Times New Roman" w:cs="Times New Roman" w:eastAsia="Times New Roman" w:hAnsi="Times New Roman"/>
          <w:sz w:val="22"/>
          <w:szCs w:val="22"/>
          <w:color w:val="231F20"/>
        </w:rPr>
        <w:t>For the avoidance of doubt, this general release is intended to release any and all claims you may have under the Massachusetts Wage Act and is intended to resolve any and all disputes related to wages, commissions, bonuses or other compensation of any kind.</w:t>
      </w:r>
    </w:p>
    <w:p>
      <w:pPr>
        <w:ind w:left="1940"/>
        <w:spacing w:after="0"/>
        <w:rPr>
          <w:sz w:val="20"/>
          <w:szCs w:val="20"/>
          <w:color w:val="auto"/>
        </w:rPr>
      </w:pPr>
      <w:r>
        <w:rPr>
          <w:rFonts w:ascii="Times New Roman" w:cs="Times New Roman" w:eastAsia="Times New Roman" w:hAnsi="Times New Roman"/>
          <w:sz w:val="22"/>
          <w:szCs w:val="22"/>
          <w:color w:val="231F20"/>
        </w:rPr>
        <w:t>In addition, you agree that if any claim is not subject to release,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51435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625" w:right="479" w:bottom="1440" w:gutter="0" w:footer="0" w:header="0"/>
        </w:sectPr>
      </w:pPr>
    </w:p>
    <w:bookmarkStart w:id="174" w:name="page175"/>
    <w:bookmarkEnd w:id="174"/>
    <w:p>
      <w:pPr>
        <w:jc w:val="both"/>
        <w:ind w:left="480" w:right="20"/>
        <w:spacing w:after="0" w:line="244" w:lineRule="auto"/>
        <w:rPr>
          <w:sz w:val="20"/>
          <w:szCs w:val="20"/>
          <w:color w:val="auto"/>
        </w:rPr>
      </w:pPr>
      <w:r>
        <w:rPr>
          <w:rFonts w:ascii="Times New Roman" w:cs="Times New Roman" w:eastAsia="Times New Roman" w:hAnsi="Times New Roman"/>
          <w:sz w:val="22"/>
          <w:szCs w:val="22"/>
          <w:color w:val="231F20"/>
        </w:rPr>
        <w:t>permitted by law, you waive any right or ability to be a class or collective action representative or to otherwise participate in any putative or certified class, collective or multi-party action or proceeding based on such a claim in which the Company or any other Releasee identified in this Letter Agreement is a party.</w:t>
      </w:r>
    </w:p>
    <w:p>
      <w:pPr>
        <w:spacing w:after="0" w:line="227" w:lineRule="exact"/>
        <w:rPr>
          <w:sz w:val="20"/>
          <w:szCs w:val="20"/>
          <w:color w:val="auto"/>
        </w:rPr>
      </w:pPr>
    </w:p>
    <w:p>
      <w:pPr>
        <w:jc w:val="both"/>
        <w:ind w:left="480" w:firstLine="729"/>
        <w:spacing w:after="0" w:line="232" w:lineRule="auto"/>
        <w:tabs>
          <w:tab w:leader="none" w:pos="1937" w:val="left"/>
        </w:tabs>
        <w:numPr>
          <w:ilvl w:val="0"/>
          <w:numId w:val="83"/>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You agree not to disclose to anyone, either directly or indirectly, any information whatsoever regarding the existence or substance of this Letter Agreement, except your immediate family, attorneys, financial advisors, accountants, and tax preparation professionals, provided that they agree to keep such information strictly confidential. This includes, but is not limited to, present or former employees of the Company and other members of the public. You may also disclose this Letter Agreement to a state agency if required as part of an application for unemployment compensation benefits. You further agree not to make or publish any written or oral disparaging or defamatory statements, including online or in social media, regarding the Company, and its current and former employees, officers, directors and agents. You understand and agree that your obligations under this paragraph are material terms of this Letter Agreement, and that the Company shall have the right, in addition to any other damages, to cease all Severance Benefits and seek and obtain the return of any already provided Severance Benefits (without impacting the validity or enforceability of the general release contained herein), in the event you breach any of your obligations under this paragraph. If any party to this Letter Agreement seeks to enforce its rights under this Letter Agreement by legal proceedings or otherwise, the substantially non-prevailing party (including in any action for preliminary injunctive relief), as determined by the court, shall pay the reasonable attorneys' fees, costs and expenses of the prevailing party.</w:t>
      </w:r>
    </w:p>
    <w:p>
      <w:pPr>
        <w:spacing w:after="0" w:line="164" w:lineRule="exact"/>
        <w:rPr>
          <w:rFonts w:ascii="Cambria" w:cs="Cambria" w:eastAsia="Cambria" w:hAnsi="Cambria"/>
          <w:sz w:val="21"/>
          <w:szCs w:val="21"/>
          <w:b w:val="1"/>
          <w:bCs w:val="1"/>
          <w:color w:val="231F20"/>
        </w:rPr>
      </w:pPr>
    </w:p>
    <w:p>
      <w:pPr>
        <w:jc w:val="both"/>
        <w:ind w:left="480" w:firstLine="729"/>
        <w:spacing w:after="0" w:line="233" w:lineRule="auto"/>
        <w:tabs>
          <w:tab w:leader="none" w:pos="1936" w:val="left"/>
        </w:tabs>
        <w:numPr>
          <w:ilvl w:val="0"/>
          <w:numId w:val="83"/>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You hereby acknowledge and reaffirm the validity of the Employee Confidentiality and Assignment Agreement between you and the Company, the terms and conditions of which are incorporated herein by reference and remain in full force and effect for the full term stated therein. You further agree that you shall abide by any and all common-law and statutory obligations relating to protection and non-disclosure of trade secrets and confidential and proprietary documents and information. You understand that the Company would not provide you with the monies and benefits under this Letter Agreement but for your reaffirmation of these obligations. You further understand and agree that your obligations under this paragraph are material terms of this Letter Agreement, and that the Company shall have the right, in addition to any other damages, to seek and obtain the return of the consideration paid hereunder (without impacting the validity or enforceability of the general release contained herein) in the event you breach any of your obligations under this paragraph.</w:t>
      </w:r>
    </w:p>
    <w:p>
      <w:pPr>
        <w:spacing w:after="0" w:line="254" w:lineRule="exact"/>
        <w:rPr>
          <w:rFonts w:ascii="Cambria" w:cs="Cambria" w:eastAsia="Cambria" w:hAnsi="Cambria"/>
          <w:sz w:val="21"/>
          <w:szCs w:val="21"/>
          <w:b w:val="1"/>
          <w:bCs w:val="1"/>
          <w:color w:val="231F20"/>
        </w:rPr>
      </w:pPr>
    </w:p>
    <w:p>
      <w:pPr>
        <w:jc w:val="both"/>
        <w:ind w:left="480" w:firstLine="729"/>
        <w:spacing w:after="0" w:line="236" w:lineRule="auto"/>
        <w:tabs>
          <w:tab w:leader="none" w:pos="1937" w:val="left"/>
        </w:tabs>
        <w:numPr>
          <w:ilvl w:val="0"/>
          <w:numId w:val="83"/>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You acknowledge that you are being provided a period of 21 days from receipt of this Letter Agreement to consider the meaning and effect of this Letter Agreement. You are hereby advised to consult with an attorney and acknowledge that you have had the opportunity to do so. You agree that any modifications, material or otherwise, did not restart or affect in any manner the original consideration period for the severance proposal made to you. This Letter Agreement shall have no force or effect if you do not sign it during the 21-day consideration period, or prior to your Separation Date.</w:t>
      </w:r>
    </w:p>
    <w:p>
      <w:pPr>
        <w:spacing w:after="0" w:line="329" w:lineRule="exact"/>
        <w:rPr>
          <w:rFonts w:ascii="Cambria" w:cs="Cambria" w:eastAsia="Cambria" w:hAnsi="Cambria"/>
          <w:sz w:val="21"/>
          <w:szCs w:val="21"/>
          <w:b w:val="1"/>
          <w:bCs w:val="1"/>
          <w:color w:val="231F20"/>
        </w:rPr>
      </w:pPr>
    </w:p>
    <w:p>
      <w:pPr>
        <w:jc w:val="both"/>
        <w:ind w:left="480" w:firstLine="729"/>
        <w:spacing w:after="0" w:line="238" w:lineRule="auto"/>
        <w:tabs>
          <w:tab w:leader="none" w:pos="1937" w:val="left"/>
        </w:tabs>
        <w:numPr>
          <w:ilvl w:val="0"/>
          <w:numId w:val="83"/>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You may revoke this Letter Agreement for a period of seven (7) days following the day you execute this Letter Agreement. Any revocation within this period must be submitted, in writing, to Kim Hazen, Chief People Officer, Fulcrum Therapeutics, Inc., 26 Landsdowne Street, Cambridge, MA 02139 and state "I hereby revoke my acceptance of the Letter Agreement." The revocation must be delivered to Ms. Hazen at the Company by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48260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355" w:right="479" w:bottom="1440" w:gutter="0" w:footer="0" w:header="0"/>
        </w:sectPr>
      </w:pPr>
    </w:p>
    <w:bookmarkStart w:id="175" w:name="page176"/>
    <w:bookmarkEnd w:id="175"/>
    <w:p>
      <w:pPr>
        <w:jc w:val="both"/>
        <w:ind w:left="480"/>
        <w:spacing w:after="0" w:line="236" w:lineRule="auto"/>
        <w:rPr>
          <w:sz w:val="20"/>
          <w:szCs w:val="20"/>
          <w:color w:val="auto"/>
        </w:rPr>
      </w:pPr>
      <w:r>
        <w:rPr>
          <w:rFonts w:ascii="Times New Roman" w:cs="Times New Roman" w:eastAsia="Times New Roman" w:hAnsi="Times New Roman"/>
          <w:sz w:val="22"/>
          <w:szCs w:val="22"/>
          <w:color w:val="231F20"/>
        </w:rPr>
        <w:t>( ), and regular mail postmarked within seven (7) days after execution of this Letter Agreement. The Letter Agreement shall not become effective or enforceable until the revocation period has expired (the "Effective Date"). If the last day of the revocation period is a Saturday, Sunday or legal holiday in Massachusetts, then the revocation period shall not expire until the next following day which is not a Saturday, Sunday or legal holiday in Massachusetts. If you revoke your acceptance of this Letter Agreement, you shall not be entitled to the monies and/or benefits set forth in paragraph 3 above.</w:t>
      </w:r>
    </w:p>
    <w:p>
      <w:pPr>
        <w:spacing w:after="0" w:line="235" w:lineRule="exact"/>
        <w:rPr>
          <w:sz w:val="20"/>
          <w:szCs w:val="20"/>
          <w:color w:val="auto"/>
        </w:rPr>
      </w:pPr>
    </w:p>
    <w:p>
      <w:pPr>
        <w:jc w:val="both"/>
        <w:ind w:left="480" w:right="20" w:firstLine="729"/>
        <w:spacing w:after="0" w:line="235" w:lineRule="auto"/>
        <w:tabs>
          <w:tab w:leader="none" w:pos="1936" w:val="left"/>
        </w:tabs>
        <w:numPr>
          <w:ilvl w:val="0"/>
          <w:numId w:val="84"/>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 xml:space="preserve">This Letter Agreement, which will be construed under Massachusetts law, may not be modified, altered, or changed except upon express written consent of both parties wherein specific reference is made to this Letter Agreement. You agree that any claims or causes of action which arise out of or relate in any way to this Letter Agreement shall be instituted and litigated only in, and you voluntarily submit to the jurisdiction over your person by, the courts of the Commonwealth of Massachusetts, or if appropriate, a federal court located in Massachusetts (which courts, for purposes of this Letter Agreement, are the only courts of competent jurisdiction). </w:t>
      </w:r>
      <w:r>
        <w:rPr>
          <w:rFonts w:ascii="Times New Roman" w:cs="Times New Roman" w:eastAsia="Times New Roman" w:hAnsi="Times New Roman"/>
          <w:sz w:val="22"/>
          <w:szCs w:val="22"/>
          <w:b w:val="1"/>
          <w:bCs w:val="1"/>
          <w:u w:val="single" w:color="auto"/>
          <w:color w:val="231F20"/>
        </w:rPr>
        <w:t>You and the Company waive the right to a trial by jury with respect to</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b w:val="1"/>
          <w:bCs w:val="1"/>
          <w:u w:val="single" w:color="auto"/>
          <w:color w:val="231F20"/>
        </w:rPr>
        <w:t>any such claims or causes of action or other proceeding</w:t>
      </w:r>
      <w:r>
        <w:rPr>
          <w:rFonts w:ascii="Times New Roman" w:cs="Times New Roman" w:eastAsia="Times New Roman" w:hAnsi="Times New Roman"/>
          <w:sz w:val="22"/>
          <w:szCs w:val="22"/>
          <w:color w:val="231F20"/>
        </w:rPr>
        <w:t>.</w:t>
      </w:r>
    </w:p>
    <w:p>
      <w:pPr>
        <w:spacing w:after="0" w:line="164" w:lineRule="exact"/>
        <w:rPr>
          <w:rFonts w:ascii="Cambria" w:cs="Cambria" w:eastAsia="Cambria" w:hAnsi="Cambria"/>
          <w:sz w:val="21"/>
          <w:szCs w:val="21"/>
          <w:b w:val="1"/>
          <w:bCs w:val="1"/>
          <w:color w:val="231F20"/>
        </w:rPr>
      </w:pPr>
    </w:p>
    <w:p>
      <w:pPr>
        <w:jc w:val="both"/>
        <w:ind w:left="480" w:firstLine="729"/>
        <w:spacing w:after="0" w:line="232" w:lineRule="auto"/>
        <w:tabs>
          <w:tab w:leader="none" w:pos="1937" w:val="left"/>
        </w:tabs>
        <w:numPr>
          <w:ilvl w:val="0"/>
          <w:numId w:val="84"/>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Nothing in this Letter Agreement prohibits or prevents you from filing a charge with or participating, testifying, or assisting in any investigation, hearing, or other proceeding before the U.S. Equal Employment Opportunity Commission, the National Labor Relations Board or a similar agency enforcing federal, state or local anti- discrimination laws. However, to the maximum extent permitted by law, you agree that if such an administrative claim is made to such an anti-discrimination agency, you shall not be entitled to recover any individual monetary relief or other individual remedies. In addition, nothing in this Letter Agreement, including but not limited to the release of claims nor the confidentiality and non-disparagement clauses, prohibits you from: (1) reporting possible violations of federal law or regulations, including any possible securities laws violations, to any governmental agency or entity, including but not limited to the U.S. Department of Justice, the U.S. Securities and Exchange Commission, the U.S. Congress, or any agency Inspector General; (2) making any other disclosures that are protected under the whistleblower provisions of federal law or regulations; or (3) otherwise fully participating in any federal whistleblower programs, including but not limited to any such programs managed by the U.S. Securities and Exchange Commission and/or the Occupational Safety and Health Administration. Moreover, nothing in this Letter Agreement prohibits or prevents you from receiving individual monetary awards or other individual relief by virtue of participating in such federal whistleblower programs.</w:t>
      </w:r>
    </w:p>
    <w:p>
      <w:pPr>
        <w:spacing w:after="0" w:line="177" w:lineRule="exact"/>
        <w:rPr>
          <w:rFonts w:ascii="Cambria" w:cs="Cambria" w:eastAsia="Cambria" w:hAnsi="Cambria"/>
          <w:sz w:val="21"/>
          <w:szCs w:val="21"/>
          <w:b w:val="1"/>
          <w:bCs w:val="1"/>
          <w:color w:val="231F20"/>
        </w:rPr>
      </w:pPr>
    </w:p>
    <w:p>
      <w:pPr>
        <w:jc w:val="both"/>
        <w:ind w:left="480" w:firstLine="729"/>
        <w:spacing w:after="0" w:line="234" w:lineRule="auto"/>
        <w:tabs>
          <w:tab w:leader="none" w:pos="1937" w:val="left"/>
        </w:tabs>
        <w:numPr>
          <w:ilvl w:val="0"/>
          <w:numId w:val="84"/>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You affirm that you have been paid and have received all leave (paid or unpaid), compensation, wages, bonuses, commissions, severance pay, and/or benefits to which you may be entitled and that no other leave (paid or unpaid), compensation, wages, bonuses, commissions, severance pay, and/or benefits are due to you, except as provided in this Letter Agreement. You further affirm that you have no known workplace injuries or occupational diseases. You also affirm that you have not been retaliated against for reporting any allegations of wrongdoing by the Company or its officers, including any allegations of corporate fraud. In addition, you affirm that all decisions regarding your pay and benefits through the date of your execution of this Letter Agreement were not discriminatory based on age, disability, race, color, sex, religion, national origin or any other classification protected by law.</w:t>
      </w:r>
    </w:p>
    <w:p>
      <w:pPr>
        <w:spacing w:after="0" w:line="183" w:lineRule="exact"/>
        <w:rPr>
          <w:rFonts w:ascii="Cambria" w:cs="Cambria" w:eastAsia="Cambria" w:hAnsi="Cambria"/>
          <w:sz w:val="21"/>
          <w:szCs w:val="21"/>
          <w:b w:val="1"/>
          <w:bCs w:val="1"/>
          <w:color w:val="231F20"/>
        </w:rPr>
      </w:pPr>
    </w:p>
    <w:p>
      <w:pPr>
        <w:jc w:val="both"/>
        <w:ind w:left="480" w:right="20" w:firstLine="729"/>
        <w:spacing w:after="0" w:line="244" w:lineRule="auto"/>
        <w:tabs>
          <w:tab w:leader="none" w:pos="1936" w:val="left"/>
        </w:tabs>
        <w:numPr>
          <w:ilvl w:val="0"/>
          <w:numId w:val="84"/>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You agree that neither this Letter Agreement, nor the furnishing of consideration for this Letter Agreement, shall be deemed or construed at any time for any purpose as an admission by the Company of any liability, wrongdoing, or unlawful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450" w:right="479" w:bottom="1440" w:gutter="0" w:footer="0" w:header="0"/>
        </w:sectPr>
      </w:pPr>
    </w:p>
    <w:bookmarkStart w:id="176" w:name="page177"/>
    <w:bookmarkEnd w:id="176"/>
    <w:p>
      <w:pPr>
        <w:ind w:left="480"/>
        <w:spacing w:after="0"/>
        <w:rPr>
          <w:sz w:val="20"/>
          <w:szCs w:val="20"/>
          <w:color w:val="auto"/>
        </w:rPr>
      </w:pPr>
      <w:r>
        <w:rPr>
          <w:rFonts w:ascii="Times New Roman" w:cs="Times New Roman" w:eastAsia="Times New Roman" w:hAnsi="Times New Roman"/>
          <w:sz w:val="22"/>
          <w:szCs w:val="22"/>
          <w:color w:val="231F20"/>
        </w:rPr>
        <w:t>of any kind.</w:t>
      </w:r>
    </w:p>
    <w:p>
      <w:pPr>
        <w:spacing w:after="0" w:line="260" w:lineRule="exact"/>
        <w:rPr>
          <w:sz w:val="20"/>
          <w:szCs w:val="20"/>
          <w:color w:val="auto"/>
        </w:rPr>
      </w:pPr>
    </w:p>
    <w:p>
      <w:pPr>
        <w:jc w:val="both"/>
        <w:ind w:left="480" w:firstLine="729"/>
        <w:spacing w:after="0" w:line="234" w:lineRule="auto"/>
        <w:tabs>
          <w:tab w:leader="none" w:pos="1937" w:val="left"/>
        </w:tabs>
        <w:numPr>
          <w:ilvl w:val="0"/>
          <w:numId w:val="85"/>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You agree to reasonably cooperate with the Company in the investigation, defense or prosecution of any claims, actions or other matters now in existence or which may be brought in the future against or on behalf of the Company. Your reasonable cooperation in connection with such claims or actions shall include, but not be limited to, being reasonably available to meet with the Company's counsel to prepare for discovery or any mediation, arbitration, trial, administrative hearing or other proceeding or to act as a witness when reasonably requested by the Company at mutually agreeable times and at locations mutually convenient to you and the Company. Nothing herein shall require you to provide anything other than truthful information. The Company will reimburse you for all reasonable out-of-pocket expenses incurred by you in connection with such cooperation.</w:t>
      </w:r>
    </w:p>
    <w:p>
      <w:pPr>
        <w:spacing w:after="0" w:line="183" w:lineRule="exact"/>
        <w:rPr>
          <w:rFonts w:ascii="Cambria" w:cs="Cambria" w:eastAsia="Cambria" w:hAnsi="Cambria"/>
          <w:sz w:val="21"/>
          <w:szCs w:val="21"/>
          <w:b w:val="1"/>
          <w:bCs w:val="1"/>
          <w:color w:val="231F20"/>
        </w:rPr>
      </w:pPr>
    </w:p>
    <w:p>
      <w:pPr>
        <w:jc w:val="both"/>
        <w:ind w:left="480" w:firstLine="729"/>
        <w:spacing w:after="0" w:line="236" w:lineRule="auto"/>
        <w:tabs>
          <w:tab w:leader="none" w:pos="1937" w:val="left"/>
        </w:tabs>
        <w:numPr>
          <w:ilvl w:val="0"/>
          <w:numId w:val="85"/>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This Letter Agreement represents the complete agreement between you and the Company, and fully supersedes any prior agreements or understandings between the parties including Employment Agreement dated March 19, 2021, except that your obligations under the Employee Confidentiality and Assignment Agreement referred to in paragraph 7 remain in full force and effect as provided therein. You acknowledge that you have not relied on any representations, promises, or agreements of any kind made to you in connection with your decision to sign this Letter Agreement, except those set forth herein.</w:t>
      </w:r>
    </w:p>
    <w:p>
      <w:pPr>
        <w:spacing w:after="0" w:line="167" w:lineRule="exact"/>
        <w:rPr>
          <w:rFonts w:ascii="Cambria" w:cs="Cambria" w:eastAsia="Cambria" w:hAnsi="Cambria"/>
          <w:sz w:val="21"/>
          <w:szCs w:val="21"/>
          <w:b w:val="1"/>
          <w:bCs w:val="1"/>
          <w:color w:val="231F20"/>
        </w:rPr>
      </w:pPr>
    </w:p>
    <w:p>
      <w:pPr>
        <w:jc w:val="both"/>
        <w:ind w:left="480" w:right="20" w:firstLine="729"/>
        <w:spacing w:after="0" w:line="236" w:lineRule="auto"/>
        <w:tabs>
          <w:tab w:leader="none" w:pos="1936" w:val="left"/>
        </w:tabs>
        <w:numPr>
          <w:ilvl w:val="0"/>
          <w:numId w:val="85"/>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Should any provision of this Letter Agreement be declared illegal or unenforceable by any court of competent jurisdiction and cannot be modified to be enforceable consistent with the intent of the parties, excluding the general release language, such provision shall immediately become null and void, leaving the remainder of this Letter Agreement in full force and effect. However, if the general release in Paragraph No. 5 is found to be invalid, you agree to execute a valid release of the claims that are the subject of this Letter Agreement and/or are referred to in the general release in Paragraph No. 5 above.</w:t>
      </w:r>
    </w:p>
    <w:p>
      <w:pPr>
        <w:spacing w:after="0" w:line="181" w:lineRule="exact"/>
        <w:rPr>
          <w:rFonts w:ascii="Cambria" w:cs="Cambria" w:eastAsia="Cambria" w:hAnsi="Cambria"/>
          <w:sz w:val="21"/>
          <w:szCs w:val="21"/>
          <w:b w:val="1"/>
          <w:bCs w:val="1"/>
          <w:color w:val="231F20"/>
        </w:rPr>
      </w:pPr>
    </w:p>
    <w:p>
      <w:pPr>
        <w:jc w:val="both"/>
        <w:ind w:left="480" w:right="20" w:firstLine="729"/>
        <w:spacing w:after="0" w:line="236" w:lineRule="auto"/>
        <w:tabs>
          <w:tab w:leader="none" w:pos="1935" w:val="left"/>
        </w:tabs>
        <w:numPr>
          <w:ilvl w:val="0"/>
          <w:numId w:val="85"/>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This Letter Agreement may be executed in counterparts, each of which when so executed shall be deemed an original, and the counterparts together shall constitute one and the same agreement. A copied, scanned, or faxed signature shall be treated the same as an original. Delivery of an executed counterpart's signature page of this Agreement, by facsimile, electronic mail in portable document format (.pdf), or by any other electronic means intended to preserve the original graphic and pictorial appearance of a document, has the same effect as delivery of an executed original of this Agreement.</w:t>
      </w:r>
    </w:p>
    <w:p>
      <w:pPr>
        <w:spacing w:after="0" w:line="181" w:lineRule="exact"/>
        <w:rPr>
          <w:rFonts w:ascii="Cambria" w:cs="Cambria" w:eastAsia="Cambria" w:hAnsi="Cambria"/>
          <w:sz w:val="21"/>
          <w:szCs w:val="21"/>
          <w:b w:val="1"/>
          <w:bCs w:val="1"/>
          <w:color w:val="231F20"/>
        </w:rPr>
      </w:pPr>
    </w:p>
    <w:p>
      <w:pPr>
        <w:jc w:val="both"/>
        <w:ind w:left="480" w:firstLine="729"/>
        <w:spacing w:after="0" w:line="233" w:lineRule="auto"/>
        <w:tabs>
          <w:tab w:leader="none" w:pos="1936" w:val="left"/>
        </w:tabs>
        <w:numPr>
          <w:ilvl w:val="0"/>
          <w:numId w:val="85"/>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Although the Company does not guarantee the tax treatment of any payments under the Letter Agreement, the intent of the parties is that the payments and benefits under this Letter Agreement be exempt from, or comply with, Section 409A of the Internal Revenue Code of 1986, as amended, and all Treasury Regulations and guidance promulgated thereunder ("Code Section 409A") and to the maximum extent permitted the Letter Agreement shall be limited, construed and interpreted in accordance with such intent. In no event whatsoever shall the Company or its affiliates or their respective officers, directors, employees or agents be liable for any additional tax, interest or penalties that may be imposed on you by Code Section 409A or damages for failing to comply with Code Section 409A. Notwithstanding anything in this Agreement or elsewhere to the contrary, a termination of employment will not be deemed to have occurred for purposes of any provision of this Agreement providing for the payment of any amounts or benefits that constitute nonqualified deferred compensation subject to Code Section 409A upon or following a termination of your employment unless such termination is also a "separation from service" within the meaning of Code Section 409A and, for purposes of any such provision of this Agreement, references to a "termination," "resignation", or like terms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50165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558" w:right="479" w:bottom="1440" w:gutter="0" w:footer="0" w:header="0"/>
        </w:sectPr>
      </w:pPr>
    </w:p>
    <w:bookmarkStart w:id="177" w:name="page178"/>
    <w:bookmarkEnd w:id="177"/>
    <w:p>
      <w:pPr>
        <w:jc w:val="both"/>
        <w:ind w:left="480"/>
        <w:spacing w:after="0" w:line="231" w:lineRule="auto"/>
        <w:rPr>
          <w:sz w:val="20"/>
          <w:szCs w:val="20"/>
          <w:color w:val="auto"/>
        </w:rPr>
      </w:pPr>
      <w:r>
        <w:rPr>
          <w:rFonts w:ascii="Times New Roman" w:cs="Times New Roman" w:eastAsia="Times New Roman" w:hAnsi="Times New Roman"/>
          <w:sz w:val="22"/>
          <w:szCs w:val="22"/>
          <w:color w:val="231F20"/>
        </w:rPr>
        <w:t>mean "separation from service" and the date of such separation from service will be the date of termination or resignation, as applicable, for purposes of any such payment or benefits. If a payment made under this Letter Agreement that is nonqualified deferred compensation subject to Code Section 409A may be made in more than one taxable year depending on when you execute this Letter Agreement, payment shall be made in the second taxable year. Notwithstanding any other provision of this Letter Agreement to the contrary, to the extent that any reimbursement of expenses constitutes "deferred compensation" under Code Section 409A, such reimbursement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 For purposes of Code Section 409A (including, without limitation, for purposes of Treasury Regulation Section 1.409A- 2(b)(2)(iii)), the right to receive payments in the form of installment payments shall be treated as a right to receive a series of separate payments and, accordingly, each installment payment shall at all times be considered a separate and distinct payment. Whenever a payment under this Letter Agreement may be paid within a specified period, the actual date of payment within the specified period shall be within the sole discretion of the Company. Notwithstanding any other provision of this Agreement to the contrary, if at the time of your separation from service (as defined in Code Section 409A), you are a "Specified Employee", then the Company will defer the payment or commencement of any nonqualified deferred compensation subject to Code Section 409A payable upon separation from service (without any reduction in such payments or benefits ultimately paid or provided to you) until the date that is six (6) months following separation from service or, if earlier, the earliest other date as is permitted under Code Section 409A (and any amounts that otherwise would have been paid during this deferral period will be paid in a lump sum on the day after the expiration of the six (6) month period or such shorter period, if applicable). You will be a "Specified Employee" for purposes of this Letter Agreement if, on the date of your separation from service, you are an individual who is, under the method of determination adopted by the Company designated as, or within the category of employees deemed to be, a "Specified Employee" within the meaning and in accordance with Treasury Regulation Section 1.409A-1(i).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733425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558" w:right="499" w:bottom="1440" w:gutter="0" w:footer="0" w:header="0"/>
        </w:sectPr>
      </w:pPr>
    </w:p>
    <w:bookmarkStart w:id="178" w:name="page179"/>
    <w:bookmarkEnd w:id="178"/>
    <w:p>
      <w:pPr>
        <w:ind w:left="720"/>
        <w:spacing w:after="0" w:line="258" w:lineRule="auto"/>
        <w:rPr>
          <w:sz w:val="20"/>
          <w:szCs w:val="20"/>
          <w:color w:val="auto"/>
        </w:rPr>
      </w:pPr>
      <w:r>
        <w:rPr>
          <w:rFonts w:ascii="Times New Roman" w:cs="Times New Roman" w:eastAsia="Times New Roman" w:hAnsi="Times New Roman"/>
          <w:sz w:val="22"/>
          <w:szCs w:val="22"/>
          <w:color w:val="231F20"/>
        </w:rPr>
        <w:t>The Company would like to extend its appreciation to you for your past service, and its sincere hope for success in your future endeavors.</w:t>
      </w:r>
    </w:p>
    <w:p>
      <w:pPr>
        <w:spacing w:after="0" w:line="37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231F20"/>
        </w:rPr>
        <w:t>Very truly yours,</w:t>
      </w:r>
    </w:p>
    <w:p>
      <w:pPr>
        <w:spacing w:after="0" w:line="24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/s/ Kim Hazen</w:t>
      </w:r>
    </w:p>
    <w:p>
      <w:pPr>
        <w:spacing w:after="0" w:line="17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231F20"/>
        </w:rPr>
        <w:t>Kim Hazen</w:t>
      </w:r>
    </w:p>
    <w:p>
      <w:pPr>
        <w:spacing w:after="0" w:line="1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231F20"/>
        </w:rPr>
        <w:t>Chief People Officer</w:t>
      </w:r>
    </w:p>
    <w:p>
      <w:pPr>
        <w:spacing w:after="0" w:line="3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231F20"/>
        </w:rPr>
        <w:t>ACKNOWLEDGED AND AGREED TO:</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Judith Dunn</w:t>
      </w:r>
    </w:p>
    <w:p>
      <w:pPr>
        <w:spacing w:after="0" w:line="18" w:lineRule="exact"/>
        <w:rPr>
          <w:sz w:val="20"/>
          <w:szCs w:val="20"/>
          <w:color w:val="auto"/>
        </w:rPr>
      </w:pPr>
    </w:p>
    <w:p>
      <w:pPr>
        <w:ind w:left="140"/>
        <w:spacing w:after="0"/>
        <w:rPr>
          <w:sz w:val="20"/>
          <w:szCs w:val="20"/>
          <w:color w:val="auto"/>
        </w:rPr>
      </w:pPr>
      <w:r>
        <w:rPr>
          <w:rFonts w:ascii="Cambria" w:cs="Cambria" w:eastAsia="Cambria" w:hAnsi="Cambria"/>
          <w:sz w:val="21"/>
          <w:szCs w:val="21"/>
          <w:b w:val="1"/>
          <w:bCs w:val="1"/>
          <w:color w:val="231F20"/>
        </w:rPr>
        <w:t>Judith Dunn</w:t>
      </w:r>
    </w:p>
    <w:p>
      <w:pPr>
        <w:ind w:left="140"/>
        <w:spacing w:after="0" w:line="236" w:lineRule="auto"/>
        <w:rPr>
          <w:sz w:val="20"/>
          <w:szCs w:val="20"/>
          <w:color w:val="auto"/>
        </w:rPr>
      </w:pPr>
      <w:r>
        <w:rPr>
          <w:rFonts w:ascii="Cambria" w:cs="Cambria" w:eastAsia="Cambria" w:hAnsi="Cambria"/>
          <w:sz w:val="21"/>
          <w:szCs w:val="21"/>
          <w:b w:val="1"/>
          <w:bCs w:val="1"/>
          <w:color w:val="231F20"/>
        </w:rPr>
        <w:t>Date: 14 Oct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345440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00"/>
          </w:cols>
          <w:pgMar w:left="1200" w:top="895" w:right="999" w:bottom="1440" w:gutter="0" w:footer="0" w:header="0"/>
        </w:sectPr>
      </w:pPr>
    </w:p>
    <w:bookmarkStart w:id="179" w:name="page180"/>
    <w:bookmarkEnd w:id="179"/>
    <w:p>
      <w:pPr>
        <w:ind w:left="4340"/>
        <w:spacing w:after="0"/>
        <w:rPr>
          <w:sz w:val="20"/>
          <w:szCs w:val="20"/>
          <w:color w:val="auto"/>
        </w:rPr>
      </w:pPr>
      <w:r>
        <w:rPr>
          <w:rFonts w:ascii="Times New Roman" w:cs="Times New Roman" w:eastAsia="Times New Roman" w:hAnsi="Times New Roman"/>
          <w:sz w:val="22"/>
          <w:szCs w:val="22"/>
          <w:b w:val="1"/>
          <w:bCs w:val="1"/>
          <w:u w:val="single" w:color="auto"/>
          <w:color w:val="231F20"/>
        </w:rPr>
        <w:t>ATTACHMENT 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u w:val="single" w:color="auto"/>
          <w:color w:val="231F20"/>
        </w:rPr>
        <w:t>Transitional Duties:</w:t>
      </w:r>
    </w:p>
    <w:p>
      <w:pPr>
        <w:spacing w:after="0" w:line="355" w:lineRule="exact"/>
        <w:rPr>
          <w:sz w:val="20"/>
          <w:szCs w:val="20"/>
          <w:color w:val="auto"/>
        </w:rPr>
      </w:pPr>
    </w:p>
    <w:p>
      <w:pPr>
        <w:ind w:left="1200" w:hanging="351"/>
        <w:spacing w:after="0" w:line="244" w:lineRule="auto"/>
        <w:tabs>
          <w:tab w:leader="none" w:pos="1200" w:val="left"/>
        </w:tabs>
        <w:numPr>
          <w:ilvl w:val="0"/>
          <w:numId w:val="86"/>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Be available on an as needed and remote basis through the Separation Date to consult on transitional matters as requested by any member of the Executive Team. For the sake of clarity, no supervision of employees will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6535420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00"/>
          </w:cols>
          <w:pgMar w:left="1440" w:top="891" w:right="1059" w:bottom="1440" w:gutter="0" w:footer="0" w:header="0"/>
        </w:sectPr>
      </w:pPr>
    </w:p>
    <w:bookmarkStart w:id="180" w:name="page181"/>
    <w:bookmarkEnd w:id="180"/>
    <w:p>
      <w:pPr>
        <w:ind w:left="4360"/>
        <w:spacing w:after="0"/>
        <w:rPr>
          <w:sz w:val="20"/>
          <w:szCs w:val="20"/>
          <w:color w:val="auto"/>
        </w:rPr>
      </w:pPr>
      <w:r>
        <w:rPr>
          <w:rFonts w:ascii="Times New Roman" w:cs="Times New Roman" w:eastAsia="Times New Roman" w:hAnsi="Times New Roman"/>
          <w:sz w:val="22"/>
          <w:szCs w:val="22"/>
          <w:b w:val="1"/>
          <w:bCs w:val="1"/>
          <w:u w:val="single" w:color="auto"/>
          <w:color w:val="231F20"/>
        </w:rPr>
        <w:t>ATTACHMENT B</w:t>
      </w:r>
    </w:p>
    <w:p>
      <w:pPr>
        <w:spacing w:after="0" w:line="251" w:lineRule="exact"/>
        <w:rPr>
          <w:sz w:val="20"/>
          <w:szCs w:val="20"/>
          <w:color w:val="auto"/>
        </w:rPr>
      </w:pPr>
    </w:p>
    <w:p>
      <w:pPr>
        <w:ind w:left="480" w:right="440"/>
        <w:spacing w:after="0" w:line="244" w:lineRule="auto"/>
        <w:rPr>
          <w:sz w:val="20"/>
          <w:szCs w:val="20"/>
          <w:color w:val="auto"/>
        </w:rPr>
      </w:pPr>
      <w:r>
        <w:rPr>
          <w:rFonts w:ascii="Times New Roman" w:cs="Times New Roman" w:eastAsia="Times New Roman" w:hAnsi="Times New Roman"/>
          <w:sz w:val="22"/>
          <w:szCs w:val="22"/>
          <w:color w:val="231F20"/>
        </w:rPr>
        <w:t>By signing below, I hereby affirm the terms, provisions, and my obligations set forth in my Letter Agreement with Fulcrum Therapeutics, Inc. ("Fulcrum" or "the Company") dated October 14, 2022 (the "Letter Agreement") and I agree as follows:</w:t>
      </w:r>
    </w:p>
    <w:p>
      <w:pPr>
        <w:spacing w:after="0" w:line="227" w:lineRule="exact"/>
        <w:rPr>
          <w:sz w:val="20"/>
          <w:szCs w:val="20"/>
          <w:color w:val="auto"/>
        </w:rPr>
      </w:pPr>
    </w:p>
    <w:p>
      <w:pPr>
        <w:ind w:left="1200" w:right="420" w:hanging="351"/>
        <w:spacing w:after="0" w:line="234" w:lineRule="auto"/>
        <w:tabs>
          <w:tab w:leader="none" w:pos="1200" w:val="left"/>
        </w:tabs>
        <w:numPr>
          <w:ilvl w:val="0"/>
          <w:numId w:val="87"/>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 xml:space="preserve">Except as provided below, I hereby release Fulcrum in accordance with the terms of the Letter Agreement, as more fully set forth in Paragraph 5 of the Letter Agreement. For the avoidance of doubt, I understand and hereby agree that I am releasing any and all claims I may have against Fulcrum and the Releasees (as defined in the Letter Agreement) which I have or may have as of the date of execution of this </w:t>
      </w:r>
      <w:r>
        <w:rPr>
          <w:rFonts w:ascii="Times New Roman" w:cs="Times New Roman" w:eastAsia="Times New Roman" w:hAnsi="Times New Roman"/>
          <w:sz w:val="22"/>
          <w:szCs w:val="22"/>
          <w:u w:val="single" w:color="auto"/>
          <w:color w:val="231F20"/>
        </w:rPr>
        <w:t>Attachment B</w:t>
      </w:r>
      <w:r>
        <w:rPr>
          <w:rFonts w:ascii="Times New Roman" w:cs="Times New Roman" w:eastAsia="Times New Roman" w:hAnsi="Times New Roman"/>
          <w:sz w:val="22"/>
          <w:szCs w:val="22"/>
          <w:color w:val="231F20"/>
        </w:rPr>
        <w:t xml:space="preserve"> (the "Release"), including, without limitation, claims under Title VII of the Civil Rights Act of 1964, as amended;</w:t>
      </w:r>
    </w:p>
    <w:p>
      <w:pPr>
        <w:spacing w:after="0" w:line="2" w:lineRule="exact"/>
        <w:rPr>
          <w:rFonts w:ascii="Cambria" w:cs="Cambria" w:eastAsia="Cambria" w:hAnsi="Cambria"/>
          <w:sz w:val="21"/>
          <w:szCs w:val="21"/>
          <w:b w:val="1"/>
          <w:bCs w:val="1"/>
          <w:color w:val="231F20"/>
        </w:rPr>
      </w:pPr>
    </w:p>
    <w:p>
      <w:pPr>
        <w:ind w:left="1200" w:right="60"/>
        <w:spacing w:after="0" w:line="230" w:lineRule="auto"/>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Sections 1981 through 1988 of Title 42 of the United States Code, as amended; the Age Discrimination in Employment Act of 1967, as amended; the Older Workers Benefit Protection Act; the Immigration Reform Control Act, as</w:t>
      </w:r>
    </w:p>
    <w:p>
      <w:pPr>
        <w:spacing w:after="0" w:line="1" w:lineRule="exact"/>
        <w:rPr>
          <w:rFonts w:ascii="Cambria" w:cs="Cambria" w:eastAsia="Cambria" w:hAnsi="Cambria"/>
          <w:sz w:val="21"/>
          <w:szCs w:val="21"/>
          <w:b w:val="1"/>
          <w:bCs w:val="1"/>
          <w:color w:val="231F20"/>
        </w:rPr>
      </w:pPr>
    </w:p>
    <w:p>
      <w:pPr>
        <w:ind w:left="1200"/>
        <w:spacing w:after="0"/>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amended; the Employee Retirement Income Security Act of 1974, 29 U.S.C.</w:t>
      </w:r>
    </w:p>
    <w:p>
      <w:pPr>
        <w:spacing w:after="0" w:line="3" w:lineRule="exact"/>
        <w:rPr>
          <w:rFonts w:ascii="Cambria" w:cs="Cambria" w:eastAsia="Cambria" w:hAnsi="Cambria"/>
          <w:sz w:val="21"/>
          <w:szCs w:val="21"/>
          <w:b w:val="1"/>
          <w:bCs w:val="1"/>
          <w:color w:val="231F20"/>
        </w:rPr>
      </w:pPr>
    </w:p>
    <w:p>
      <w:pPr>
        <w:ind w:left="1200" w:right="160" w:firstLine="8"/>
        <w:spacing w:after="0" w:line="236" w:lineRule="auto"/>
        <w:tabs>
          <w:tab w:leader="none" w:pos="1362" w:val="left"/>
        </w:tabs>
        <w:numPr>
          <w:ilvl w:val="1"/>
          <w:numId w:val="87"/>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 xml:space="preserve">1001, </w:t>
      </w:r>
      <w:r>
        <w:rPr>
          <w:rFonts w:ascii="Times New Roman" w:cs="Times New Roman" w:eastAsia="Times New Roman" w:hAnsi="Times New Roman"/>
          <w:sz w:val="22"/>
          <w:szCs w:val="22"/>
          <w:u w:val="single" w:color="auto"/>
          <w:color w:val="231F20"/>
        </w:rPr>
        <w:t>et seq</w:t>
      </w:r>
      <w:r>
        <w:rPr>
          <w:rFonts w:ascii="Times New Roman" w:cs="Times New Roman" w:eastAsia="Times New Roman" w:hAnsi="Times New Roman"/>
          <w:sz w:val="22"/>
          <w:szCs w:val="22"/>
          <w:color w:val="231F20"/>
        </w:rPr>
        <w:t xml:space="preserve">.; the Occupational Safety and Health Act, as amended; the Civil Rights Act of 1866, 29 U.S.C. § 1981, </w:t>
      </w:r>
      <w:r>
        <w:rPr>
          <w:rFonts w:ascii="Times New Roman" w:cs="Times New Roman" w:eastAsia="Times New Roman" w:hAnsi="Times New Roman"/>
          <w:sz w:val="22"/>
          <w:szCs w:val="22"/>
          <w:u w:val="single" w:color="auto"/>
          <w:color w:val="231F20"/>
        </w:rPr>
        <w:t>et seq</w:t>
      </w:r>
      <w:r>
        <w:rPr>
          <w:rFonts w:ascii="Times New Roman" w:cs="Times New Roman" w:eastAsia="Times New Roman" w:hAnsi="Times New Roman"/>
          <w:sz w:val="22"/>
          <w:szCs w:val="22"/>
          <w:color w:val="231F20"/>
        </w:rPr>
        <w:t>.; the Rehabilitation Act of 1973, 29</w:t>
      </w:r>
    </w:p>
    <w:p>
      <w:pPr>
        <w:spacing w:after="0" w:line="1" w:lineRule="exact"/>
        <w:rPr>
          <w:rFonts w:ascii="Times New Roman" w:cs="Times New Roman" w:eastAsia="Times New Roman" w:hAnsi="Times New Roman"/>
          <w:sz w:val="22"/>
          <w:szCs w:val="22"/>
          <w:color w:val="231F20"/>
        </w:rPr>
      </w:pPr>
    </w:p>
    <w:p>
      <w:pPr>
        <w:ind w:left="1200"/>
        <w:spacing w:after="0" w:line="232" w:lineRule="auto"/>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 xml:space="preserve">U.S.C. § 701, </w:t>
      </w:r>
      <w:r>
        <w:rPr>
          <w:rFonts w:ascii="Times New Roman" w:cs="Times New Roman" w:eastAsia="Times New Roman" w:hAnsi="Times New Roman"/>
          <w:sz w:val="22"/>
          <w:szCs w:val="22"/>
          <w:u w:val="single" w:color="auto"/>
          <w:color w:val="231F20"/>
        </w:rPr>
        <w:t>et seq</w:t>
      </w:r>
      <w:r>
        <w:rPr>
          <w:rFonts w:ascii="Times New Roman" w:cs="Times New Roman" w:eastAsia="Times New Roman" w:hAnsi="Times New Roman"/>
          <w:sz w:val="22"/>
          <w:szCs w:val="22"/>
          <w:color w:val="231F20"/>
        </w:rPr>
        <w:t xml:space="preserve">.; the Americans With Disabilities Act of 1990, as amended; the Civil Rights Act of 1991; the Sarbanes Oxley Act of 2002; the Fair Credit Reporting Act; the Family and Medical Leave Act; the Equal Pay Act; the Genetic Information Nondiscrimination Act of 2008; the Workers Adjustment and Retraining Notification Act; the Massachusetts Law Against Discrimination, G.L. c. 151B; the Massachusetts Wage Payment Statutes, G.L. c. 149, §§ 148, 148A, 148B, 148C, 149, 150, 150A-150C, 151, 152, 152A, </w:t>
      </w:r>
      <w:r>
        <w:rPr>
          <w:rFonts w:ascii="Times New Roman" w:cs="Times New Roman" w:eastAsia="Times New Roman" w:hAnsi="Times New Roman"/>
          <w:sz w:val="22"/>
          <w:szCs w:val="22"/>
          <w:u w:val="single" w:color="auto"/>
          <w:color w:val="231F20"/>
        </w:rPr>
        <w:t>et seq</w:t>
      </w:r>
      <w:r>
        <w:rPr>
          <w:rFonts w:ascii="Times New Roman" w:cs="Times New Roman" w:eastAsia="Times New Roman" w:hAnsi="Times New Roman"/>
          <w:sz w:val="22"/>
          <w:szCs w:val="22"/>
          <w:color w:val="231F20"/>
        </w:rPr>
        <w:t xml:space="preserve">.; the Massachusetts Wage and Hour Laws, G.L. c. 151§1A </w:t>
      </w:r>
      <w:r>
        <w:rPr>
          <w:rFonts w:ascii="Times New Roman" w:cs="Times New Roman" w:eastAsia="Times New Roman" w:hAnsi="Times New Roman"/>
          <w:sz w:val="22"/>
          <w:szCs w:val="22"/>
          <w:u w:val="single" w:color="auto"/>
          <w:color w:val="231F20"/>
        </w:rPr>
        <w:t>et seq</w:t>
      </w:r>
      <w:r>
        <w:rPr>
          <w:rFonts w:ascii="Times New Roman" w:cs="Times New Roman" w:eastAsia="Times New Roman" w:hAnsi="Times New Roman"/>
          <w:sz w:val="22"/>
          <w:szCs w:val="22"/>
          <w:color w:val="231F20"/>
        </w:rPr>
        <w:t>.; the Massachusetts Privacy Statute,</w:t>
      </w:r>
    </w:p>
    <w:p>
      <w:pPr>
        <w:spacing w:after="0" w:line="2" w:lineRule="exact"/>
        <w:rPr>
          <w:rFonts w:ascii="Times New Roman" w:cs="Times New Roman" w:eastAsia="Times New Roman" w:hAnsi="Times New Roman"/>
          <w:sz w:val="22"/>
          <w:szCs w:val="22"/>
          <w:color w:val="231F20"/>
        </w:rPr>
      </w:pPr>
    </w:p>
    <w:p>
      <w:pPr>
        <w:ind w:left="1200" w:right="140"/>
        <w:spacing w:after="0" w:line="241" w:lineRule="auto"/>
        <w:rPr>
          <w:rFonts w:ascii="Times New Roman" w:cs="Times New Roman" w:eastAsia="Times New Roman" w:hAnsi="Times New Roman"/>
          <w:sz w:val="22"/>
          <w:szCs w:val="22"/>
          <w:color w:val="231F20"/>
        </w:rPr>
      </w:pPr>
      <w:r>
        <w:rPr>
          <w:rFonts w:ascii="Times New Roman" w:cs="Times New Roman" w:eastAsia="Times New Roman" w:hAnsi="Times New Roman"/>
          <w:sz w:val="21"/>
          <w:szCs w:val="21"/>
          <w:color w:val="231F20"/>
        </w:rPr>
        <w:t>G.L. c. 214, § 1B; the Massachusetts Sexual Harassment Statute, G.L. c. 214 § 1C; the Massachusetts Civil Rights Act, G.L. c. 12, § 11H, the Massachusetts Equal Rights Act, G.L. c. 93,</w:t>
      </w:r>
    </w:p>
    <w:p>
      <w:pPr>
        <w:spacing w:after="0" w:line="1" w:lineRule="exact"/>
        <w:rPr>
          <w:rFonts w:ascii="Times New Roman" w:cs="Times New Roman" w:eastAsia="Times New Roman" w:hAnsi="Times New Roman"/>
          <w:sz w:val="22"/>
          <w:szCs w:val="22"/>
          <w:color w:val="231F20"/>
        </w:rPr>
      </w:pPr>
    </w:p>
    <w:p>
      <w:pPr>
        <w:ind w:left="1200" w:right="80" w:firstLine="8"/>
        <w:spacing w:after="0" w:line="230" w:lineRule="auto"/>
        <w:tabs>
          <w:tab w:leader="none" w:pos="1362" w:val="left"/>
        </w:tabs>
        <w:numPr>
          <w:ilvl w:val="1"/>
          <w:numId w:val="87"/>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102; the Massachusetts Equal Pay Act, G.L. c. 149, § 105A, the Massachusetts Parental Leave Act, G.L. c. 149, §105D; the Massachusetts Family and Medical Leave Law, G.L. c. 175M; any federal or state law, regulation, or ordinance or any claim for short term disability benefits; any public policy, contract, tort, or common law; or any allegation for costs, fees, or other expenses including attorneys' fees incurred in any matter. Notwithstanding anything to the contrary contained in the Release, I am not releasing or waiving the following rights or claims: (a) my own vested accrued employee benefits under the Company's health, welfare or retirement benefit plans; (b) claims to the</w:t>
      </w:r>
    </w:p>
    <w:p>
      <w:pPr>
        <w:spacing w:after="0" w:line="4" w:lineRule="exact"/>
        <w:rPr>
          <w:rFonts w:ascii="Times New Roman" w:cs="Times New Roman" w:eastAsia="Times New Roman" w:hAnsi="Times New Roman"/>
          <w:sz w:val="22"/>
          <w:szCs w:val="22"/>
          <w:color w:val="231F20"/>
        </w:rPr>
      </w:pPr>
    </w:p>
    <w:p>
      <w:pPr>
        <w:ind w:left="1200"/>
        <w:spacing w:after="0"/>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Vested Options (as defined in the Letter Agreement), subject to the terms of their</w:t>
      </w:r>
    </w:p>
    <w:p>
      <w:pPr>
        <w:spacing w:after="0" w:line="3" w:lineRule="exact"/>
        <w:rPr>
          <w:rFonts w:ascii="Times New Roman" w:cs="Times New Roman" w:eastAsia="Times New Roman" w:hAnsi="Times New Roman"/>
          <w:sz w:val="22"/>
          <w:szCs w:val="22"/>
          <w:color w:val="231F20"/>
        </w:rPr>
      </w:pPr>
    </w:p>
    <w:p>
      <w:pPr>
        <w:ind w:left="1200" w:right="340"/>
        <w:spacing w:after="0" w:line="230" w:lineRule="auto"/>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 xml:space="preserve">governing documents, including but not limited to the Company's 2019 Stock Incentive Plan, as amended by the Letter Agreement; (c) benefits and/or the right to seek benefits under applicable workers' compensation and/or unemployment compensation statutes; (d) claims which by law cannot be waived by signing the Release; (e) claims for breach of the Letter Agreement or to enforce the Letter Agreement; (f) any claims arising solely after the execution of the Release; (g) claims under </w:t>
      </w:r>
      <w:r>
        <w:rPr>
          <w:rFonts w:ascii="Times New Roman" w:cs="Times New Roman" w:eastAsia="Times New Roman" w:hAnsi="Times New Roman"/>
          <w:sz w:val="22"/>
          <w:szCs w:val="22"/>
          <w:color w:val="1F285C"/>
        </w:rPr>
        <w:t>ERISA § 502(a)(1)(B), 29 U.S.C. § 1132(a)(1)(B)</w:t>
      </w:r>
      <w:r>
        <w:rPr>
          <w:rFonts w:ascii="Times New Roman" w:cs="Times New Roman" w:eastAsia="Times New Roman" w:hAnsi="Times New Roman"/>
          <w:sz w:val="22"/>
          <w:szCs w:val="22"/>
          <w:color w:val="231F20"/>
        </w:rPr>
        <w:t>;</w:t>
      </w:r>
    </w:p>
    <w:p>
      <w:pPr>
        <w:spacing w:after="0" w:line="3" w:lineRule="exact"/>
        <w:rPr>
          <w:rFonts w:ascii="Times New Roman" w:cs="Times New Roman" w:eastAsia="Times New Roman" w:hAnsi="Times New Roman"/>
          <w:sz w:val="22"/>
          <w:szCs w:val="22"/>
          <w:color w:val="231F20"/>
        </w:rPr>
      </w:pPr>
    </w:p>
    <w:p>
      <w:pPr>
        <w:ind w:left="1200" w:right="1560"/>
        <w:spacing w:after="0" w:line="258" w:lineRule="auto"/>
        <w:rPr>
          <w:rFonts w:ascii="Times New Roman" w:cs="Times New Roman" w:eastAsia="Times New Roman" w:hAnsi="Times New Roman"/>
          <w:sz w:val="22"/>
          <w:szCs w:val="22"/>
          <w:color w:val="231F20"/>
        </w:rPr>
      </w:pPr>
      <w:r>
        <w:rPr>
          <w:rFonts w:ascii="Times New Roman" w:cs="Times New Roman" w:eastAsia="Times New Roman" w:hAnsi="Times New Roman"/>
          <w:sz w:val="21"/>
          <w:szCs w:val="21"/>
          <w:color w:val="231F20"/>
        </w:rPr>
        <w:t>(h) any rights and/or claims I may have under the Consolidated Omnibus Budget Reconciliation Act of 1985 ("COBRA"); (i) claims for reimbursement of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36830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440" w:top="1215" w:right="539" w:bottom="1440" w:gutter="0" w:footer="0" w:header="0"/>
        </w:sectPr>
      </w:pPr>
    </w:p>
    <w:bookmarkStart w:id="181" w:name="page182"/>
    <w:bookmarkEnd w:id="181"/>
    <w:p>
      <w:pPr>
        <w:ind w:left="1200" w:right="280"/>
        <w:spacing w:after="0" w:line="236" w:lineRule="auto"/>
        <w:rPr>
          <w:sz w:val="20"/>
          <w:szCs w:val="20"/>
          <w:color w:val="auto"/>
        </w:rPr>
      </w:pPr>
      <w:r>
        <w:rPr>
          <w:rFonts w:ascii="Times New Roman" w:cs="Times New Roman" w:eastAsia="Times New Roman" w:hAnsi="Times New Roman"/>
          <w:sz w:val="22"/>
          <w:szCs w:val="22"/>
          <w:color w:val="231F20"/>
        </w:rPr>
        <w:t>business expenses incurred prior to the date of the Release under and subject to the Company's business expense reimbursement policy; (j) rights, if any, to defense and indemnification from the Company or its insurers for actions taken by me in the course and scope of my employment with the Company under and subject to the applicable Company policy; and (k) any right I may have to obtain contribution as permitted by law in the event of entry of judgment against me as a result of any act or failure to act for which I and the Company or its past,</w:t>
      </w:r>
    </w:p>
    <w:p>
      <w:pPr>
        <w:spacing w:after="0" w:line="3" w:lineRule="exact"/>
        <w:rPr>
          <w:sz w:val="20"/>
          <w:szCs w:val="20"/>
          <w:color w:val="auto"/>
        </w:rPr>
      </w:pPr>
    </w:p>
    <w:p>
      <w:pPr>
        <w:ind w:left="1200" w:right="380"/>
        <w:spacing w:after="0" w:line="237" w:lineRule="auto"/>
        <w:rPr>
          <w:sz w:val="20"/>
          <w:szCs w:val="20"/>
          <w:color w:val="auto"/>
        </w:rPr>
      </w:pPr>
      <w:r>
        <w:rPr>
          <w:rFonts w:ascii="Times New Roman" w:cs="Times New Roman" w:eastAsia="Times New Roman" w:hAnsi="Times New Roman"/>
          <w:sz w:val="22"/>
          <w:szCs w:val="22"/>
          <w:color w:val="231F20"/>
        </w:rPr>
        <w:t>present and future trustees, officers, directors, agents, administrators, representatives, employees, affiliates, or insurers are held jointly liable.</w:t>
      </w:r>
    </w:p>
    <w:p>
      <w:pPr>
        <w:spacing w:after="0" w:line="232" w:lineRule="exact"/>
        <w:rPr>
          <w:sz w:val="20"/>
          <w:szCs w:val="20"/>
          <w:color w:val="auto"/>
        </w:rPr>
      </w:pPr>
    </w:p>
    <w:p>
      <w:pPr>
        <w:jc w:val="both"/>
        <w:ind w:left="1200" w:hanging="351"/>
        <w:spacing w:after="0" w:line="234" w:lineRule="auto"/>
        <w:tabs>
          <w:tab w:leader="none" w:pos="1200" w:val="left"/>
        </w:tabs>
        <w:numPr>
          <w:ilvl w:val="0"/>
          <w:numId w:val="88"/>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I affirm that I have been paid and have received all leave (paid or unpaid), compensation, wages, bonuses, commissions, benefits, reimbursements and/or monies to which I may be entitled and that no other leave (paid or unpaid), compensation, wages, bonuses, commissions, benefits, reimbursements and/or monies are due to me, except for any unpaid base salary provide for in Paragraph 1 of the Letter Agreement and the Severance Benefits provided for in Paragraph 3 of the Letter Agreement. I further affirm that I have no known workplace injuries or occupational diseases and have been provided and/or have not been denied any leave requested under the Family and Medical Leave Act. I also affirm that I have not been retaliated against for reporting any allegations of wrongdoing by Fulcrum or its officers, including any allegations of corporate fraud.</w:t>
      </w:r>
    </w:p>
    <w:p>
      <w:pPr>
        <w:spacing w:after="0" w:line="237" w:lineRule="exact"/>
        <w:rPr>
          <w:rFonts w:ascii="Cambria" w:cs="Cambria" w:eastAsia="Cambria" w:hAnsi="Cambria"/>
          <w:sz w:val="21"/>
          <w:szCs w:val="21"/>
          <w:b w:val="1"/>
          <w:bCs w:val="1"/>
          <w:color w:val="231F20"/>
        </w:rPr>
      </w:pPr>
    </w:p>
    <w:p>
      <w:pPr>
        <w:ind w:left="1200" w:right="280" w:hanging="351"/>
        <w:spacing w:after="0" w:line="251" w:lineRule="auto"/>
        <w:tabs>
          <w:tab w:leader="none" w:pos="1200" w:val="left"/>
        </w:tabs>
        <w:numPr>
          <w:ilvl w:val="0"/>
          <w:numId w:val="88"/>
        </w:numPr>
        <w:rPr>
          <w:rFonts w:ascii="Cambria" w:cs="Cambria" w:eastAsia="Cambria" w:hAnsi="Cambria"/>
          <w:sz w:val="20"/>
          <w:szCs w:val="20"/>
          <w:b w:val="1"/>
          <w:bCs w:val="1"/>
          <w:color w:val="231F20"/>
        </w:rPr>
      </w:pPr>
      <w:r>
        <w:rPr>
          <w:rFonts w:ascii="Times New Roman" w:cs="Times New Roman" w:eastAsia="Times New Roman" w:hAnsi="Times New Roman"/>
          <w:sz w:val="21"/>
          <w:szCs w:val="21"/>
          <w:color w:val="231F20"/>
        </w:rPr>
        <w:t>I understand the meaning of the terms, provisions and my obligations set forth in the Letter Agreement. I further understand that I may revoke this Release for a period of seven (7) calendar days following the day I sign the Release. Any revocation within this period must be submitted, in writing, to Kim Hazen, Chief People Officer, Fulcrum Therapeutics, Inc., 26 Landsdowne Street, Cambridge, MA 02139 and state "I hereby revoke my acceptance of the Letter Agreement."</w:t>
      </w:r>
    </w:p>
    <w:p>
      <w:pPr>
        <w:spacing w:after="0" w:line="222" w:lineRule="exact"/>
        <w:rPr>
          <w:rFonts w:ascii="Cambria" w:cs="Cambria" w:eastAsia="Cambria" w:hAnsi="Cambria"/>
          <w:sz w:val="20"/>
          <w:szCs w:val="20"/>
          <w:b w:val="1"/>
          <w:bCs w:val="1"/>
          <w:color w:val="231F20"/>
        </w:rPr>
      </w:pPr>
    </w:p>
    <w:p>
      <w:pPr>
        <w:ind w:left="1200" w:right="100"/>
        <w:spacing w:after="0" w:line="241" w:lineRule="auto"/>
        <w:rPr>
          <w:rFonts w:ascii="Cambria" w:cs="Cambria" w:eastAsia="Cambria" w:hAnsi="Cambria"/>
          <w:sz w:val="20"/>
          <w:szCs w:val="20"/>
          <w:b w:val="1"/>
          <w:bCs w:val="1"/>
          <w:color w:val="231F20"/>
        </w:rPr>
      </w:pPr>
      <w:r>
        <w:rPr>
          <w:rFonts w:ascii="Times New Roman" w:cs="Times New Roman" w:eastAsia="Times New Roman" w:hAnsi="Times New Roman"/>
          <w:sz w:val="22"/>
          <w:szCs w:val="22"/>
          <w:color w:val="231F20"/>
        </w:rPr>
        <w:t>The revocation must be delivered to Ms. Hazen at the Company by email (khazen@fulcrumtx.com), and regular mail postmarked within seven (7) days</w:t>
      </w:r>
    </w:p>
    <w:p>
      <w:pPr>
        <w:spacing w:after="0" w:line="1" w:lineRule="exact"/>
        <w:rPr>
          <w:rFonts w:ascii="Cambria" w:cs="Cambria" w:eastAsia="Cambria" w:hAnsi="Cambria"/>
          <w:sz w:val="20"/>
          <w:szCs w:val="20"/>
          <w:b w:val="1"/>
          <w:bCs w:val="1"/>
          <w:color w:val="231F20"/>
        </w:rPr>
      </w:pPr>
    </w:p>
    <w:p>
      <w:pPr>
        <w:ind w:left="1200"/>
        <w:spacing w:after="0" w:line="230" w:lineRule="auto"/>
        <w:rPr>
          <w:rFonts w:ascii="Cambria" w:cs="Cambria" w:eastAsia="Cambria" w:hAnsi="Cambria"/>
          <w:sz w:val="20"/>
          <w:szCs w:val="20"/>
          <w:b w:val="1"/>
          <w:bCs w:val="1"/>
          <w:color w:val="231F20"/>
        </w:rPr>
      </w:pPr>
      <w:r>
        <w:rPr>
          <w:rFonts w:ascii="Times New Roman" w:cs="Times New Roman" w:eastAsia="Times New Roman" w:hAnsi="Times New Roman"/>
          <w:sz w:val="22"/>
          <w:szCs w:val="22"/>
          <w:color w:val="231F20"/>
        </w:rPr>
        <w:t>after execution of this Letter Agreement. I further acknowledge that I have been</w:t>
      </w:r>
    </w:p>
    <w:p>
      <w:pPr>
        <w:ind w:left="1200" w:right="400"/>
        <w:spacing w:after="0" w:line="230" w:lineRule="auto"/>
        <w:rPr>
          <w:rFonts w:ascii="Cambria" w:cs="Cambria" w:eastAsia="Cambria" w:hAnsi="Cambria"/>
          <w:sz w:val="20"/>
          <w:szCs w:val="20"/>
          <w:b w:val="1"/>
          <w:bCs w:val="1"/>
          <w:color w:val="231F20"/>
        </w:rPr>
      </w:pPr>
      <w:r>
        <w:rPr>
          <w:rFonts w:ascii="Times New Roman" w:cs="Times New Roman" w:eastAsia="Times New Roman" w:hAnsi="Times New Roman"/>
          <w:sz w:val="22"/>
          <w:szCs w:val="22"/>
          <w:color w:val="231F20"/>
        </w:rPr>
        <w:t>given a period of more than twenty-one (21) days to consider signing this Release and have been advised to consult with an attorney prior to signing it. I</w:t>
      </w:r>
    </w:p>
    <w:p>
      <w:pPr>
        <w:spacing w:after="0" w:line="1" w:lineRule="exact"/>
        <w:rPr>
          <w:rFonts w:ascii="Cambria" w:cs="Cambria" w:eastAsia="Cambria" w:hAnsi="Cambria"/>
          <w:sz w:val="20"/>
          <w:szCs w:val="20"/>
          <w:b w:val="1"/>
          <w:bCs w:val="1"/>
          <w:color w:val="231F20"/>
        </w:rPr>
      </w:pPr>
    </w:p>
    <w:p>
      <w:pPr>
        <w:ind w:left="1200" w:right="40"/>
        <w:spacing w:after="0" w:line="235" w:lineRule="auto"/>
        <w:rPr>
          <w:rFonts w:ascii="Cambria" w:cs="Cambria" w:eastAsia="Cambria" w:hAnsi="Cambria"/>
          <w:sz w:val="20"/>
          <w:szCs w:val="20"/>
          <w:b w:val="1"/>
          <w:bCs w:val="1"/>
          <w:color w:val="231F20"/>
        </w:rPr>
      </w:pPr>
      <w:r>
        <w:rPr>
          <w:rFonts w:ascii="Times New Roman" w:cs="Times New Roman" w:eastAsia="Times New Roman" w:hAnsi="Times New Roman"/>
          <w:sz w:val="22"/>
          <w:szCs w:val="22"/>
          <w:color w:val="231F20"/>
        </w:rPr>
        <w:t xml:space="preserve">also understand that any timely revocation of my acceptance of this Release does not void or otherwise affect the enforceability of the release contained in Paragraph 5 of the Letter Agreement to which this </w:t>
      </w:r>
      <w:r>
        <w:rPr>
          <w:rFonts w:ascii="Times New Roman" w:cs="Times New Roman" w:eastAsia="Times New Roman" w:hAnsi="Times New Roman"/>
          <w:sz w:val="22"/>
          <w:szCs w:val="22"/>
          <w:b w:val="1"/>
          <w:bCs w:val="1"/>
          <w:u w:val="single" w:color="auto"/>
          <w:color w:val="231F20"/>
        </w:rPr>
        <w:t>Attachment B</w:t>
      </w:r>
      <w:r>
        <w:rPr>
          <w:rFonts w:ascii="Times New Roman" w:cs="Times New Roman" w:eastAsia="Times New Roman" w:hAnsi="Times New Roman"/>
          <w:sz w:val="22"/>
          <w:szCs w:val="22"/>
          <w:color w:val="231F20"/>
        </w:rPr>
        <w:t xml:space="preserve"> is attached.</w:t>
      </w:r>
    </w:p>
    <w:p>
      <w:pPr>
        <w:spacing w:after="0" w:line="339" w:lineRule="exact"/>
        <w:rPr>
          <w:rFonts w:ascii="Cambria" w:cs="Cambria" w:eastAsia="Cambria" w:hAnsi="Cambria"/>
          <w:sz w:val="20"/>
          <w:szCs w:val="20"/>
          <w:b w:val="1"/>
          <w:bCs w:val="1"/>
          <w:color w:val="231F20"/>
        </w:rPr>
      </w:pPr>
    </w:p>
    <w:p>
      <w:pPr>
        <w:ind w:left="1200" w:hanging="351"/>
        <w:spacing w:after="0"/>
        <w:tabs>
          <w:tab w:leader="none" w:pos="1200" w:val="left"/>
        </w:tabs>
        <w:numPr>
          <w:ilvl w:val="0"/>
          <w:numId w:val="88"/>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I have satisfied all conditions set forth in paragraph 4 of the Letter Agreement.</w:t>
      </w:r>
    </w:p>
    <w:p>
      <w:pPr>
        <w:spacing w:after="0" w:line="256" w:lineRule="exact"/>
        <w:rPr>
          <w:rFonts w:ascii="Cambria" w:cs="Cambria" w:eastAsia="Cambria" w:hAnsi="Cambria"/>
          <w:sz w:val="21"/>
          <w:szCs w:val="21"/>
          <w:b w:val="1"/>
          <w:bCs w:val="1"/>
          <w:color w:val="231F20"/>
        </w:rPr>
      </w:pPr>
    </w:p>
    <w:p>
      <w:pPr>
        <w:jc w:val="both"/>
        <w:ind w:left="1200" w:right="20" w:hanging="351"/>
        <w:spacing w:after="0" w:line="246" w:lineRule="auto"/>
        <w:tabs>
          <w:tab w:leader="none" w:pos="1200" w:val="left"/>
        </w:tabs>
        <w:numPr>
          <w:ilvl w:val="0"/>
          <w:numId w:val="88"/>
        </w:numPr>
        <w:rPr>
          <w:rFonts w:ascii="Cambria" w:cs="Cambria" w:eastAsia="Cambria" w:hAnsi="Cambria"/>
          <w:sz w:val="21"/>
          <w:szCs w:val="21"/>
          <w:b w:val="1"/>
          <w:bCs w:val="1"/>
          <w:color w:val="231F20"/>
        </w:rPr>
      </w:pPr>
      <w:r>
        <w:rPr>
          <w:rFonts w:ascii="Times New Roman" w:cs="Times New Roman" w:eastAsia="Times New Roman" w:hAnsi="Times New Roman"/>
          <w:sz w:val="22"/>
          <w:szCs w:val="22"/>
          <w:color w:val="231F20"/>
        </w:rPr>
        <w:t xml:space="preserve">I understand that, in order to be effective, I must sign this </w:t>
      </w:r>
      <w:r>
        <w:rPr>
          <w:rFonts w:ascii="Times New Roman" w:cs="Times New Roman" w:eastAsia="Times New Roman" w:hAnsi="Times New Roman"/>
          <w:sz w:val="22"/>
          <w:szCs w:val="22"/>
          <w:b w:val="1"/>
          <w:bCs w:val="1"/>
          <w:u w:val="single" w:color="auto"/>
          <w:color w:val="231F20"/>
        </w:rPr>
        <w:t>Attachment B</w:t>
      </w:r>
      <w:r>
        <w:rPr>
          <w:rFonts w:ascii="Times New Roman" w:cs="Times New Roman" w:eastAsia="Times New Roman" w:hAnsi="Times New Roman"/>
          <w:sz w:val="22"/>
          <w:szCs w:val="22"/>
          <w:color w:val="231F20"/>
        </w:rPr>
        <w:t xml:space="preserve"> no earlier than the day after the Separation Date (as defined in Paragraph 1 of the Letter Agreement) and no later than seven (7) days after the Separation Date.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231F20"/>
        </w:rPr>
        <w:t>Agreed and Accepted:</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 Judith Dunn</w:t>
      </w:r>
    </w:p>
    <w:p>
      <w:pPr>
        <w:spacing w:after="0" w:line="2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231F20"/>
        </w:rPr>
        <w:t>Date: 14 Oct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203835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440" w:top="126" w:right="47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3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51" w:lineRule="exact"/>
        <w:rPr>
          <w:sz w:val="20"/>
          <w:szCs w:val="20"/>
          <w:color w:val="auto"/>
        </w:rPr>
      </w:pPr>
    </w:p>
    <w:p>
      <w:pPr>
        <w:jc w:val="both"/>
        <w:ind w:left="40" w:right="440" w:firstLine="747"/>
        <w:spacing w:after="0" w:line="244" w:lineRule="auto"/>
        <w:rPr>
          <w:sz w:val="20"/>
          <w:szCs w:val="20"/>
          <w:color w:val="auto"/>
        </w:rPr>
      </w:pPr>
      <w:r>
        <w:rPr>
          <w:rFonts w:ascii="Times New Roman" w:cs="Times New Roman" w:eastAsia="Times New Roman" w:hAnsi="Times New Roman"/>
          <w:sz w:val="22"/>
          <w:szCs w:val="22"/>
          <w:color w:val="auto"/>
        </w:rPr>
        <w:t>THIS EMPLOYMENT AGREEMENT (the “Agreement”) is made as of November 7, 2022 (Executive’s first day of employment, after all eligibility criteria have been met) by and between Fulcrum Therapeutics, Inc. (the “Company”), and Santiago Arroyo (the “Executive”) (together, the “Parties”).</w:t>
      </w:r>
    </w:p>
    <w:p>
      <w:pPr>
        <w:spacing w:after="0" w:line="17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RECITALS</w:t>
      </w:r>
    </w:p>
    <w:p>
      <w:pPr>
        <w:spacing w:after="0" w:line="2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WHEREAS, the Company desires to employ the Executive as its Chief Medical Officer; and</w:t>
      </w:r>
    </w:p>
    <w:p>
      <w:pPr>
        <w:spacing w:after="0" w:line="200" w:lineRule="exact"/>
        <w:rPr>
          <w:sz w:val="20"/>
          <w:szCs w:val="20"/>
          <w:color w:val="auto"/>
        </w:rPr>
      </w:pPr>
    </w:p>
    <w:p>
      <w:pPr>
        <w:spacing w:after="0" w:line="249" w:lineRule="exact"/>
        <w:rPr>
          <w:sz w:val="20"/>
          <w:szCs w:val="20"/>
          <w:color w:val="auto"/>
        </w:rPr>
      </w:pPr>
    </w:p>
    <w:p>
      <w:pPr>
        <w:ind w:left="40" w:right="3420" w:firstLine="511"/>
        <w:spacing w:after="0" w:line="258" w:lineRule="auto"/>
        <w:rPr>
          <w:sz w:val="20"/>
          <w:szCs w:val="20"/>
          <w:color w:val="auto"/>
        </w:rPr>
      </w:pPr>
      <w:r>
        <w:rPr>
          <w:rFonts w:ascii="Times New Roman" w:cs="Times New Roman" w:eastAsia="Times New Roman" w:hAnsi="Times New Roman"/>
          <w:sz w:val="22"/>
          <w:szCs w:val="22"/>
          <w:color w:val="auto"/>
        </w:rPr>
        <w:t>WHEREAS, the Executive has agreed to accept such employment on the terms and conditions set forth in this Agreement;</w:t>
      </w:r>
    </w:p>
    <w:p>
      <w:pPr>
        <w:spacing w:after="0" w:line="199" w:lineRule="exact"/>
        <w:rPr>
          <w:sz w:val="20"/>
          <w:szCs w:val="20"/>
          <w:color w:val="auto"/>
        </w:rPr>
      </w:pPr>
    </w:p>
    <w:p>
      <w:pPr>
        <w:ind w:left="40" w:right="220" w:firstLine="747"/>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respective covenants and agreements of the Parties herein contained, the Parties hereto agree as follows:</w:t>
      </w:r>
    </w:p>
    <w:p>
      <w:pPr>
        <w:spacing w:after="0" w:line="195" w:lineRule="exact"/>
        <w:rPr>
          <w:sz w:val="20"/>
          <w:szCs w:val="20"/>
          <w:color w:val="auto"/>
        </w:rPr>
      </w:pPr>
    </w:p>
    <w:p>
      <w:pPr>
        <w:jc w:val="both"/>
        <w:ind w:left="40" w:right="400" w:hanging="7"/>
        <w:spacing w:after="0" w:line="246" w:lineRule="auto"/>
        <w:tabs>
          <w:tab w:leader="none" w:pos="29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This Agreement shall be effective as of November 7, 2022 “Date of Hire”). Following the Effective Date,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shall continue to be an employee of the Company until such employment relationship is terminated in accordance with Section 7 hereof (the “Term of Employment”).</w:t>
      </w:r>
    </w:p>
    <w:p>
      <w:pPr>
        <w:spacing w:after="0" w:line="194" w:lineRule="exact"/>
        <w:rPr>
          <w:rFonts w:ascii="Times New Roman" w:cs="Times New Roman" w:eastAsia="Times New Roman" w:hAnsi="Times New Roman"/>
          <w:sz w:val="22"/>
          <w:szCs w:val="22"/>
          <w:color w:val="auto"/>
        </w:rPr>
      </w:pPr>
    </w:p>
    <w:p>
      <w:pPr>
        <w:jc w:val="center"/>
        <w:ind w:left="40" w:right="220" w:hanging="7"/>
        <w:spacing w:after="0" w:line="286" w:lineRule="auto"/>
        <w:tabs>
          <w:tab w:leader="none" w:pos="291"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Position</w:t>
      </w:r>
      <w:r>
        <w:rPr>
          <w:rFonts w:ascii="Times New Roman" w:cs="Times New Roman" w:eastAsia="Times New Roman" w:hAnsi="Times New Roman"/>
          <w:sz w:val="21"/>
          <w:szCs w:val="21"/>
          <w:color w:val="auto"/>
        </w:rPr>
        <w:t>. During the Term of Employment, the Executive shall serve as Chief Medical Officer of the Company, working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out of the Company’s office in Cambridge, Massachusetts, and travelling as reasonably required by the Executive’s job duties.</w:t>
      </w:r>
    </w:p>
    <w:p>
      <w:pPr>
        <w:spacing w:after="0" w:line="166" w:lineRule="exact"/>
        <w:rPr>
          <w:rFonts w:ascii="Times New Roman" w:cs="Times New Roman" w:eastAsia="Times New Roman" w:hAnsi="Times New Roman"/>
          <w:sz w:val="21"/>
          <w:szCs w:val="21"/>
          <w:color w:val="auto"/>
        </w:rPr>
      </w:pPr>
    </w:p>
    <w:p>
      <w:pPr>
        <w:ind w:left="280" w:hanging="247"/>
        <w:spacing w:after="0"/>
        <w:tabs>
          <w:tab w:leader="none" w:pos="2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Scope of Employment</w:t>
      </w:r>
      <w:r>
        <w:rPr>
          <w:rFonts w:ascii="Times New Roman" w:cs="Times New Roman" w:eastAsia="Times New Roman" w:hAnsi="Times New Roman"/>
          <w:sz w:val="22"/>
          <w:szCs w:val="22"/>
          <w:color w:val="auto"/>
        </w:rPr>
        <w:t>. During the Term of Employment, the Executive shall be responsible for the performance of those</w:t>
      </w:r>
    </w:p>
    <w:p>
      <w:pPr>
        <w:spacing w:after="0" w:line="18" w:lineRule="exact"/>
        <w:rPr>
          <w:rFonts w:ascii="Times New Roman" w:cs="Times New Roman" w:eastAsia="Times New Roman" w:hAnsi="Times New Roman"/>
          <w:sz w:val="22"/>
          <w:szCs w:val="22"/>
          <w:color w:val="auto"/>
        </w:rPr>
      </w:pPr>
    </w:p>
    <w:p>
      <w:pPr>
        <w:ind w:left="40" w:right="2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duties consistent with the Executive’s position as Chief Medical Officer. The Executive shall report to the President and Chief Executive Officer of the Company and shall perform and discharge faithfully, diligently, and to the best of the Executive’s ability,</w:t>
      </w:r>
    </w:p>
    <w:p>
      <w:pPr>
        <w:spacing w:after="0" w:line="1" w:lineRule="exact"/>
        <w:rPr>
          <w:rFonts w:ascii="Times New Roman" w:cs="Times New Roman" w:eastAsia="Times New Roman" w:hAnsi="Times New Roman"/>
          <w:sz w:val="22"/>
          <w:szCs w:val="22"/>
          <w:color w:val="auto"/>
        </w:rPr>
      </w:pPr>
    </w:p>
    <w:p>
      <w:pPr>
        <w:ind w:left="40" w:right="20"/>
        <w:spacing w:after="0" w:line="23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duties and responsibilities hereunder. The Executive shall devote substantially all of the Executive’s business time, loyalty, attention and efforts to the business and affairs of the Company and its affiliates. Membership on boards of directors of any other companies will be permitted only with the express approval of the Company’s board of directors (the “Board”); provided, however, that the Executive may engage in community and charitable activities or participate in industry associations and serve on the boards of up to two (2) community, charitable or industry organizations, without the approval of the Board, provided such activities do not create a conflict of interest or otherwise interfere with the Executive’s performance of the Executive’s duties hereunder. The Executive agrees to abide by the rules, regulations, instructions, personnel practices and policies of the Company and any changes therein that may be adopted and disclosed to the Executive from time to time by the Company. The three Board positions the Executive currently holds have been approved by the Fulcrum Board of Directors. In the event that the Executive is serving on fewer than three Boards in the future, and the Executive seeks to serve on a new Board, Fulcrum Board approval will be required.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360" w:right="339" w:bottom="1440" w:gutter="0" w:footer="0" w:header="0"/>
        </w:sectPr>
      </w:pPr>
    </w:p>
    <w:bookmarkStart w:id="183" w:name="page184"/>
    <w:bookmarkEnd w:id="183"/>
    <w:p>
      <w:pPr>
        <w:ind w:left="40" w:right="260" w:hanging="7"/>
        <w:spacing w:after="0" w:line="262" w:lineRule="auto"/>
        <w:tabs>
          <w:tab w:leader="none" w:pos="287"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Compensation</w:t>
      </w:r>
      <w:r>
        <w:rPr>
          <w:rFonts w:ascii="Times New Roman" w:cs="Times New Roman" w:eastAsia="Times New Roman" w:hAnsi="Times New Roman"/>
          <w:sz w:val="22"/>
          <w:szCs w:val="22"/>
          <w:color w:val="auto"/>
        </w:rPr>
        <w:t>. As full compensation for all services rendered by the Executive to the Company and any affiliate thereof,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during the Term of Employment, the Company will provide to the Executive the following:</w:t>
      </w:r>
    </w:p>
    <w:p>
      <w:pPr>
        <w:spacing w:after="0" w:line="190" w:lineRule="exact"/>
        <w:rPr>
          <w:rFonts w:ascii="Times New Roman" w:cs="Times New Roman" w:eastAsia="Times New Roman" w:hAnsi="Times New Roman"/>
          <w:sz w:val="22"/>
          <w:szCs w:val="22"/>
          <w:color w:val="auto"/>
        </w:rPr>
      </w:pPr>
    </w:p>
    <w:p>
      <w:pPr>
        <w:ind w:left="40" w:right="240" w:firstLine="734"/>
        <w:spacing w:after="0" w:line="237" w:lineRule="auto"/>
        <w:tabs>
          <w:tab w:leader="none" w:pos="1108"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Base Salary</w:t>
      </w:r>
      <w:r>
        <w:rPr>
          <w:rFonts w:ascii="Times New Roman" w:cs="Times New Roman" w:eastAsia="Times New Roman" w:hAnsi="Times New Roman"/>
          <w:sz w:val="22"/>
          <w:szCs w:val="22"/>
          <w:color w:val="auto"/>
        </w:rPr>
        <w:t>. Effective as of the date on which the registration statement relating to the Company’s initial public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offering is effective, the Executive shall receive a base salary at the annualized rate of $500,000 (the “Base Salary”). The Executive’s Base Salary shall be paid in equal installments in accordance with the Company’s regularly established payroll procedures.</w:t>
      </w:r>
    </w:p>
    <w:p>
      <w:pPr>
        <w:ind w:left="40" w:right="6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Base Salary will be reviewed on an annual or more frequent basis by the Board and is subject to increase (but not decrease) in the discretion of the Board.</w:t>
      </w:r>
    </w:p>
    <w:p>
      <w:pPr>
        <w:spacing w:after="0" w:line="214" w:lineRule="exact"/>
        <w:rPr>
          <w:rFonts w:ascii="Times New Roman" w:cs="Times New Roman" w:eastAsia="Times New Roman" w:hAnsi="Times New Roman"/>
          <w:sz w:val="22"/>
          <w:szCs w:val="22"/>
          <w:color w:val="auto"/>
        </w:rPr>
      </w:pPr>
    </w:p>
    <w:p>
      <w:pPr>
        <w:ind w:left="40" w:right="200" w:firstLine="741"/>
        <w:spacing w:after="0" w:line="233" w:lineRule="auto"/>
        <w:tabs>
          <w:tab w:leader="none" w:pos="1113"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Discretionary Bonus</w:t>
      </w:r>
      <w:r>
        <w:rPr>
          <w:rFonts w:ascii="Times New Roman" w:cs="Times New Roman" w:eastAsia="Times New Roman" w:hAnsi="Times New Roman"/>
          <w:sz w:val="22"/>
          <w:szCs w:val="22"/>
          <w:color w:val="auto"/>
        </w:rPr>
        <w:t>. Effective as of the Effective Date, the Executive will be eligible to earn an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 bonus of up to 40% of the Executive’s Base Salary (the “Target Bonus”), based upon the Board’s assessment of the Executive’s performance and the Company’s attainment of targeted goals as set no later than the end of February of each calendar year by the Board with input from the Executive. To the extent the Executive’s Base Salary and/or target bonus percentage of Base Salary is changed during the year to which the performance bonus relates, the Target Bonus shall be calculated based on base salary actually paid during such year (and not solely on the Executive’s Base Salary at the end of such year) and shall apply the initial target bonus percentage of Base Salary and the revised target bonus percentage of Base Salary based on the portion of the year during which each was in effect. The</w:t>
      </w:r>
    </w:p>
    <w:p>
      <w:pPr>
        <w:spacing w:after="0" w:line="7" w:lineRule="exact"/>
        <w:rPr>
          <w:rFonts w:ascii="Times New Roman" w:cs="Times New Roman" w:eastAsia="Times New Roman" w:hAnsi="Times New Roman"/>
          <w:sz w:val="22"/>
          <w:szCs w:val="22"/>
          <w:color w:val="auto"/>
        </w:rPr>
      </w:pPr>
    </w:p>
    <w:p>
      <w:pPr>
        <w:ind w:left="4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except as specifically set forth below. The annual performance bonus, if earned, will be paid by no later than March 15 of the calendar year after the year to which it relates. The Executive’s bonus eligibility will be reviewed on an annual or more frequent basis by the Board and is subject to increase (but not decrease) in the discretion of the Board.</w:t>
      </w:r>
    </w:p>
    <w:p>
      <w:pPr>
        <w:spacing w:after="0" w:line="204" w:lineRule="exact"/>
        <w:rPr>
          <w:rFonts w:ascii="Times New Roman" w:cs="Times New Roman" w:eastAsia="Times New Roman" w:hAnsi="Times New Roman"/>
          <w:sz w:val="22"/>
          <w:szCs w:val="22"/>
          <w:color w:val="auto"/>
        </w:rPr>
      </w:pPr>
    </w:p>
    <w:p>
      <w:pPr>
        <w:ind w:left="40" w:right="20" w:firstLine="741"/>
        <w:spacing w:after="0" w:line="236" w:lineRule="auto"/>
        <w:tabs>
          <w:tab w:leader="none" w:pos="1113"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Equity Award</w:t>
      </w:r>
      <w:r>
        <w:rPr>
          <w:rFonts w:ascii="Times New Roman" w:cs="Times New Roman" w:eastAsia="Times New Roman" w:hAnsi="Times New Roman"/>
          <w:sz w:val="22"/>
          <w:szCs w:val="22"/>
          <w:color w:val="auto"/>
        </w:rPr>
        <w:t>. Subject to approval of the Board, the Company will grant to the Executive a nonstatutory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option (the “Option”), for the purchase of an aggregate of 400,000 shares (inducement grant) of the Company’s common stock at an exercise price per share equal to the fair market value of the Company’s common stock on the date the Option is granted. Subject to the terms of the stock option agreement evidencing the Option and the Executive’s continued employment, the Option shall vest over four years at the rate of 25% on the first anniversary of the Start Date and an additional 6.25% per quarter for the next twelve successive quarters of employment when, after four full years of employment, the Option will be fully vested.</w:t>
      </w:r>
    </w:p>
    <w:p>
      <w:pPr>
        <w:spacing w:after="0" w:line="216" w:lineRule="exact"/>
        <w:rPr>
          <w:rFonts w:ascii="Times New Roman" w:cs="Times New Roman" w:eastAsia="Times New Roman" w:hAnsi="Times New Roman"/>
          <w:sz w:val="22"/>
          <w:szCs w:val="22"/>
          <w:color w:val="auto"/>
        </w:rPr>
      </w:pPr>
    </w:p>
    <w:p>
      <w:pPr>
        <w:ind w:left="1100" w:hanging="318"/>
        <w:spacing w:after="0"/>
        <w:tabs>
          <w:tab w:leader="none" w:pos="110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Paid Time Off</w:t>
      </w:r>
      <w:r>
        <w:rPr>
          <w:rFonts w:ascii="Times New Roman" w:cs="Times New Roman" w:eastAsia="Times New Roman" w:hAnsi="Times New Roman"/>
          <w:sz w:val="22"/>
          <w:szCs w:val="22"/>
          <w:color w:val="auto"/>
        </w:rPr>
        <w:t>. The Executive shall be entitled to paid time off, vacation time plus sick time, consistent with</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Company’s policies.</w:t>
      </w:r>
    </w:p>
    <w:p>
      <w:pPr>
        <w:spacing w:after="0" w:line="219" w:lineRule="exact"/>
        <w:rPr>
          <w:sz w:val="20"/>
          <w:szCs w:val="20"/>
          <w:color w:val="auto"/>
        </w:rPr>
      </w:pPr>
    </w:p>
    <w:p>
      <w:pPr>
        <w:jc w:val="both"/>
        <w:ind w:left="40" w:right="60" w:firstLine="741"/>
        <w:spacing w:after="0" w:line="246" w:lineRule="auto"/>
        <w:tabs>
          <w:tab w:leader="none" w:pos="1113"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Benefits</w:t>
      </w:r>
      <w:r>
        <w:rPr>
          <w:rFonts w:ascii="Times New Roman" w:cs="Times New Roman" w:eastAsia="Times New Roman" w:hAnsi="Times New Roman"/>
          <w:sz w:val="22"/>
          <w:szCs w:val="22"/>
          <w:color w:val="auto"/>
        </w:rPr>
        <w:t>. Subject to eligibility requirements and the Company’s polices, the Executive shall have the right, on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same basis as other similarly-situated employees of the Company, to participate in, and to receive benefits under, any medical, vision and dental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419" w:right="499" w:bottom="1440" w:gutter="0" w:footer="0" w:header="0"/>
        </w:sectPr>
      </w:pPr>
    </w:p>
    <w:bookmarkStart w:id="184" w:name="page185"/>
    <w:bookmarkEnd w:id="184"/>
    <w:p>
      <w:pPr>
        <w:ind w:left="40"/>
        <w:spacing w:after="0"/>
        <w:rPr>
          <w:sz w:val="20"/>
          <w:szCs w:val="20"/>
          <w:color w:val="auto"/>
        </w:rPr>
      </w:pPr>
      <w:r>
        <w:rPr>
          <w:rFonts w:ascii="Times New Roman" w:cs="Times New Roman" w:eastAsia="Times New Roman" w:hAnsi="Times New Roman"/>
          <w:sz w:val="22"/>
          <w:szCs w:val="22"/>
          <w:color w:val="auto"/>
        </w:rPr>
        <w:t>insurance policy</w:t>
      </w:r>
    </w:p>
    <w:p>
      <w:pPr>
        <w:spacing w:after="0" w:line="58"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maintained by the Company and the Company shall pay a portion of the cost of the premiums for such medical, vision and dental insurance that is consistent with the Company’s then current employee benefit policy if the Executive elects to participate in such plans.</w:t>
      </w:r>
    </w:p>
    <w:p>
      <w:pPr>
        <w:spacing w:after="0" w:line="210" w:lineRule="exact"/>
        <w:rPr>
          <w:sz w:val="20"/>
          <w:szCs w:val="20"/>
          <w:color w:val="auto"/>
        </w:rPr>
      </w:pPr>
    </w:p>
    <w:p>
      <w:pPr>
        <w:ind w:left="40" w:right="1660" w:firstLine="742"/>
        <w:spacing w:after="0" w:line="262" w:lineRule="auto"/>
        <w:tabs>
          <w:tab w:leader="none" w:pos="1084"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Withholdings</w:t>
      </w:r>
      <w:r>
        <w:rPr>
          <w:rFonts w:ascii="Times New Roman" w:cs="Times New Roman" w:eastAsia="Times New Roman" w:hAnsi="Times New Roman"/>
          <w:sz w:val="22"/>
          <w:szCs w:val="22"/>
          <w:color w:val="auto"/>
        </w:rPr>
        <w:t>. All compensation payable to the Executive shall be subject to applicable taxes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withholdings.</w:t>
      </w:r>
    </w:p>
    <w:p>
      <w:pPr>
        <w:spacing w:after="0" w:line="190" w:lineRule="exact"/>
        <w:rPr>
          <w:rFonts w:ascii="Times New Roman" w:cs="Times New Roman" w:eastAsia="Times New Roman" w:hAnsi="Times New Roman"/>
          <w:sz w:val="22"/>
          <w:szCs w:val="22"/>
          <w:color w:val="auto"/>
        </w:rPr>
      </w:pPr>
    </w:p>
    <w:p>
      <w:pPr>
        <w:ind w:left="40" w:right="860" w:hanging="7"/>
        <w:spacing w:after="0" w:line="262" w:lineRule="auto"/>
        <w:tabs>
          <w:tab w:leader="none" w:pos="29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2"/>
          <w:szCs w:val="22"/>
          <w:color w:val="auto"/>
        </w:rPr>
        <w:t>. The Executive will be reimbursed for her actual, necessary and reasonable business expenses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Company policy, subject to the provisions of Section 3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76" w:lineRule="exact"/>
        <w:rPr>
          <w:rFonts w:ascii="Times New Roman" w:cs="Times New Roman" w:eastAsia="Times New Roman" w:hAnsi="Times New Roman"/>
          <w:sz w:val="22"/>
          <w:szCs w:val="22"/>
          <w:color w:val="auto"/>
        </w:rPr>
      </w:pPr>
    </w:p>
    <w:p>
      <w:pPr>
        <w:ind w:left="40" w:right="160" w:hanging="7"/>
        <w:spacing w:after="0" w:line="246" w:lineRule="auto"/>
        <w:tabs>
          <w:tab w:leader="none" w:pos="29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Restrictive Covenants Agreement</w:t>
      </w:r>
      <w:r>
        <w:rPr>
          <w:rFonts w:ascii="Times New Roman" w:cs="Times New Roman" w:eastAsia="Times New Roman" w:hAnsi="Times New Roman"/>
          <w:sz w:val="22"/>
          <w:szCs w:val="22"/>
          <w:color w:val="auto"/>
        </w:rPr>
        <w:t>. The Executive hereby acknowledges that in connection with entering into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the Executive shall be required to enter into a new Employee Confidentiality and Assignment Agreement with the Company.</w:t>
      </w:r>
    </w:p>
    <w:p>
      <w:pPr>
        <w:spacing w:after="0" w:line="207" w:lineRule="exact"/>
        <w:rPr>
          <w:rFonts w:ascii="Times New Roman" w:cs="Times New Roman" w:eastAsia="Times New Roman" w:hAnsi="Times New Roman"/>
          <w:sz w:val="22"/>
          <w:szCs w:val="22"/>
          <w:color w:val="auto"/>
        </w:rPr>
      </w:pPr>
    </w:p>
    <w:p>
      <w:pPr>
        <w:ind w:left="260" w:hanging="227"/>
        <w:spacing w:after="0"/>
        <w:tabs>
          <w:tab w:leader="none" w:pos="26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Employment Termination</w:t>
      </w:r>
      <w:r>
        <w:rPr>
          <w:rFonts w:ascii="Times New Roman" w:cs="Times New Roman" w:eastAsia="Times New Roman" w:hAnsi="Times New Roman"/>
          <w:sz w:val="22"/>
          <w:szCs w:val="22"/>
          <w:color w:val="auto"/>
        </w:rPr>
        <w:t>. This Agreement and the employment of the Executive shall terminate upon the</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occurrence of any of the following:</w:t>
      </w:r>
    </w:p>
    <w:p>
      <w:pPr>
        <w:spacing w:after="0" w:line="223" w:lineRule="exact"/>
        <w:rPr>
          <w:sz w:val="20"/>
          <w:szCs w:val="20"/>
          <w:color w:val="auto"/>
        </w:rPr>
      </w:pPr>
    </w:p>
    <w:p>
      <w:pPr>
        <w:ind w:left="40" w:right="160" w:firstLine="741"/>
        <w:spacing w:after="0" w:line="238" w:lineRule="auto"/>
        <w:tabs>
          <w:tab w:leader="none" w:pos="111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death or “Disability” of the Executive. As used in this Agreement, the term “Disability” shall mean a physical or mental illness or disability that prevents the Executive from performing the duties of the Executive’s position for a period of more than any twenty (20) consecutive weeks or for periods aggregating more than twenty-six weeks. The Company shall determine in good faith and in its sole discretion whether the Executive is unable to perform the services provided for herein, subject to input from the Executive’s healthcare provider.</w:t>
      </w:r>
    </w:p>
    <w:p>
      <w:pPr>
        <w:spacing w:after="0" w:line="203" w:lineRule="exact"/>
        <w:rPr>
          <w:rFonts w:ascii="Times New Roman" w:cs="Times New Roman" w:eastAsia="Times New Roman" w:hAnsi="Times New Roman"/>
          <w:sz w:val="22"/>
          <w:szCs w:val="22"/>
          <w:color w:val="auto"/>
        </w:rPr>
      </w:pPr>
    </w:p>
    <w:p>
      <w:pPr>
        <w:ind w:left="1100" w:hanging="318"/>
        <w:spacing w:after="0"/>
        <w:tabs>
          <w:tab w:leader="none" w:pos="11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election of the Company, with or without “Cause” (as defined below), immediately upon written 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 the Company to the Executive. As used in this Agreement, “Cause” shall mean:</w:t>
      </w:r>
    </w:p>
    <w:p>
      <w:pPr>
        <w:spacing w:after="0" w:line="223" w:lineRule="exact"/>
        <w:rPr>
          <w:sz w:val="20"/>
          <w:szCs w:val="20"/>
          <w:color w:val="auto"/>
        </w:rPr>
      </w:pPr>
    </w:p>
    <w:p>
      <w:pPr>
        <w:ind w:left="1520" w:right="200" w:hanging="738"/>
        <w:spacing w:after="0" w:line="236" w:lineRule="auto"/>
        <w:tabs>
          <w:tab w:leader="none" w:pos="15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provided, however, that the Executive shall have a period of not less than thirty (30) days to cure any curable act or omission constituting Cause described in this Section 7(b)(i) following the Company’s delivery to the Executive of written notice of such act or omission within sixty (60) days of such act or omission;</w:t>
      </w:r>
    </w:p>
    <w:p>
      <w:pPr>
        <w:spacing w:after="0" w:line="221" w:lineRule="exact"/>
        <w:rPr>
          <w:rFonts w:ascii="Times New Roman" w:cs="Times New Roman" w:eastAsia="Times New Roman" w:hAnsi="Times New Roman"/>
          <w:sz w:val="22"/>
          <w:szCs w:val="22"/>
          <w:color w:val="auto"/>
        </w:rPr>
      </w:pPr>
    </w:p>
    <w:p>
      <w:pPr>
        <w:ind w:left="1500" w:right="1180" w:hanging="718"/>
        <w:spacing w:after="0" w:line="258" w:lineRule="auto"/>
        <w:tabs>
          <w:tab w:leader="none" w:pos="15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conviction of (A) a felony or (B) any misdemeanor involving moral turpitude, deceit, dishonesty or fraud;</w:t>
      </w:r>
    </w:p>
    <w:p>
      <w:pPr>
        <w:spacing w:after="0" w:line="266" w:lineRule="exact"/>
        <w:rPr>
          <w:rFonts w:ascii="Times New Roman" w:cs="Times New Roman" w:eastAsia="Times New Roman" w:hAnsi="Times New Roman"/>
          <w:sz w:val="22"/>
          <w:szCs w:val="22"/>
          <w:color w:val="auto"/>
        </w:rPr>
      </w:pPr>
    </w:p>
    <w:p>
      <w:pPr>
        <w:ind w:left="1520" w:right="420" w:hanging="738"/>
        <w:spacing w:after="0" w:line="239" w:lineRule="auto"/>
        <w:tabs>
          <w:tab w:leader="none" w:pos="15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gross negligence, willful misconduct or willful insubordination with respect to any lawful and ethical instruction from the President and CEO or the Chair of the Board that results in or is reasonably anticipated to result in material harm to the Company, provided, however, that the Executive shall have a period of not less than thirty (30) days to cure any curable act or omission constituting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00" w:top="355" w:right="379" w:bottom="1440" w:gutter="0" w:footer="0" w:header="0"/>
        </w:sectPr>
      </w:pPr>
    </w:p>
    <w:bookmarkStart w:id="185" w:name="page186"/>
    <w:bookmarkEnd w:id="185"/>
    <w:p>
      <w:pPr>
        <w:ind w:left="1520" w:right="140"/>
        <w:spacing w:after="0" w:line="258" w:lineRule="auto"/>
        <w:rPr>
          <w:sz w:val="20"/>
          <w:szCs w:val="20"/>
          <w:color w:val="auto"/>
        </w:rPr>
      </w:pPr>
      <w:r>
        <w:rPr>
          <w:rFonts w:ascii="Times New Roman" w:cs="Times New Roman" w:eastAsia="Times New Roman" w:hAnsi="Times New Roman"/>
          <w:sz w:val="22"/>
          <w:szCs w:val="22"/>
          <w:color w:val="auto"/>
        </w:rPr>
        <w:t>Cause described in this Section 7(b)(iii) following the Company’s delivery to the Executive of written notice of such act or omission within sixty (60) days of such act or omission; or</w:t>
      </w:r>
    </w:p>
    <w:p>
      <w:pPr>
        <w:spacing w:after="0" w:line="199" w:lineRule="exact"/>
        <w:rPr>
          <w:sz w:val="20"/>
          <w:szCs w:val="20"/>
          <w:color w:val="auto"/>
        </w:rPr>
      </w:pPr>
    </w:p>
    <w:p>
      <w:pPr>
        <w:ind w:left="1500" w:right="1000" w:hanging="718"/>
        <w:spacing w:after="0" w:line="258" w:lineRule="auto"/>
        <w:tabs>
          <w:tab w:leader="none" w:pos="15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material violation of any provision of any agreement(s) between the Executive and the Company relating to nonsolicitation, nondisclosure and/or assignment of inventions.</w:t>
      </w:r>
    </w:p>
    <w:p>
      <w:pPr>
        <w:spacing w:after="0" w:line="199" w:lineRule="exact"/>
        <w:rPr>
          <w:sz w:val="20"/>
          <w:szCs w:val="20"/>
          <w:color w:val="auto"/>
        </w:rPr>
      </w:pPr>
    </w:p>
    <w:p>
      <w:pPr>
        <w:ind w:left="40" w:right="160" w:firstLine="802"/>
        <w:spacing w:after="0" w:line="244" w:lineRule="auto"/>
        <w:tabs>
          <w:tab w:leader="none" w:pos="1171" w:val="left"/>
        </w:tabs>
        <w:numPr>
          <w:ilvl w:val="2"/>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200" w:lineRule="exact"/>
        <w:rPr>
          <w:rFonts w:ascii="Times New Roman" w:cs="Times New Roman" w:eastAsia="Times New Roman" w:hAnsi="Times New Roman"/>
          <w:sz w:val="22"/>
          <w:szCs w:val="22"/>
          <w:color w:val="auto"/>
        </w:rPr>
      </w:pPr>
    </w:p>
    <w:p>
      <w:pPr>
        <w:ind w:left="1520" w:right="140" w:hanging="738"/>
        <w:spacing w:after="0" w:line="244" w:lineRule="auto"/>
        <w:tabs>
          <w:tab w:leader="none" w:pos="152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of the Executive’s base compensation, other than in connection with, and substantially proportionate to, reductions by the Company of the base compensation of all or substantially all senior executives of the Company;</w:t>
      </w:r>
    </w:p>
    <w:p>
      <w:pPr>
        <w:spacing w:after="0" w:line="213" w:lineRule="exact"/>
        <w:rPr>
          <w:rFonts w:ascii="Times New Roman" w:cs="Times New Roman" w:eastAsia="Times New Roman" w:hAnsi="Times New Roman"/>
          <w:sz w:val="22"/>
          <w:szCs w:val="22"/>
          <w:color w:val="auto"/>
        </w:rPr>
      </w:pPr>
    </w:p>
    <w:p>
      <w:pPr>
        <w:ind w:left="1500" w:hanging="718"/>
        <w:spacing w:after="0"/>
        <w:tabs>
          <w:tab w:leader="none" w:pos="150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Executive’s title, reporting lines, duties, authority or responsibilities;</w:t>
      </w:r>
    </w:p>
    <w:p>
      <w:pPr>
        <w:spacing w:after="0" w:line="246" w:lineRule="exact"/>
        <w:rPr>
          <w:rFonts w:ascii="Times New Roman" w:cs="Times New Roman" w:eastAsia="Times New Roman" w:hAnsi="Times New Roman"/>
          <w:sz w:val="22"/>
          <w:szCs w:val="22"/>
          <w:color w:val="auto"/>
        </w:rPr>
      </w:pPr>
    </w:p>
    <w:p>
      <w:pPr>
        <w:ind w:left="1500" w:right="400" w:hanging="718"/>
        <w:spacing w:after="0" w:line="258" w:lineRule="auto"/>
        <w:tabs>
          <w:tab w:leader="none" w:pos="150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requiring Executive to relocate Executive’s primary office more than fifty (50) miles from the Executive’s then-current primary office; or</w:t>
      </w:r>
    </w:p>
    <w:p>
      <w:pPr>
        <w:spacing w:after="0" w:line="185" w:lineRule="exact"/>
        <w:rPr>
          <w:rFonts w:ascii="Times New Roman" w:cs="Times New Roman" w:eastAsia="Times New Roman" w:hAnsi="Times New Roman"/>
          <w:sz w:val="22"/>
          <w:szCs w:val="22"/>
          <w:color w:val="auto"/>
        </w:rPr>
      </w:pPr>
    </w:p>
    <w:p>
      <w:pPr>
        <w:ind w:left="1240" w:hanging="460"/>
        <w:spacing w:after="0"/>
        <w:tabs>
          <w:tab w:leader="none" w:pos="124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of this Agreement or any other agreement between the Company and the Executive</w:t>
      </w:r>
    </w:p>
    <w:p>
      <w:pPr>
        <w:spacing w:after="0" w:line="1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by the Company not otherwise covered by this paragraph;</w:t>
      </w:r>
    </w:p>
    <w:p>
      <w:pPr>
        <w:spacing w:after="0" w:line="223" w:lineRule="exact"/>
        <w:rPr>
          <w:sz w:val="20"/>
          <w:szCs w:val="20"/>
          <w:color w:val="auto"/>
        </w:rPr>
      </w:pP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217" w:lineRule="exact"/>
        <w:rPr>
          <w:sz w:val="20"/>
          <w:szCs w:val="20"/>
          <w:color w:val="auto"/>
        </w:rPr>
      </w:pPr>
    </w:p>
    <w:p>
      <w:pPr>
        <w:ind w:left="280" w:hanging="247"/>
        <w:spacing w:after="0"/>
        <w:tabs>
          <w:tab w:leader="none" w:pos="28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of Termination</w:t>
      </w:r>
      <w:r>
        <w:rPr>
          <w:rFonts w:ascii="Times New Roman" w:cs="Times New Roman" w:eastAsia="Times New Roman" w:hAnsi="Times New Roman"/>
          <w:sz w:val="22"/>
          <w:szCs w:val="22"/>
          <w:color w:val="auto"/>
        </w:rPr>
        <w:t>.</w:t>
      </w:r>
    </w:p>
    <w:p>
      <w:pPr>
        <w:spacing w:after="0" w:line="314" w:lineRule="exact"/>
        <w:rPr>
          <w:rFonts w:ascii="Times New Roman" w:cs="Times New Roman" w:eastAsia="Times New Roman" w:hAnsi="Times New Roman"/>
          <w:sz w:val="22"/>
          <w:szCs w:val="22"/>
          <w:color w:val="auto"/>
        </w:rPr>
      </w:pPr>
    </w:p>
    <w:p>
      <w:pPr>
        <w:ind w:left="40" w:right="20" w:firstLine="741"/>
        <w:spacing w:after="0" w:line="235" w:lineRule="auto"/>
        <w:tabs>
          <w:tab w:leader="none" w:pos="1114"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All Terminations Other Than by the Company Without Cause or by the Executive With Good Reason</w:t>
      </w:r>
      <w:r>
        <w:rPr>
          <w:rFonts w:ascii="Times New Roman" w:cs="Times New Roman" w:eastAsia="Times New Roman" w:hAnsi="Times New Roman"/>
          <w:sz w:val="22"/>
          <w:szCs w:val="22"/>
          <w:color w:val="auto"/>
        </w:rPr>
        <w:t>. If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employment is terminated under any circumstances other than a Qualifying Termination (as defined below) (including a voluntary termination by the Executive without Good Reason pursuant to Section 7(c), a termination by the Company for Cause pursuant to Section 7(b) or due to the Executive’s death or Disability pursuant to Section 7(a)),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to be paid in accordance with the Company’s established payroll procedure and applicable law but no later than the next regularly scheduled pay period, (ii) unreimbursed business expenses for which expenses the Executive has timely submitted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423" w:right="459" w:bottom="1440" w:gutter="0" w:footer="0" w:header="0"/>
        </w:sectPr>
      </w:pPr>
    </w:p>
    <w:bookmarkStart w:id="186" w:name="page187"/>
    <w:bookmarkEnd w:id="186"/>
    <w:p>
      <w:pPr>
        <w:ind w:left="40" w:right="380"/>
        <w:spacing w:after="0" w:line="239" w:lineRule="auto"/>
        <w:rPr>
          <w:sz w:val="20"/>
          <w:szCs w:val="20"/>
          <w:color w:val="auto"/>
        </w:rPr>
      </w:pPr>
      <w:r>
        <w:rPr>
          <w:rFonts w:ascii="Times New Roman" w:cs="Times New Roman" w:eastAsia="Times New Roman" w:hAnsi="Times New Roman"/>
          <w:sz w:val="22"/>
          <w:szCs w:val="22"/>
          <w:color w:val="auto"/>
        </w:rPr>
        <w:t>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217" w:lineRule="exact"/>
        <w:rPr>
          <w:sz w:val="20"/>
          <w:szCs w:val="20"/>
          <w:color w:val="auto"/>
        </w:rPr>
      </w:pPr>
    </w:p>
    <w:p>
      <w:pPr>
        <w:ind w:left="40" w:right="800" w:firstLine="741"/>
        <w:spacing w:after="0" w:line="239" w:lineRule="auto"/>
        <w:tabs>
          <w:tab w:leader="none" w:pos="110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by the Company Without Cause or by the Executive With Good Reason Prior to or More Than Twelve Months Following a Change in Control. </w:t>
      </w:r>
      <w:r>
        <w:rPr>
          <w:rFonts w:ascii="Times New Roman" w:cs="Times New Roman" w:eastAsia="Times New Roman" w:hAnsi="Times New Roman"/>
          <w:sz w:val="22"/>
          <w:szCs w:val="22"/>
          <w:color w:val="auto"/>
        </w:rPr>
        <w:t>If the Executive’s employment is terminated by the Company without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Cause pursuant to Section 7(b) or by the</w:t>
      </w:r>
    </w:p>
    <w:p>
      <w:pPr>
        <w:spacing w:after="0" w:line="1" w:lineRule="exact"/>
        <w:rPr>
          <w:rFonts w:ascii="Times New Roman" w:cs="Times New Roman" w:eastAsia="Times New Roman" w:hAnsi="Times New Roman"/>
          <w:sz w:val="22"/>
          <w:szCs w:val="22"/>
          <w:color w:val="auto"/>
        </w:rPr>
      </w:pPr>
    </w:p>
    <w:p>
      <w:pPr>
        <w:ind w:left="4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with Good Reason pursuant to Section 7(c) (in either case, a “Qualifying</w:t>
      </w:r>
    </w:p>
    <w:p>
      <w:pPr>
        <w:ind w:left="40" w:right="18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Termination”) prior to or more than twelve (12) months following a Change in Control (as defined below), the Executive shall be entitled to the Accrued Obligations. In addition, and subject to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the conditions of Section 8(d), the Company shall: (i) continue to pay to the Executive, in accordance with the Company’s regularly established payroll procedures, the Executive’s Base Salary for a period of nine (9) months and (ii) provided the Executive is eligible for and timely elects to continue receiving group medical insurance pursuant to the “COBRA” law, continue to pay (but in no event longer than nine</w:t>
      </w:r>
    </w:p>
    <w:p>
      <w:pPr>
        <w:spacing w:after="0" w:line="2" w:lineRule="exact"/>
        <w:rPr>
          <w:rFonts w:ascii="Times New Roman" w:cs="Times New Roman" w:eastAsia="Times New Roman" w:hAnsi="Times New Roman"/>
          <w:sz w:val="22"/>
          <w:szCs w:val="22"/>
          <w:color w:val="auto"/>
        </w:rPr>
      </w:pPr>
    </w:p>
    <w:p>
      <w:pPr>
        <w:ind w:left="340" w:hanging="309"/>
        <w:spacing w:after="0" w:line="230" w:lineRule="auto"/>
        <w:tabs>
          <w:tab w:leader="none" w:pos="3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the</w:t>
      </w:r>
    </w:p>
    <w:p>
      <w:pPr>
        <w:spacing w:after="0" w:line="1" w:lineRule="exact"/>
        <w:rPr>
          <w:sz w:val="20"/>
          <w:szCs w:val="20"/>
          <w:color w:val="auto"/>
        </w:rPr>
      </w:pPr>
    </w:p>
    <w:p>
      <w:pPr>
        <w:ind w:left="40"/>
        <w:spacing w:after="0" w:line="234" w:lineRule="auto"/>
        <w:rPr>
          <w:sz w:val="20"/>
          <w:szCs w:val="20"/>
          <w:color w:val="auto"/>
        </w:rPr>
      </w:pPr>
      <w:r>
        <w:rPr>
          <w:rFonts w:ascii="Times New Roman" w:cs="Times New Roman" w:eastAsia="Times New Roman" w:hAnsi="Times New Roman"/>
          <w:sz w:val="22"/>
          <w:szCs w:val="22"/>
          <w:color w:val="auto"/>
        </w:rPr>
        <w:t>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214" w:lineRule="exact"/>
        <w:rPr>
          <w:sz w:val="20"/>
          <w:szCs w:val="20"/>
          <w:color w:val="auto"/>
        </w:rPr>
      </w:pPr>
    </w:p>
    <w:p>
      <w:pPr>
        <w:ind w:left="40" w:right="160" w:firstLine="741"/>
        <w:spacing w:after="0" w:line="235" w:lineRule="auto"/>
        <w:tabs>
          <w:tab w:leader="none" w:pos="111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Termination by the Company Without Cause or by the Executive With Good Reason Within Twelve Months Following a Change in Control. </w:t>
      </w:r>
      <w:r>
        <w:rPr>
          <w:rFonts w:ascii="Times New Roman" w:cs="Times New Roman" w:eastAsia="Times New Roman" w:hAnsi="Times New Roman"/>
          <w:sz w:val="22"/>
          <w:szCs w:val="22"/>
          <w:color w:val="auto"/>
        </w:rPr>
        <w:t>If a Qualifying Termination occurs within twelve (12) months following a Change in Control,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then the Executive shall be entitled to the Accrued Obligations. In addition, and subject to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conditions of Section 8(d), the Company shall: (i) continue to pay to the Executive, in accordance with the Company’s regularly established payroll procedures, the Executive’s Base Salary (or, if higher, the</w:t>
      </w:r>
    </w:p>
    <w:p>
      <w:pPr>
        <w:spacing w:after="0" w:line="4" w:lineRule="exact"/>
        <w:rPr>
          <w:rFonts w:ascii="Times New Roman" w:cs="Times New Roman" w:eastAsia="Times New Roman" w:hAnsi="Times New Roman"/>
          <w:sz w:val="22"/>
          <w:szCs w:val="22"/>
          <w:color w:val="auto"/>
        </w:rPr>
      </w:pPr>
    </w:p>
    <w:p>
      <w:pPr>
        <w:ind w:left="40" w:right="16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Executive’s Base Salary in effect immediately prior to the Change in Control) for a period of twelve (12) months; (ii) pay to the Executive, in a single lump sum on the Payment Date (as defined below) an amount equal to 100% of the Executive’s Target Bonus for the year in which termination occurs or, if higher, the Executive’s Target Bonus immediately prior to the Change in Control, (iii) provided the Executive is eligible for and timely elects to continue receiving group medical insurance pursuant to the “COBRA” law, continue to pay (but in no event longer than twelve (12)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then-unvested equity awards that vest based solely on the passage of time vest and become fully exercisable or non-forfeitable as of the termination date (collectively, the “Change in Control Severance Benefits”).</w:t>
      </w:r>
    </w:p>
    <w:p>
      <w:pPr>
        <w:spacing w:after="0" w:line="279" w:lineRule="exact"/>
        <w:rPr>
          <w:rFonts w:ascii="Times New Roman" w:cs="Times New Roman" w:eastAsia="Times New Roman" w:hAnsi="Times New Roman"/>
          <w:sz w:val="22"/>
          <w:szCs w:val="22"/>
          <w:color w:val="auto"/>
        </w:rPr>
      </w:pPr>
    </w:p>
    <w:p>
      <w:pPr>
        <w:ind w:left="1100" w:hanging="326"/>
        <w:spacing w:after="0"/>
        <w:tabs>
          <w:tab w:leader="none" w:pos="11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Release</w:t>
      </w:r>
      <w:r>
        <w:rPr>
          <w:rFonts w:ascii="Times New Roman" w:cs="Times New Roman" w:eastAsia="Times New Roman" w:hAnsi="Times New Roman"/>
          <w:sz w:val="22"/>
          <w:szCs w:val="22"/>
          <w:color w:val="auto"/>
        </w:rPr>
        <w:t>. As a condition of the Executive’s receipt of the Severance Benefits or the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00" w:top="423" w:right="379" w:bottom="1440" w:gutter="0" w:footer="0" w:header="0"/>
        </w:sectPr>
      </w:pPr>
    </w:p>
    <w:bookmarkStart w:id="187" w:name="page188"/>
    <w:bookmarkEnd w:id="187"/>
    <w:p>
      <w:pPr>
        <w:ind w:left="40" w:right="20"/>
        <w:spacing w:after="0" w:line="233" w:lineRule="auto"/>
        <w:rPr>
          <w:sz w:val="20"/>
          <w:szCs w:val="20"/>
          <w:color w:val="auto"/>
        </w:rPr>
      </w:pPr>
      <w:r>
        <w:rPr>
          <w:rFonts w:ascii="Times New Roman" w:cs="Times New Roman" w:eastAsia="Times New Roman" w:hAnsi="Times New Roman"/>
          <w:sz w:val="22"/>
          <w:szCs w:val="22"/>
          <w:color w:val="auto"/>
        </w:rPr>
        <w:t>Change in Control Severance Benefits, as applicable, the Executive must execute and deliver to the Company a severance and release of claims agreement in a form to be provided by the Company (the “Severance Agreement”),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The Executive must continue to comply with the Employee Confidentiality and Assignment Agreement and any similar agreement with the Company in order to be eligible to continue receiving the Severance Benefits or Change in Control Severance Benefits, as applicable.</w:t>
      </w:r>
    </w:p>
    <w:p>
      <w:pPr>
        <w:spacing w:after="0" w:line="289" w:lineRule="exact"/>
        <w:rPr>
          <w:sz w:val="20"/>
          <w:szCs w:val="20"/>
          <w:color w:val="auto"/>
        </w:rPr>
      </w:pPr>
    </w:p>
    <w:p>
      <w:pPr>
        <w:ind w:left="40" w:firstLine="741"/>
        <w:spacing w:after="0" w:line="232" w:lineRule="auto"/>
        <w:tabs>
          <w:tab w:leader="none" w:pos="111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in Control Definition</w:t>
      </w:r>
      <w:r>
        <w:rPr>
          <w:rFonts w:ascii="Times New Roman" w:cs="Times New Roman" w:eastAsia="Times New Roman" w:hAnsi="Times New Roman"/>
          <w:sz w:val="22"/>
          <w:szCs w:val="22"/>
          <w:color w:val="auto"/>
        </w:rPr>
        <w:t>. For purposes of this Agreement, “Change in Control” shall mean the occurrence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423" w:right="479" w:bottom="1440" w:gutter="0" w:footer="0" w:header="0"/>
        </w:sectPr>
      </w:pPr>
    </w:p>
    <w:bookmarkStart w:id="188" w:name="page189"/>
    <w:bookmarkEnd w:id="188"/>
    <w:p>
      <w:pPr>
        <w:ind w:left="40"/>
        <w:spacing w:after="0" w:line="244" w:lineRule="auto"/>
        <w:rPr>
          <w:sz w:val="20"/>
          <w:szCs w:val="20"/>
          <w:color w:val="auto"/>
        </w:rPr>
      </w:pPr>
      <w:r>
        <w:rPr>
          <w:rFonts w:ascii="Times New Roman" w:cs="Times New Roman" w:eastAsia="Times New Roman" w:hAnsi="Times New Roman"/>
          <w:sz w:val="21"/>
          <w:szCs w:val="21"/>
          <w:color w:val="auto"/>
        </w:rPr>
        <w:t>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w:t>
      </w:r>
    </w:p>
    <w:p>
      <w:pPr>
        <w:spacing w:after="0" w:line="1" w:lineRule="exact"/>
        <w:rPr>
          <w:sz w:val="20"/>
          <w:szCs w:val="20"/>
          <w:color w:val="auto"/>
        </w:rPr>
      </w:pPr>
    </w:p>
    <w:p>
      <w:pPr>
        <w:ind w:left="40" w:right="80" w:hanging="9"/>
        <w:spacing w:after="0" w:line="233" w:lineRule="auto"/>
        <w:tabs>
          <w:tab w:leader="none" w:pos="34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(iv) the liquidation or dissolution of the Company.</w:t>
      </w:r>
    </w:p>
    <w:p>
      <w:pPr>
        <w:spacing w:after="0" w:line="216" w:lineRule="exact"/>
        <w:rPr>
          <w:sz w:val="20"/>
          <w:szCs w:val="20"/>
          <w:color w:val="auto"/>
        </w:rPr>
      </w:pPr>
    </w:p>
    <w:p>
      <w:pPr>
        <w:jc w:val="both"/>
        <w:ind w:left="40" w:right="220" w:hanging="7"/>
        <w:spacing w:after="0" w:line="241" w:lineRule="auto"/>
        <w:tabs>
          <w:tab w:leader="none" w:pos="29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Absence of Restrictions</w:t>
      </w:r>
      <w:r>
        <w:rPr>
          <w:rFonts w:ascii="Times New Roman" w:cs="Times New Roman" w:eastAsia="Times New Roman" w:hAnsi="Times New Roman"/>
          <w:sz w:val="22"/>
          <w:szCs w:val="22"/>
          <w:color w:val="auto"/>
        </w:rPr>
        <w:t>. The Executive represents and warrants that the Executive is not bound by any employment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contracts, restrictive covenants or other restrictions that prevent the Executive from entering into employment with, or carrying out the Executive’s responsibilities for, the Company, or which are in any way inconsistent with any of the terms of this Agreement.</w:t>
      </w:r>
    </w:p>
    <w:p>
      <w:pPr>
        <w:spacing w:after="0" w:line="212" w:lineRule="exact"/>
        <w:rPr>
          <w:sz w:val="20"/>
          <w:szCs w:val="20"/>
          <w:color w:val="auto"/>
        </w:rPr>
      </w:pPr>
    </w:p>
    <w:p>
      <w:pPr>
        <w:ind w:left="40" w:right="140"/>
        <w:spacing w:after="0" w:line="241"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i w:val="1"/>
          <w:iCs w:val="1"/>
          <w:color w:val="auto"/>
        </w:rPr>
        <w:t>Notice</w:t>
      </w:r>
      <w:r>
        <w:rPr>
          <w:rFonts w:ascii="Times New Roman" w:cs="Times New Roman" w:eastAsia="Times New Roman" w:hAnsi="Times New Roman"/>
          <w:sz w:val="22"/>
          <w:szCs w:val="22"/>
          <w:color w:val="auto"/>
        </w:rPr>
        <w:t>. Any notice delivered under this Agreement shall be deemed duly delivered three (3) business days after it is sent by 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2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To Executive:</w:t>
      </w:r>
    </w:p>
    <w:p>
      <w:pPr>
        <w:spacing w:after="0" w:line="2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At the address set forth in the Executive’s personnel file To Company:</w:t>
      </w:r>
    </w:p>
    <w:p>
      <w:pPr>
        <w:spacing w:after="0" w:line="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Fulcrum Therapeutics, Inc.</w:t>
      </w:r>
    </w:p>
    <w:p>
      <w:pPr>
        <w:ind w:left="780"/>
        <w:spacing w:after="0"/>
        <w:rPr>
          <w:sz w:val="20"/>
          <w:szCs w:val="20"/>
          <w:color w:val="auto"/>
        </w:rPr>
      </w:pPr>
      <w:r>
        <w:rPr>
          <w:rFonts w:ascii="Times New Roman" w:cs="Times New Roman" w:eastAsia="Times New Roman" w:hAnsi="Times New Roman"/>
          <w:sz w:val="22"/>
          <w:szCs w:val="22"/>
          <w:color w:val="auto"/>
        </w:rPr>
        <w:t>26 Landsdowne Street,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Cambridge, MA 02139</w:t>
      </w:r>
    </w:p>
    <w:p>
      <w:pPr>
        <w:spacing w:after="0" w:line="158" w:lineRule="exact"/>
        <w:rPr>
          <w:sz w:val="20"/>
          <w:szCs w:val="20"/>
          <w:color w:val="auto"/>
        </w:rPr>
      </w:pPr>
    </w:p>
    <w:p>
      <w:pPr>
        <w:ind w:left="40" w:right="120"/>
        <w:spacing w:after="0" w:line="258" w:lineRule="auto"/>
        <w:rPr>
          <w:sz w:val="20"/>
          <w:szCs w:val="20"/>
          <w:color w:val="auto"/>
        </w:rPr>
      </w:pPr>
      <w:r>
        <w:rPr>
          <w:rFonts w:ascii="Times New Roman" w:cs="Times New Roman" w:eastAsia="Times New Roman" w:hAnsi="Times New Roman"/>
          <w:sz w:val="22"/>
          <w:szCs w:val="22"/>
          <w:color w:val="auto"/>
        </w:rPr>
        <w:t>Either Party may change the address to which notices are to be delivered by giving notice of such change to the other Party in the manner set forth in this Section 10.</w:t>
      </w:r>
    </w:p>
    <w:p>
      <w:pPr>
        <w:spacing w:after="0" w:line="262" w:lineRule="exact"/>
        <w:rPr>
          <w:sz w:val="20"/>
          <w:szCs w:val="20"/>
          <w:color w:val="auto"/>
        </w:rPr>
      </w:pPr>
    </w:p>
    <w:p>
      <w:pPr>
        <w:ind w:left="40" w:right="80"/>
        <w:spacing w:after="0" w:line="262"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i w:val="1"/>
          <w:iCs w:val="1"/>
          <w:color w:val="auto"/>
        </w:rPr>
        <w:t>Applicable Law; Jury Trial Waiver</w:t>
      </w:r>
      <w:r>
        <w:rPr>
          <w:rFonts w:ascii="Times New Roman" w:cs="Times New Roman" w:eastAsia="Times New Roman" w:hAnsi="Times New Roman"/>
          <w:sz w:val="22"/>
          <w:szCs w:val="22"/>
          <w:color w:val="auto"/>
        </w:rPr>
        <w:t>. This Agreement shall be governed by and construed in accordance with the laws of the Commonwealth of Massachusetts (without reference to the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00" w:top="423" w:right="499" w:bottom="1440" w:gutter="0" w:footer="0" w:header="0"/>
        </w:sectPr>
      </w:pPr>
    </w:p>
    <w:bookmarkStart w:id="189" w:name="page190"/>
    <w:bookmarkEnd w:id="189"/>
    <w:p>
      <w:pPr>
        <w:jc w:val="both"/>
        <w:ind w:left="40" w:firstLine="251"/>
        <w:spacing w:after="0" w:line="238" w:lineRule="auto"/>
        <w:rPr>
          <w:sz w:val="20"/>
          <w:szCs w:val="20"/>
          <w:color w:val="auto"/>
        </w:rPr>
      </w:pPr>
      <w:r>
        <w:rPr>
          <w:rFonts w:ascii="Times New Roman" w:cs="Times New Roman" w:eastAsia="Times New Roman" w:hAnsi="Times New Roman"/>
          <w:sz w:val="22"/>
          <w:szCs w:val="22"/>
          <w:color w:val="auto"/>
        </w:rPr>
        <w:t>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213" w:lineRule="exact"/>
        <w:rPr>
          <w:sz w:val="20"/>
          <w:szCs w:val="20"/>
          <w:color w:val="auto"/>
        </w:rPr>
      </w:pPr>
    </w:p>
    <w:p>
      <w:pPr>
        <w:ind w:left="40" w:right="60"/>
        <w:spacing w:after="0" w:line="241"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i w:val="1"/>
          <w:iCs w:val="1"/>
          <w:color w:val="auto"/>
        </w:rPr>
        <w:t>Successors and Assigns</w:t>
      </w:r>
      <w:r>
        <w:rPr>
          <w:rFonts w:ascii="Times New Roman" w:cs="Times New Roman" w:eastAsia="Times New Roman" w:hAnsi="Times New Roman"/>
          <w:sz w:val="22"/>
          <w:szCs w:val="22"/>
          <w:color w:val="auto"/>
        </w:rPr>
        <w:t>. This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the Executive are personal and shall not be assigned by the Executive.</w:t>
      </w:r>
    </w:p>
    <w:p>
      <w:pPr>
        <w:spacing w:after="0" w:line="212" w:lineRule="exact"/>
        <w:rPr>
          <w:sz w:val="20"/>
          <w:szCs w:val="20"/>
          <w:color w:val="auto"/>
        </w:rPr>
      </w:pPr>
    </w:p>
    <w:p>
      <w:pPr>
        <w:jc w:val="both"/>
        <w:ind w:left="40" w:right="660"/>
        <w:spacing w:after="0" w:line="263" w:lineRule="auto"/>
        <w:rPr>
          <w:sz w:val="20"/>
          <w:szCs w:val="20"/>
          <w:color w:val="auto"/>
        </w:rPr>
      </w:pPr>
      <w:r>
        <w:rPr>
          <w:rFonts w:ascii="Times New Roman" w:cs="Times New Roman" w:eastAsia="Times New Roman" w:hAnsi="Times New Roman"/>
          <w:sz w:val="21"/>
          <w:szCs w:val="21"/>
          <w:color w:val="auto"/>
        </w:rPr>
        <w:t>13.</w:t>
      </w:r>
      <w:r>
        <w:rPr>
          <w:rFonts w:ascii="Times New Roman" w:cs="Times New Roman" w:eastAsia="Times New Roman" w:hAnsi="Times New Roman"/>
          <w:sz w:val="21"/>
          <w:szCs w:val="21"/>
          <w:i w:val="1"/>
          <w:iCs w:val="1"/>
          <w:color w:val="auto"/>
        </w:rPr>
        <w:t>At-Will Employment</w:t>
      </w:r>
      <w:r>
        <w:rPr>
          <w:rFonts w:ascii="Times New Roman" w:cs="Times New Roman" w:eastAsia="Times New Roman" w:hAnsi="Times New Roman"/>
          <w:sz w:val="21"/>
          <w:szCs w:val="21"/>
          <w:color w:val="auto"/>
        </w:rPr>
        <w:t>. During the Term of Employment, the Executive will continue to be an at-will employee of the Company, which means that, notwithstanding any other provision set forth herein, the employment relationship can be terminated by either Party for any reason, at any time, with or without prior notice and with or without Cause.</w:t>
      </w:r>
    </w:p>
    <w:p>
      <w:pPr>
        <w:spacing w:after="0" w:line="178" w:lineRule="exact"/>
        <w:rPr>
          <w:sz w:val="20"/>
          <w:szCs w:val="20"/>
          <w:color w:val="auto"/>
        </w:rPr>
      </w:pPr>
    </w:p>
    <w:p>
      <w:pPr>
        <w:ind w:left="40" w:right="600"/>
        <w:spacing w:after="0" w:line="241"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i w:val="1"/>
          <w:iCs w:val="1"/>
          <w:color w:val="auto"/>
        </w:rPr>
        <w:t>Acknowledgment</w:t>
      </w:r>
      <w:r>
        <w:rPr>
          <w:rFonts w:ascii="Times New Roman" w:cs="Times New Roman" w:eastAsia="Times New Roman" w:hAnsi="Times New Roman"/>
          <w:sz w:val="22"/>
          <w:szCs w:val="22"/>
          <w:color w:val="auto"/>
        </w:rPr>
        <w:t>. The Executive states and represents that the Executive has had an opportunity to fully discuss and review the terms of this Agreement 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212" w:lineRule="exact"/>
        <w:rPr>
          <w:sz w:val="20"/>
          <w:szCs w:val="20"/>
          <w:color w:val="auto"/>
        </w:rPr>
      </w:pPr>
    </w:p>
    <w:p>
      <w:pPr>
        <w:ind w:left="40" w:right="40"/>
        <w:spacing w:after="0" w:line="238"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i w:val="1"/>
          <w:iCs w:val="1"/>
          <w:color w:val="auto"/>
        </w:rPr>
        <w:t>No Oral Modification, Waiver, Cancellation or Discharge</w:t>
      </w:r>
      <w:r>
        <w:rPr>
          <w:rFonts w:ascii="Times New Roman" w:cs="Times New Roman" w:eastAsia="Times New Roman" w:hAnsi="Times New Roman"/>
          <w:sz w:val="22"/>
          <w:szCs w:val="22"/>
          <w:color w:val="auto"/>
        </w:rPr>
        <w:t>. This Agreement may be amended or modified only by a written instrument executed by both 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217" w:lineRule="exact"/>
        <w:rPr>
          <w:sz w:val="20"/>
          <w:szCs w:val="20"/>
          <w:color w:val="auto"/>
        </w:rPr>
      </w:pPr>
    </w:p>
    <w:p>
      <w:pPr>
        <w:ind w:left="40" w:right="60"/>
        <w:spacing w:after="0" w:line="241"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i w:val="1"/>
          <w:iCs w:val="1"/>
          <w:color w:val="auto"/>
        </w:rPr>
        <w:t>Captions and Pronouns</w:t>
      </w:r>
      <w:r>
        <w:rPr>
          <w:rFonts w:ascii="Times New Roman" w:cs="Times New Roman" w:eastAsia="Times New Roman" w:hAnsi="Times New Roman"/>
          <w:sz w:val="22"/>
          <w:szCs w:val="22"/>
          <w:color w:val="auto"/>
        </w:rPr>
        <w:t>. The captions of the sections of this Agreement are for convenience of reference only and in no way 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199" w:lineRule="exact"/>
        <w:rPr>
          <w:sz w:val="20"/>
          <w:szCs w:val="20"/>
          <w:color w:val="auto"/>
        </w:rPr>
      </w:pPr>
    </w:p>
    <w:p>
      <w:pPr>
        <w:ind w:left="40" w:right="20"/>
        <w:spacing w:after="0" w:line="239"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i w:val="1"/>
          <w:iCs w:val="1"/>
          <w:color w:val="auto"/>
        </w:rPr>
        <w:t>Interpretation</w:t>
      </w:r>
      <w:r>
        <w:rPr>
          <w:rFonts w:ascii="Times New Roman" w:cs="Times New Roman" w:eastAsia="Times New Roman" w:hAnsi="Times New Roman"/>
          <w:sz w:val="22"/>
          <w:szCs w:val="22"/>
          <w:color w:val="auto"/>
        </w:rPr>
        <w:t>. The Parties agree that this Agreement will be construed without regard to any presumption or rule requiring construction or interpretation against the drafting Party. References in this Agreement to “include” or “including” should be read as though they said “without</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limitation” or equivalent forms. References in this Agreement to the “Board” shall include any authorized committee thereof.</w:t>
      </w:r>
    </w:p>
    <w:p>
      <w:pPr>
        <w:spacing w:after="0" w:line="298" w:lineRule="exact"/>
        <w:rPr>
          <w:sz w:val="20"/>
          <w:szCs w:val="20"/>
          <w:color w:val="auto"/>
        </w:rPr>
      </w:pPr>
    </w:p>
    <w:p>
      <w:pPr>
        <w:ind w:left="40" w:right="580"/>
        <w:spacing w:after="0" w:line="246"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Each provision of this Agreement must be interpreted in such manner as to be effective and valid under applicable law, but if any provision of this Agreement is held to be prohibited by or invalid under applicable law, such provision will be ineffective only to the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00" w:top="423" w:right="559" w:bottom="1440" w:gutter="0" w:footer="0" w:header="0"/>
        </w:sectPr>
      </w:pPr>
    </w:p>
    <w:bookmarkStart w:id="190" w:name="page191"/>
    <w:bookmarkEnd w:id="190"/>
    <w:p>
      <w:pPr>
        <w:ind w:left="40" w:firstLine="250"/>
        <w:spacing w:after="0" w:line="238" w:lineRule="auto"/>
        <w:rPr>
          <w:sz w:val="20"/>
          <w:szCs w:val="20"/>
          <w:color w:val="auto"/>
        </w:rPr>
      </w:pPr>
      <w:r>
        <w:rPr>
          <w:rFonts w:ascii="Times New Roman" w:cs="Times New Roman" w:eastAsia="Times New Roman" w:hAnsi="Times New Roman"/>
          <w:sz w:val="22"/>
          <w:szCs w:val="22"/>
          <w:color w:val="auto"/>
        </w:rPr>
        <w:t>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213" w:lineRule="exact"/>
        <w:rPr>
          <w:sz w:val="20"/>
          <w:szCs w:val="20"/>
          <w:color w:val="auto"/>
        </w:rPr>
      </w:pPr>
    </w:p>
    <w:p>
      <w:pPr>
        <w:ind w:left="40" w:right="220"/>
        <w:spacing w:after="0" w:line="246"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 This Agreement constitutes the entire agreement between the Parties and supersedes all prior agreements and understandings, whether written or oral, relating to the subject matter of this Agreement, including, without limitation, the Existing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[Signatures on Page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00" w:top="423" w:right="559" w:bottom="1440" w:gutter="0" w:footer="0" w:header="0"/>
        </w:sectPr>
      </w:pPr>
    </w:p>
    <w:bookmarkStart w:id="191" w:name="page192"/>
    <w:bookmarkEnd w:id="191"/>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Agreement as of the day and year set forth above.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2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Kim Hazen</w:t>
            </w:r>
          </w:p>
        </w:tc>
        <w:tc>
          <w:tcPr>
            <w:tcW w:w="6180" w:type="dxa"/>
            <w:vAlign w:val="bottom"/>
          </w:tcPr>
          <w:p>
            <w:pPr>
              <w:spacing w:after="0"/>
              <w:rPr>
                <w:sz w:val="24"/>
                <w:szCs w:val="24"/>
                <w:color w:val="auto"/>
              </w:rPr>
            </w:pPr>
          </w:p>
        </w:tc>
      </w:tr>
      <w:tr>
        <w:trPr>
          <w:trHeight w:val="385"/>
        </w:trPr>
        <w:tc>
          <w:tcPr>
            <w:tcW w:w="12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Kim Hazen</w:t>
            </w:r>
          </w:p>
        </w:tc>
        <w:tc>
          <w:tcPr>
            <w:tcW w:w="6180" w:type="dxa"/>
            <w:vAlign w:val="bottom"/>
          </w:tcPr>
          <w:p>
            <w:pPr>
              <w:spacing w:after="0"/>
              <w:rPr>
                <w:sz w:val="24"/>
                <w:szCs w:val="24"/>
                <w:color w:val="auto"/>
              </w:rPr>
            </w:pPr>
          </w:p>
        </w:tc>
      </w:tr>
      <w:tr>
        <w:trPr>
          <w:trHeight w:val="385"/>
        </w:trPr>
        <w:tc>
          <w:tcPr>
            <w:tcW w:w="12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Title:</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Chief People Officer</w:t>
            </w:r>
          </w:p>
        </w:tc>
        <w:tc>
          <w:tcPr>
            <w:tcW w:w="6180" w:type="dxa"/>
            <w:vAlign w:val="bottom"/>
          </w:tcPr>
          <w:p>
            <w:pPr>
              <w:spacing w:after="0"/>
              <w:rPr>
                <w:sz w:val="24"/>
                <w:szCs w:val="24"/>
                <w:color w:val="auto"/>
              </w:rPr>
            </w:pPr>
          </w:p>
        </w:tc>
      </w:tr>
      <w:tr>
        <w:trPr>
          <w:trHeight w:val="546"/>
        </w:trPr>
        <w:tc>
          <w:tcPr>
            <w:tcW w:w="50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EXECUTIVE:</w:t>
            </w:r>
          </w:p>
        </w:tc>
        <w:tc>
          <w:tcPr>
            <w:tcW w:w="6180" w:type="dxa"/>
            <w:vAlign w:val="bottom"/>
          </w:tcPr>
          <w:p>
            <w:pPr>
              <w:spacing w:after="0"/>
              <w:rPr>
                <w:sz w:val="24"/>
                <w:szCs w:val="24"/>
                <w:color w:val="auto"/>
              </w:rPr>
            </w:pPr>
          </w:p>
        </w:tc>
      </w:tr>
      <w:tr>
        <w:trPr>
          <w:trHeight w:val="487"/>
        </w:trPr>
        <w:tc>
          <w:tcPr>
            <w:tcW w:w="12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Santiago Arroyo</w:t>
            </w:r>
          </w:p>
        </w:tc>
        <w:tc>
          <w:tcPr>
            <w:tcW w:w="6180" w:type="dxa"/>
            <w:vAlign w:val="bottom"/>
          </w:tcPr>
          <w:p>
            <w:pPr>
              <w:spacing w:after="0"/>
              <w:rPr>
                <w:sz w:val="24"/>
                <w:szCs w:val="24"/>
                <w:color w:val="auto"/>
              </w:rPr>
            </w:pPr>
          </w:p>
        </w:tc>
      </w:tr>
      <w:tr>
        <w:trPr>
          <w:trHeight w:val="384"/>
        </w:trPr>
        <w:tc>
          <w:tcPr>
            <w:tcW w:w="12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Santiago Arroyo</w:t>
            </w:r>
          </w:p>
        </w:tc>
        <w:tc>
          <w:tcPr>
            <w:tcW w:w="6180" w:type="dxa"/>
            <w:vAlign w:val="bottom"/>
          </w:tcPr>
          <w:p>
            <w:pPr>
              <w:spacing w:after="0"/>
              <w:rPr>
                <w:sz w:val="24"/>
                <w:szCs w:val="24"/>
                <w:color w:val="auto"/>
              </w:rPr>
            </w:pPr>
          </w:p>
        </w:tc>
      </w:tr>
      <w:tr>
        <w:trPr>
          <w:trHeight w:val="857"/>
        </w:trPr>
        <w:tc>
          <w:tcPr>
            <w:tcW w:w="1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10</w:t>
            </w:r>
          </w:p>
        </w:tc>
        <w:tc>
          <w:tcPr>
            <w:tcW w:w="382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103"/>
        </w:trPr>
        <w:tc>
          <w:tcPr>
            <w:tcW w:w="124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6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Payments Subject to Section 409A</w:t>
      </w:r>
    </w:p>
    <w:p>
      <w:pPr>
        <w:spacing w:after="0" w:line="251" w:lineRule="exact"/>
        <w:rPr>
          <w:sz w:val="20"/>
          <w:szCs w:val="20"/>
          <w:color w:val="auto"/>
        </w:rPr>
      </w:pPr>
    </w:p>
    <w:p>
      <w:pPr>
        <w:ind w:left="40" w:right="900" w:firstLine="741"/>
        <w:spacing w:after="0" w:line="241" w:lineRule="auto"/>
        <w:tabs>
          <w:tab w:leader="none" w:pos="149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this Exhibit A, any severance payments that may be due under the Agreement shall begin only upon the date of the Executive’s “separation from service”</w:t>
      </w:r>
    </w:p>
    <w:p>
      <w:pPr>
        <w:spacing w:after="0" w:line="1" w:lineRule="exact"/>
        <w:rPr>
          <w:rFonts w:ascii="Times New Roman" w:cs="Times New Roman" w:eastAsia="Times New Roman" w:hAnsi="Times New Roman"/>
          <w:sz w:val="22"/>
          <w:szCs w:val="22"/>
          <w:color w:val="auto"/>
        </w:rPr>
      </w:pPr>
    </w:p>
    <w:p>
      <w:pPr>
        <w:ind w:left="4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205" w:lineRule="exact"/>
        <w:rPr>
          <w:sz w:val="20"/>
          <w:szCs w:val="20"/>
          <w:color w:val="auto"/>
        </w:rPr>
      </w:pPr>
    </w:p>
    <w:p>
      <w:pPr>
        <w:jc w:val="both"/>
        <w:ind w:left="780" w:right="340" w:firstLine="750"/>
        <w:spacing w:after="0" w:line="239" w:lineRule="auto"/>
        <w:tabs>
          <w:tab w:leader="none" w:pos="224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intended that each installment of the severance payments provided under the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w:t>
      </w:r>
    </w:p>
    <w:p>
      <w:pPr>
        <w:spacing w:after="0" w:line="207" w:lineRule="exact"/>
        <w:rPr>
          <w:rFonts w:ascii="Times New Roman" w:cs="Times New Roman" w:eastAsia="Times New Roman" w:hAnsi="Times New Roman"/>
          <w:sz w:val="22"/>
          <w:szCs w:val="22"/>
          <w:color w:val="auto"/>
        </w:rPr>
      </w:pPr>
    </w:p>
    <w:p>
      <w:pPr>
        <w:jc w:val="both"/>
        <w:ind w:left="780" w:right="280" w:firstLine="750"/>
        <w:spacing w:after="0" w:line="244" w:lineRule="auto"/>
        <w:tabs>
          <w:tab w:leader="none" w:pos="224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200" w:lineRule="exact"/>
        <w:rPr>
          <w:rFonts w:ascii="Times New Roman" w:cs="Times New Roman" w:eastAsia="Times New Roman" w:hAnsi="Times New Roman"/>
          <w:sz w:val="22"/>
          <w:szCs w:val="22"/>
          <w:color w:val="auto"/>
        </w:rPr>
      </w:pPr>
    </w:p>
    <w:p>
      <w:pPr>
        <w:ind w:left="2240" w:hanging="710"/>
        <w:spacing w:after="0"/>
        <w:tabs>
          <w:tab w:leader="none" w:pos="224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of the date of the Executive’s “separation from service” from the Company, the Executive</w:t>
      </w:r>
    </w:p>
    <w:p>
      <w:pPr>
        <w:spacing w:after="0" w:line="1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is a “specified employee” (within the meaning of Section 409A), then:</w:t>
      </w:r>
    </w:p>
    <w:p>
      <w:pPr>
        <w:spacing w:after="0" w:line="209" w:lineRule="exact"/>
        <w:rPr>
          <w:sz w:val="20"/>
          <w:szCs w:val="20"/>
          <w:color w:val="auto"/>
        </w:rPr>
      </w:pPr>
    </w:p>
    <w:p>
      <w:pPr>
        <w:ind w:left="1980" w:right="80" w:hanging="599"/>
        <w:spacing w:after="0" w:line="236" w:lineRule="auto"/>
        <w:tabs>
          <w:tab w:leader="none" w:pos="198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208" w:lineRule="exact"/>
        <w:rPr>
          <w:rFonts w:ascii="Times New Roman" w:cs="Times New Roman" w:eastAsia="Times New Roman" w:hAnsi="Times New Roman"/>
          <w:sz w:val="22"/>
          <w:szCs w:val="22"/>
          <w:color w:val="auto"/>
        </w:rPr>
      </w:pPr>
    </w:p>
    <w:p>
      <w:pPr>
        <w:ind w:left="1980" w:right="200" w:hanging="674"/>
        <w:spacing w:after="0" w:line="234" w:lineRule="auto"/>
        <w:tabs>
          <w:tab w:leader="none" w:pos="19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00" w:top="432" w:right="479" w:bottom="1440" w:gutter="0" w:footer="0" w:header="0"/>
        </w:sectPr>
      </w:pPr>
    </w:p>
    <w:bookmarkStart w:id="193" w:name="page194"/>
    <w:bookmarkEnd w:id="193"/>
    <w:p>
      <w:pPr>
        <w:ind w:left="2000"/>
        <w:spacing w:after="0" w:line="238" w:lineRule="auto"/>
        <w:rPr>
          <w:sz w:val="20"/>
          <w:szCs w:val="20"/>
          <w:color w:val="auto"/>
        </w:rPr>
      </w:pPr>
      <w:r>
        <w:rPr>
          <w:rFonts w:ascii="Times New Roman" w:cs="Times New Roman" w:eastAsia="Times New Roman" w:hAnsi="Times New Roman"/>
          <w:sz w:val="22"/>
          <w:szCs w:val="22"/>
          <w:color w:val="auto"/>
        </w:rPr>
        <w:t>provide for a deferral of compensation by reason of the application of Treasury Regulation 1.409A-1(b) (9)(iii) (relating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w:t>
      </w:r>
    </w:p>
    <w:p>
      <w:pPr>
        <w:spacing w:after="0" w:line="204" w:lineRule="exact"/>
        <w:rPr>
          <w:sz w:val="20"/>
          <w:szCs w:val="20"/>
          <w:color w:val="auto"/>
        </w:rPr>
      </w:pPr>
    </w:p>
    <w:p>
      <w:pPr>
        <w:jc w:val="both"/>
        <w:ind w:left="40" w:right="700" w:firstLine="741"/>
        <w:spacing w:after="0" w:line="238" w:lineRule="auto"/>
        <w:tabs>
          <w:tab w:leader="none" w:pos="152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of whether and when the Executive’s separation from service from the Company has occurred shall be made and in a manner consistent with, and based on the presumptions set forth in, Treasury Regulation Section 1.409A-1(h). Solely for purposes of</w:t>
      </w:r>
    </w:p>
    <w:p>
      <w:pPr>
        <w:ind w:left="40" w:right="74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 of this Exhibit A, “Company” shall include all persons with whom the Company would be considered a single employer under Section 414(b) and 414(c) of the Code.</w:t>
      </w:r>
    </w:p>
    <w:p>
      <w:pPr>
        <w:spacing w:after="0" w:line="205" w:lineRule="exact"/>
        <w:rPr>
          <w:rFonts w:ascii="Times New Roman" w:cs="Times New Roman" w:eastAsia="Times New Roman" w:hAnsi="Times New Roman"/>
          <w:sz w:val="22"/>
          <w:szCs w:val="22"/>
          <w:color w:val="auto"/>
        </w:rPr>
      </w:pPr>
    </w:p>
    <w:p>
      <w:pPr>
        <w:ind w:left="40" w:right="320" w:firstLine="741"/>
        <w:spacing w:after="0" w:line="235" w:lineRule="auto"/>
        <w:tabs>
          <w:tab w:leader="none" w:pos="152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205" w:lineRule="exact"/>
        <w:rPr>
          <w:rFonts w:ascii="Times New Roman" w:cs="Times New Roman" w:eastAsia="Times New Roman" w:hAnsi="Times New Roman"/>
          <w:sz w:val="22"/>
          <w:szCs w:val="22"/>
          <w:color w:val="auto"/>
        </w:rPr>
      </w:pPr>
    </w:p>
    <w:p>
      <w:pPr>
        <w:ind w:left="40" w:right="640" w:firstLine="741"/>
        <w:spacing w:after="0" w:line="261" w:lineRule="auto"/>
        <w:tabs>
          <w:tab w:leader="none" w:pos="1516"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w:t>
      </w:r>
    </w:p>
    <w:p>
      <w:pPr>
        <w:spacing w:after="0" w:line="184" w:lineRule="exact"/>
        <w:rPr>
          <w:rFonts w:ascii="Times New Roman" w:cs="Times New Roman" w:eastAsia="Times New Roman" w:hAnsi="Times New Roman"/>
          <w:sz w:val="21"/>
          <w:szCs w:val="21"/>
          <w:color w:val="auto"/>
        </w:rPr>
      </w:pPr>
    </w:p>
    <w:p>
      <w:pPr>
        <w:ind w:left="1520" w:hanging="739"/>
        <w:spacing w:after="0"/>
        <w:tabs>
          <w:tab w:leader="none" w:pos="15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is intended to comply with, or be exempt from, Section 409A and shall be interpreted</w:t>
      </w:r>
    </w:p>
    <w:p>
      <w:pPr>
        <w:spacing w:after="0" w:line="14" w:lineRule="exact"/>
        <w:rPr>
          <w:rFonts w:ascii="Times New Roman" w:cs="Times New Roman" w:eastAsia="Times New Roman" w:hAnsi="Times New Roman"/>
          <w:sz w:val="22"/>
          <w:szCs w:val="22"/>
          <w:color w:val="auto"/>
        </w:rPr>
      </w:pPr>
    </w:p>
    <w:p>
      <w:pPr>
        <w:ind w:left="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66675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355"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33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Fulcrum Therapeutics Securities Corp.</w:t>
      </w:r>
      <w:r>
        <w:rPr>
          <w:sz w:val="20"/>
          <w:szCs w:val="20"/>
          <w:color w:val="auto"/>
        </w:rPr>
        <w:tab/>
      </w:r>
      <w:r>
        <w:rPr>
          <w:rFonts w:ascii="Times New Roman" w:cs="Times New Roman" w:eastAsia="Times New Roman" w:hAnsi="Times New Roman"/>
          <w:sz w:val="18"/>
          <w:szCs w:val="18"/>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543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493395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3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 the following Registration Statements:</w:t>
      </w:r>
    </w:p>
    <w:p>
      <w:pPr>
        <w:spacing w:after="0" w:line="233" w:lineRule="exact"/>
        <w:rPr>
          <w:sz w:val="20"/>
          <w:szCs w:val="20"/>
          <w:color w:val="auto"/>
        </w:rPr>
      </w:pPr>
    </w:p>
    <w:p>
      <w:pPr>
        <w:ind w:left="760" w:hanging="378"/>
        <w:spacing w:after="0" w:line="241" w:lineRule="auto"/>
        <w:tabs>
          <w:tab w:leader="none" w:pos="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333-233452) pertaining to the 2016 Stock Incentive Plan, as amended, 2019 Stock Incentive Plan, and 2019 Employee Stock Purchase Plan of Fulcrum Therapeutics, Inc.;</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333-236910) pertaining to the 2019 Stock Incentive Plan and 2019 Employee Stock Purchase Plan of Fulcrum Therapeutics, Inc.;</w:t>
      </w:r>
    </w:p>
    <w:p>
      <w:pPr>
        <w:spacing w:after="0" w:line="1" w:lineRule="exact"/>
        <w:rPr>
          <w:rFonts w:ascii="Times New Roman" w:cs="Times New Roman" w:eastAsia="Times New Roman" w:hAnsi="Times New Roman"/>
          <w:sz w:val="22"/>
          <w:szCs w:val="22"/>
          <w:color w:val="auto"/>
        </w:rPr>
      </w:pPr>
    </w:p>
    <w:p>
      <w:pPr>
        <w:ind w:left="760" w:right="260" w:hanging="378"/>
        <w:spacing w:after="0" w:line="230" w:lineRule="auto"/>
        <w:tabs>
          <w:tab w:leader="none" w:pos="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S-1 No. 333-239353) and related Prospectus of Fulcrum Therapeutics, Inc. (as amended by Form S-3/A No. 333-239353);</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333-253862) pertaining to the 2019 Stock Incentive Plan and 2019 Employee Stock Purchase Plan of Fulcrum Therapeutics, Inc.,</w:t>
      </w:r>
    </w:p>
    <w:p>
      <w:pPr>
        <w:spacing w:after="0" w:line="1" w:lineRule="exact"/>
        <w:rPr>
          <w:rFonts w:ascii="Times New Roman" w:cs="Times New Roman" w:eastAsia="Times New Roman" w:hAnsi="Times New Roman"/>
          <w:sz w:val="22"/>
          <w:szCs w:val="22"/>
          <w:color w:val="auto"/>
        </w:rPr>
      </w:pPr>
    </w:p>
    <w:p>
      <w:pPr>
        <w:jc w:val="both"/>
        <w:ind w:left="760" w:hanging="378"/>
        <w:spacing w:after="0" w:line="230" w:lineRule="auto"/>
        <w:tabs>
          <w:tab w:leader="none" w:pos="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333-262356) pertaining to the 2019 Stock Incentive Plan, 2019 Employee Stock Purchase Plan, and Inducement Stock Option Awards (September 2021 – January 2022) of Fulcrum Therapeutics, Inc.; and</w:t>
      </w:r>
    </w:p>
    <w:p>
      <w:pPr>
        <w:spacing w:after="0" w:line="1" w:lineRule="exact"/>
        <w:rPr>
          <w:rFonts w:ascii="Times New Roman" w:cs="Times New Roman" w:eastAsia="Times New Roman" w:hAnsi="Times New Roman"/>
          <w:sz w:val="22"/>
          <w:szCs w:val="22"/>
          <w:color w:val="auto"/>
        </w:rPr>
      </w:pPr>
    </w:p>
    <w:p>
      <w:pPr>
        <w:ind w:left="760" w:hanging="378"/>
        <w:spacing w:after="0" w:line="237" w:lineRule="auto"/>
        <w:tabs>
          <w:tab w:leader="none" w:pos="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333-263249) pertaining to 2022 Inducement Stock Incentive Plan, and Inducement Stock Option Award, as amended (February 2022) of Fulcrum Therapeutics, Inc.</w:t>
      </w:r>
    </w:p>
    <w:p>
      <w:pPr>
        <w:spacing w:after="0" w:line="2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of our report dated March 9, 2023, with respect to the consolidated financial statements of Fulcrum Therapeutics, Inc. included in this Annual Report (Form 10-K) of Fulcrum Therapeutics, Inc. for the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Massachusetts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96" w:name="page197"/>
    <w:bookmarkEnd w:id="196"/>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60" w:right="17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Gould, certify that:</w:t>
      </w:r>
    </w:p>
    <w:p>
      <w:pPr>
        <w:spacing w:after="0" w:line="117" w:lineRule="exact"/>
        <w:rPr>
          <w:sz w:val="20"/>
          <w:szCs w:val="20"/>
          <w:color w:val="auto"/>
        </w:rPr>
      </w:pPr>
    </w:p>
    <w:p>
      <w:pPr>
        <w:ind w:left="700" w:hanging="183"/>
        <w:spacing w:after="0"/>
        <w:tabs>
          <w:tab w:leader="none" w:pos="7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Fulcrum Therapeutics, Inc.;</w:t>
      </w:r>
    </w:p>
    <w:p>
      <w:pPr>
        <w:spacing w:after="0" w:line="117"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40" w:firstLine="517"/>
        <w:spacing w:after="0" w:line="282" w:lineRule="auto"/>
        <w:tabs>
          <w:tab w:leader="none" w:pos="68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520" w:right="380" w:firstLine="506"/>
        <w:spacing w:after="0" w:line="266" w:lineRule="auto"/>
        <w:tabs>
          <w:tab w:leader="none" w:pos="127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17"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7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00" w:firstLine="506"/>
        <w:spacing w:after="0" w:line="266" w:lineRule="auto"/>
        <w:tabs>
          <w:tab w:leader="none" w:pos="128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517"/>
        <w:spacing w:after="0" w:line="282" w:lineRule="auto"/>
        <w:tabs>
          <w:tab w:leader="none" w:pos="68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40" w:firstLine="506"/>
        <w:spacing w:after="0" w:line="282" w:lineRule="auto"/>
        <w:tabs>
          <w:tab w:leader="none" w:pos="127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firstLine="506"/>
        <w:spacing w:after="0" w:line="282" w:lineRule="auto"/>
        <w:tabs>
          <w:tab w:leader="none" w:pos="128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6300" w:val="left"/>
          <w:tab w:leader="none" w:pos="6760" w:val="left"/>
        </w:tabs>
        <w:rPr>
          <w:sz w:val="20"/>
          <w:szCs w:val="20"/>
          <w:color w:val="auto"/>
        </w:rPr>
      </w:pPr>
      <w:r>
        <w:rPr>
          <w:rFonts w:ascii="Times New Roman" w:cs="Times New Roman" w:eastAsia="Times New Roman" w:hAnsi="Times New Roman"/>
          <w:sz w:val="18"/>
          <w:szCs w:val="18"/>
          <w:color w:val="auto"/>
        </w:rPr>
        <w:t>Date: March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Gould, Ph.D.</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Esther Rajavelu, certify that:</w:t>
      </w:r>
    </w:p>
    <w:p>
      <w:pPr>
        <w:spacing w:after="0" w:line="117" w:lineRule="exact"/>
        <w:rPr>
          <w:sz w:val="20"/>
          <w:szCs w:val="20"/>
          <w:color w:val="auto"/>
        </w:rPr>
      </w:pPr>
    </w:p>
    <w:p>
      <w:pPr>
        <w:ind w:left="700" w:hanging="183"/>
        <w:spacing w:after="0"/>
        <w:tabs>
          <w:tab w:leader="none" w:pos="7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Fulcrum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82" w:lineRule="auto"/>
        <w:tabs>
          <w:tab w:leader="none" w:pos="68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80" w:hanging="254"/>
        <w:spacing w:after="0"/>
        <w:tabs>
          <w:tab w:leader="none" w:pos="12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11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40" w:firstLine="506"/>
        <w:spacing w:after="0" w:line="266" w:lineRule="auto"/>
        <w:tabs>
          <w:tab w:leader="none" w:pos="128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40" w:firstLine="517"/>
        <w:spacing w:after="0" w:line="282" w:lineRule="auto"/>
        <w:tabs>
          <w:tab w:leader="none" w:pos="68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tabs>
          <w:tab w:leader="none" w:pos="6640" w:val="left"/>
          <w:tab w:leader="none" w:pos="7100" w:val="left"/>
        </w:tabs>
        <w:rPr>
          <w:sz w:val="20"/>
          <w:szCs w:val="20"/>
          <w:color w:val="auto"/>
        </w:rPr>
      </w:pPr>
      <w:r>
        <w:rPr>
          <w:rFonts w:ascii="Times New Roman" w:cs="Times New Roman" w:eastAsia="Times New Roman" w:hAnsi="Times New Roman"/>
          <w:sz w:val="18"/>
          <w:szCs w:val="18"/>
          <w:color w:val="auto"/>
        </w:rPr>
        <w:t>Date: March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Esther Rajavelu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26035</wp:posOffset>
            </wp:positionV>
            <wp:extent cx="262318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Esther Rajavelu</w:t>
      </w:r>
    </w:p>
    <w:p>
      <w:pPr>
        <w:spacing w:after="0" w:line="3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Fulcrum Therapeutics, Inc. (the “Company”) for the year ended December 31, 2022, as filed with the Securities and Exchange Commission on the date hereof (the “Report”), the undersigned, Bryan Stuart, President and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5560" w:val="left"/>
          <w:tab w:leader="none" w:pos="5980" w:val="left"/>
        </w:tabs>
        <w:rPr>
          <w:sz w:val="20"/>
          <w:szCs w:val="20"/>
          <w:color w:val="auto"/>
        </w:rPr>
      </w:pPr>
      <w:r>
        <w:rPr>
          <w:rFonts w:ascii="Times New Roman" w:cs="Times New Roman" w:eastAsia="Times New Roman" w:hAnsi="Times New Roman"/>
          <w:sz w:val="18"/>
          <w:szCs w:val="18"/>
          <w:color w:val="auto"/>
        </w:rPr>
        <w:t>Date: March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Robert J. Gould, Ph.D.</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Fulcrum Therapeutics, Inc. (the “Company”) for the year ended December 31, 2022, as filed with the Securities and Exchange Commission on the date hereof (the “Report”), the undersigned, Esther Rajavelu, Chief Financial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5560" w:val="left"/>
          <w:tab w:leader="none" w:pos="5980" w:val="left"/>
        </w:tabs>
        <w:rPr>
          <w:sz w:val="20"/>
          <w:szCs w:val="20"/>
          <w:color w:val="auto"/>
        </w:rPr>
      </w:pPr>
      <w:r>
        <w:rPr>
          <w:rFonts w:ascii="Times New Roman" w:cs="Times New Roman" w:eastAsia="Times New Roman" w:hAnsi="Times New Roman"/>
          <w:sz w:val="18"/>
          <w:szCs w:val="18"/>
          <w:color w:val="auto"/>
        </w:rPr>
        <w:t>Date: March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Esther Rajavelu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Esther Rajavelu</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0" w:name="page201"/>
    <w:bookmarkEnd w:id="2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1)"/>
      <w:numFmt w:val="decimal"/>
      <w:start w:val="2"/>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1)"/>
      <w:numFmt w:val="lowerLetter"/>
      <w:start w:val="2"/>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
      <w:numFmt w:val="bullet"/>
      <w:start w:val="1"/>
    </w:lvl>
  </w:abstractNum>
  <w:abstractNum w:abstractNumId="47">
    <w:nsid w:val="14330624"/>
    <w:multiLevelType w:val="hybridMultilevel"/>
    <w:lvl w:ilvl="0">
      <w:lvlJc w:val="left"/>
      <w:lvlText w:val="•"/>
      <w:numFmt w:val="bullet"/>
      <w:start w:val="1"/>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
      <w:numFmt w:val="bullet"/>
      <w:start w:val="1"/>
    </w:lvl>
  </w:abstractNum>
  <w:abstractNum w:abstractNumId="50">
    <w:nsid w:val="71EA1109"/>
    <w:multiLevelType w:val="hybridMultilevel"/>
    <w:lvl w:ilvl="0">
      <w:lvlJc w:val="left"/>
      <w:lvlText w:val="•"/>
      <w:numFmt w:val="bullet"/>
      <w:start w:val="1"/>
    </w:lvl>
  </w:abstractNum>
  <w:abstractNum w:abstractNumId="51">
    <w:nsid w:val="100F59DC"/>
    <w:multiLevelType w:val="hybridMultilevel"/>
    <w:lvl w:ilvl="0">
      <w:lvlJc w:val="left"/>
      <w:lvlText w:val="•"/>
      <w:numFmt w:val="bullet"/>
      <w:start w:val="1"/>
    </w:lvl>
  </w:abstractNum>
  <w:abstractNum w:abstractNumId="52">
    <w:nsid w:val="7FB7E0AA"/>
    <w:multiLevelType w:val="hybridMultilevel"/>
    <w:lvl w:ilvl="0">
      <w:lvlJc w:val="left"/>
      <w:lvlText w:val="•"/>
      <w:numFmt w:val="bullet"/>
      <w:start w:val="1"/>
    </w:lvl>
  </w:abstractNum>
  <w:abstractNum w:abstractNumId="53">
    <w:nsid w:val="6EB5BD4"/>
    <w:multiLevelType w:val="hybridMultilevel"/>
    <w:lvl w:ilvl="0">
      <w:lvlJc w:val="left"/>
      <w:lvlText w:val="•"/>
      <w:numFmt w:val="bullet"/>
      <w:start w:val="1"/>
    </w:lvl>
  </w:abstractNum>
  <w:abstractNum w:abstractNumId="54">
    <w:nsid w:val="6F6DD9AC"/>
    <w:multiLevelType w:val="hybridMultilevel"/>
    <w:lvl w:ilvl="0">
      <w:lvlJc w:val="left"/>
      <w:lvlText w:val="•"/>
      <w:numFmt w:val="bullet"/>
      <w:start w:val="1"/>
    </w:lvl>
  </w:abstractNum>
  <w:abstractNum w:abstractNumId="55">
    <w:nsid w:val="94211F2"/>
    <w:multiLevelType w:val="hybridMultilevel"/>
    <w:lvl w:ilvl="0">
      <w:lvlJc w:val="left"/>
      <w:lvlText w:val="•"/>
      <w:numFmt w:val="bullet"/>
      <w:start w:val="1"/>
    </w:lvl>
  </w:abstractNum>
  <w:abstractNum w:abstractNumId="56">
    <w:nsid w:val="885E1B"/>
    <w:multiLevelType w:val="hybridMultilevel"/>
    <w:lvl w:ilvl="0">
      <w:lvlJc w:val="left"/>
      <w:lvlText w:val="(%1)"/>
      <w:numFmt w:val="lowerRoman"/>
      <w:start w:val="1"/>
    </w:lvl>
  </w:abstractNum>
  <w:abstractNum w:abstractNumId="57">
    <w:nsid w:val="76272110"/>
    <w:multiLevelType w:val="hybridMultilevel"/>
    <w:lvl w:ilvl="0">
      <w:lvlJc w:val="left"/>
      <w:lvlText w:val="#"/>
      <w:numFmt w:val="bullet"/>
      <w:start w:val="1"/>
    </w:lvl>
    <w:lvl w:ilvl="1">
      <w:lvlJc w:val="left"/>
      <w:lvlText w:val="%2"/>
      <w:numFmt w:val="decimal"/>
      <w:start w:val="104"/>
    </w:lvl>
  </w:abstractNum>
  <w:abstractNum w:abstractNumId="58">
    <w:nsid w:val="4C04A8AF"/>
    <w:multiLevelType w:val="hybridMultilevel"/>
    <w:lvl w:ilvl="0">
      <w:lvlJc w:val="left"/>
      <w:lvlText w:val="†"/>
      <w:numFmt w:val="bullet"/>
      <w:start w:val="1"/>
    </w:lvl>
  </w:abstractNum>
  <w:abstractNum w:abstractNumId="59">
    <w:nsid w:val="1716703B"/>
    <w:multiLevelType w:val="hybridMultilevel"/>
    <w:lvl w:ilvl="0">
      <w:lvlJc w:val="left"/>
      <w:lvlText w:val="%1."/>
      <w:numFmt w:val="decimal"/>
      <w:start w:val="1"/>
    </w:lvl>
  </w:abstractNum>
  <w:abstractNum w:abstractNumId="60">
    <w:nsid w:val="14E17E33"/>
    <w:multiLevelType w:val="hybridMultilevel"/>
    <w:lvl w:ilvl="0">
      <w:lvlJc w:val="left"/>
      <w:lvlText w:val="%1."/>
      <w:numFmt w:val="decimal"/>
      <w:start w:val="3"/>
    </w:lvl>
  </w:abstractNum>
  <w:abstractNum w:abstractNumId="61">
    <w:nsid w:val="3222E7CD"/>
    <w:multiLevelType w:val="hybridMultilevel"/>
    <w:lvl w:ilvl="0">
      <w:lvlJc w:val="left"/>
      <w:lvlText w:val="%1."/>
      <w:numFmt w:val="decimal"/>
      <w:start w:val="4"/>
    </w:lvl>
  </w:abstractNum>
  <w:abstractNum w:abstractNumId="62">
    <w:nsid w:val="74DE0EE3"/>
    <w:multiLevelType w:val="hybridMultilevel"/>
    <w:lvl w:ilvl="0">
      <w:lvlJc w:val="left"/>
      <w:lvlText w:val="%1."/>
      <w:numFmt w:val="decimal"/>
      <w:start w:val="7"/>
    </w:lvl>
  </w:abstractNum>
  <w:abstractNum w:abstractNumId="63">
    <w:nsid w:val="68EBC550"/>
    <w:multiLevelType w:val="hybridMultilevel"/>
    <w:lvl w:ilvl="0">
      <w:lvlJc w:val="left"/>
      <w:lvlText w:val="%1."/>
      <w:numFmt w:val="decimal"/>
      <w:start w:val="1"/>
    </w:lvl>
    <w:lvl w:ilvl="1">
      <w:lvlJc w:val="left"/>
      <w:lvlText w:val="(%2)"/>
      <w:numFmt w:val="lowerLetter"/>
      <w:start w:val="1"/>
    </w:lvl>
  </w:abstractNum>
  <w:abstractNum w:abstractNumId="64">
    <w:nsid w:val="2DF6D64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65">
    <w:nsid w:val="46B7D447"/>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66">
    <w:nsid w:val="4A2AC315"/>
    <w:multiLevelType w:val="hybridMultilevel"/>
    <w:lvl w:ilvl="0">
      <w:lvlJc w:val="left"/>
      <w:lvlText w:val="%1."/>
      <w:numFmt w:val="decimal"/>
      <w:start w:val="4"/>
    </w:lvl>
  </w:abstractNum>
  <w:abstractNum w:abstractNumId="67">
    <w:nsid w:val="39EE015C"/>
    <w:multiLevelType w:val="hybridMultilevel"/>
    <w:lvl w:ilvl="0">
      <w:lvlJc w:val="left"/>
      <w:lvlText w:val="%1."/>
      <w:numFmt w:val="decimal"/>
      <w:start w:val="5"/>
    </w:lvl>
  </w:abstractNum>
  <w:abstractNum w:abstractNumId="68">
    <w:nsid w:val="57FC4FBB"/>
    <w:multiLevelType w:val="hybridMultilevel"/>
    <w:lvl w:ilvl="0">
      <w:lvlJc w:val="left"/>
      <w:lvlText w:val="%1."/>
      <w:numFmt w:val="decimal"/>
      <w:start w:val="6"/>
    </w:lvl>
    <w:lvl w:ilvl="1">
      <w:lvlJc w:val="left"/>
      <w:lvlText w:val="(%2)"/>
      <w:numFmt w:val="lowerLetter"/>
      <w:start w:val="1"/>
    </w:lvl>
  </w:abstractNum>
  <w:abstractNum w:abstractNumId="69">
    <w:nsid w:val="CC1016F"/>
    <w:multiLevelType w:val="hybridMultilevel"/>
    <w:lvl w:ilvl="0">
      <w:lvlJc w:val="left"/>
      <w:lvlText w:val="%1."/>
      <w:numFmt w:val="decimal"/>
      <w:start w:val="8"/>
    </w:lvl>
    <w:lvl w:ilvl="1">
      <w:lvlJc w:val="left"/>
      <w:lvlText w:val="(%2)"/>
      <w:numFmt w:val="lowerRoman"/>
      <w:start w:val="1"/>
    </w:lvl>
  </w:abstractNum>
  <w:abstractNum w:abstractNumId="70">
    <w:nsid w:val="43F18422"/>
    <w:multiLevelType w:val="hybridMultilevel"/>
    <w:lvl w:ilvl="0">
      <w:lvlJc w:val="left"/>
      <w:lvlText w:val="%1."/>
      <w:numFmt w:val="decimal"/>
      <w:start w:val="11"/>
    </w:lvl>
  </w:abstractNum>
  <w:abstractNum w:abstractNumId="71">
    <w:nsid w:val="60EF0119"/>
    <w:multiLevelType w:val="hybridMultilevel"/>
    <w:lvl w:ilvl="0">
      <w:lvlJc w:val="left"/>
      <w:lvlText w:val="(%1)"/>
      <w:numFmt w:val="lowerRoman"/>
      <w:start w:val="1"/>
    </w:lvl>
  </w:abstractNum>
  <w:abstractNum w:abstractNumId="72">
    <w:nsid w:val="26F324BA"/>
    <w:multiLevelType w:val="hybridMultilevel"/>
    <w:lvl w:ilvl="0">
      <w:lvlJc w:val="left"/>
      <w:lvlText w:val="%1."/>
      <w:numFmt w:val="decimal"/>
      <w:start w:val="12"/>
    </w:lvl>
  </w:abstractNum>
  <w:abstractNum w:abstractNumId="73">
    <w:nsid w:val="7F01579B"/>
    <w:multiLevelType w:val="hybridMultilevel"/>
    <w:lvl w:ilvl="0">
      <w:lvlJc w:val="left"/>
      <w:lvlText w:val="%1."/>
      <w:numFmt w:val="decimal"/>
      <w:start w:val="15"/>
    </w:lvl>
  </w:abstractNum>
  <w:abstractNum w:abstractNumId="74">
    <w:nsid w:val="49DA307D"/>
    <w:multiLevelType w:val="hybridMultilevel"/>
    <w:lvl w:ilvl="0">
      <w:lvlJc w:val="left"/>
      <w:lvlText w:val="%1."/>
      <w:numFmt w:val="decimal"/>
      <w:start w:val="16"/>
    </w:lvl>
  </w:abstractNum>
  <w:abstractNum w:abstractNumId="75">
    <w:nsid w:val="7055A5F5"/>
    <w:multiLevelType w:val="hybridMultilevel"/>
    <w:lvl w:ilvl="0">
      <w:lvlJc w:val="left"/>
      <w:lvlText w:val="%1."/>
      <w:numFmt w:val="decimal"/>
      <w:start w:val="20"/>
    </w:lvl>
  </w:abstractNum>
  <w:abstractNum w:abstractNumId="76">
    <w:nsid w:val="5FB8370B"/>
    <w:multiLevelType w:val="hybridMultilevel"/>
    <w:lvl w:ilvl="0">
      <w:lvlJc w:val="left"/>
      <w:lvlText w:val="%1."/>
      <w:numFmt w:val="decimal"/>
      <w:start w:val="21"/>
    </w:lvl>
  </w:abstractNum>
  <w:abstractNum w:abstractNumId="77">
    <w:nsid w:val="50801EE1"/>
    <w:multiLevelType w:val="hybridMultilevel"/>
    <w:lvl w:ilvl="0">
      <w:lvlJc w:val="left"/>
      <w:lvlText w:val="%1."/>
      <w:numFmt w:val="decimal"/>
      <w:start w:val="1"/>
    </w:lvl>
  </w:abstractNum>
  <w:abstractNum w:abstractNumId="78">
    <w:nsid w:val="488AC1A"/>
    <w:multiLevelType w:val="hybridMultilevel"/>
    <w:lvl w:ilvl="0">
      <w:lvlJc w:val="left"/>
      <w:lvlText w:val="%1."/>
      <w:numFmt w:val="lowerLetter"/>
      <w:start w:val="1"/>
    </w:lvl>
  </w:abstractNum>
  <w:abstractNum w:abstractNumId="79">
    <w:nsid w:val="5FB8011C"/>
    <w:multiLevelType w:val="hybridMultilevel"/>
    <w:lvl w:ilvl="0">
      <w:lvlJc w:val="left"/>
      <w:lvlText w:val="%1"/>
      <w:numFmt w:val="decimal"/>
      <w:start w:val="1"/>
    </w:lvl>
    <w:lvl w:ilvl="1">
      <w:lvlJc w:val="left"/>
      <w:lvlText w:val="%2."/>
      <w:numFmt w:val="lowerLetter"/>
      <w:start w:val="2"/>
    </w:lvl>
    <w:lvl w:ilvl="2">
      <w:lvlJc w:val="left"/>
      <w:lvlText w:val="(%3)"/>
      <w:numFmt w:val="decimal"/>
      <w:start w:val="180"/>
    </w:lvl>
  </w:abstractNum>
  <w:abstractNum w:abstractNumId="80">
    <w:nsid w:val="6AA78F7F"/>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81">
    <w:nsid w:val="7672BD23"/>
    <w:multiLevelType w:val="hybridMultilevel"/>
    <w:lvl w:ilvl="0">
      <w:lvlJc w:val="left"/>
      <w:lvlText w:val="%1."/>
      <w:numFmt w:val="decimal"/>
      <w:start w:val="5"/>
    </w:lvl>
  </w:abstractNum>
  <w:abstractNum w:abstractNumId="82">
    <w:nsid w:val="6FC75AF8"/>
    <w:multiLevelType w:val="hybridMultilevel"/>
    <w:lvl w:ilvl="0">
      <w:lvlJc w:val="left"/>
      <w:lvlText w:val="%1."/>
      <w:numFmt w:val="decimal"/>
      <w:start w:val="6"/>
    </w:lvl>
  </w:abstractNum>
  <w:abstractNum w:abstractNumId="83">
    <w:nsid w:val="6A5F7029"/>
    <w:multiLevelType w:val="hybridMultilevel"/>
    <w:lvl w:ilvl="0">
      <w:lvlJc w:val="left"/>
      <w:lvlText w:val="%1."/>
      <w:numFmt w:val="decimal"/>
      <w:start w:val="10"/>
    </w:lvl>
  </w:abstractNum>
  <w:abstractNum w:abstractNumId="84">
    <w:nsid w:val="7D5E18F8"/>
    <w:multiLevelType w:val="hybridMultilevel"/>
    <w:lvl w:ilvl="0">
      <w:lvlJc w:val="left"/>
      <w:lvlText w:val="%1."/>
      <w:numFmt w:val="decimal"/>
      <w:start w:val="14"/>
    </w:lvl>
  </w:abstractNum>
  <w:abstractNum w:abstractNumId="85">
    <w:nsid w:val="5F3534A4"/>
    <w:multiLevelType w:val="hybridMultilevel"/>
    <w:lvl w:ilvl="0">
      <w:lvlJc w:val="left"/>
      <w:lvlText w:val="%1."/>
      <w:numFmt w:val="decimal"/>
      <w:start w:val="1"/>
    </w:lvl>
  </w:abstractNum>
  <w:abstractNum w:abstractNumId="86">
    <w:nsid w:val="73A1821B"/>
    <w:multiLevelType w:val="hybridMultilevel"/>
    <w:lvl w:ilvl="0">
      <w:lvlJc w:val="left"/>
      <w:lvlText w:val="%1."/>
      <w:numFmt w:val="decimal"/>
      <w:start w:val="1"/>
    </w:lvl>
    <w:lvl w:ilvl="1">
      <w:lvlJc w:val="left"/>
      <w:lvlText w:val="§"/>
      <w:numFmt w:val="bullet"/>
      <w:start w:val="1"/>
    </w:lvl>
  </w:abstractNum>
  <w:abstractNum w:abstractNumId="87">
    <w:nsid w:val="7DE67713"/>
    <w:multiLevelType w:val="hybridMultilevel"/>
    <w:lvl w:ilvl="0">
      <w:lvlJc w:val="left"/>
      <w:lvlText w:val="%1."/>
      <w:numFmt w:val="decimal"/>
      <w:start w:val="2"/>
    </w:lvl>
  </w:abstractNum>
  <w:abstractNum w:abstractNumId="88">
    <w:nsid w:val="555C55B5"/>
    <w:multiLevelType w:val="hybridMultilevel"/>
    <w:lvl w:ilvl="0">
      <w:lvlJc w:val="left"/>
      <w:lvlText w:val="%1."/>
      <w:numFmt w:val="decimal"/>
      <w:start w:val="1"/>
    </w:lvl>
  </w:abstractNum>
  <w:abstractNum w:abstractNumId="89">
    <w:nsid w:val="3FA62ACA"/>
    <w:multiLevelType w:val="hybridMultilevel"/>
    <w:lvl w:ilvl="0">
      <w:lvlJc w:val="left"/>
      <w:lvlText w:val="%1."/>
      <w:numFmt w:val="decimal"/>
      <w:start w:val="4"/>
    </w:lvl>
    <w:lvl w:ilvl="1">
      <w:lvlJc w:val="left"/>
      <w:lvlText w:val="(%2)"/>
      <w:numFmt w:val="lowerLetter"/>
      <w:start w:val="1"/>
    </w:lvl>
  </w:abstractNum>
  <w:abstractNum w:abstractNumId="90">
    <w:nsid w:val="14FCE74E"/>
    <w:multiLevelType w:val="hybridMultilevel"/>
    <w:lvl w:ilvl="0">
      <w:lvlJc w:val="left"/>
      <w:lvlText w:val="(%1)"/>
      <w:numFmt w:val="lowerLetter"/>
      <w:start w:val="5"/>
    </w:lvl>
  </w:abstractNum>
  <w:abstractNum w:abstractNumId="91">
    <w:nsid w:val="6A3DD3E8"/>
    <w:multiLevelType w:val="hybridMultilevel"/>
    <w:lvl w:ilvl="0">
      <w:lvlJc w:val="left"/>
      <w:lvlText w:val="%1"/>
      <w:numFmt w:val="decimal"/>
      <w:start w:val="1"/>
    </w:lvl>
    <w:lvl w:ilvl="1">
      <w:lvlJc w:val="left"/>
      <w:lvlText w:val="(%2)"/>
      <w:numFmt w:val="lowerLetter"/>
      <w:start w:val="6"/>
    </w:lvl>
  </w:abstractNum>
  <w:abstractNum w:abstractNumId="92">
    <w:nsid w:val="71C91298"/>
    <w:multiLevelType w:val="hybridMultilevel"/>
    <w:lvl w:ilvl="0">
      <w:lvlJc w:val="left"/>
      <w:lvlText w:val="%1."/>
      <w:numFmt w:val="decimal"/>
      <w:start w:val="5"/>
    </w:lvl>
    <w:lvl w:ilvl="1">
      <w:lvlJc w:val="left"/>
      <w:lvlText w:val="%2"/>
      <w:numFmt w:val="lowerLetter"/>
      <w:start w:val="1"/>
    </w:lvl>
  </w:abstractNum>
  <w:abstractNum w:abstractNumId="93">
    <w:nsid w:val="9DAF632"/>
    <w:multiLevelType w:val="hybridMultilevel"/>
    <w:lvl w:ilvl="0">
      <w:lvlJc w:val="left"/>
      <w:lvlText w:val="(%1)"/>
      <w:numFmt w:val="lowerLetter"/>
      <w:start w:val="1"/>
    </w:lvl>
  </w:abstractNum>
  <w:abstractNum w:abstractNumId="94">
    <w:nsid w:val="53299938"/>
    <w:multiLevelType w:val="hybridMultilevel"/>
    <w:lvl w:ilvl="0">
      <w:lvlJc w:val="left"/>
      <w:lvlText w:val="(%1)"/>
      <w:numFmt w:val="lowerRoman"/>
      <w:start w:val="1"/>
    </w:lvl>
  </w:abstractNum>
  <w:abstractNum w:abstractNumId="95">
    <w:nsid w:val="1FBFE8E0"/>
    <w:multiLevelType w:val="hybridMultilevel"/>
    <w:lvl w:ilvl="0">
      <w:lvlJc w:val="left"/>
      <w:lvlText w:val="(%1)"/>
      <w:numFmt w:val="lowerRoman"/>
      <w:start w:val="4"/>
    </w:lvl>
  </w:abstractNum>
  <w:abstractNum w:abstractNumId="96">
    <w:nsid w:val="5092CA7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97">
    <w:nsid w:val="1D545C4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98">
    <w:nsid w:val="59ADEA3D"/>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1"/>
    </w:lvl>
  </w:abstractNum>
  <w:abstractNum w:abstractNumId="99">
    <w:nsid w:val="288F1A34"/>
    <w:multiLevelType w:val="hybridMultilevel"/>
    <w:lvl w:ilvl="0">
      <w:lvlJc w:val="left"/>
      <w:lvlText w:val="%1."/>
      <w:numFmt w:val="decimal"/>
      <w:start w:val="8"/>
    </w:lvl>
    <w:lvl w:ilvl="1">
      <w:lvlJc w:val="left"/>
      <w:lvlText w:val="(%2)"/>
      <w:numFmt w:val="lowerLetter"/>
      <w:start w:val="1"/>
    </w:lvl>
  </w:abstractNum>
  <w:abstractNum w:abstractNumId="100">
    <w:nsid w:val="2A155DBC"/>
    <w:multiLevelType w:val="hybridMultilevel"/>
    <w:lvl w:ilvl="0">
      <w:lvlJc w:val="left"/>
      <w:lvlText w:val="%1"/>
      <w:numFmt w:val="decimal"/>
      <w:start w:val="1"/>
    </w:lvl>
    <w:lvl w:ilvl="1">
      <w:lvlJc w:val="left"/>
      <w:lvlText w:val="(%2)"/>
      <w:numFmt w:val="lowerLetter"/>
      <w:start w:val="2"/>
    </w:lvl>
  </w:abstractNum>
  <w:abstractNum w:abstractNumId="101">
    <w:nsid w:val="1D9F6E5F"/>
    <w:multiLevelType w:val="hybridMultilevel"/>
    <w:lvl w:ilvl="0">
      <w:lvlJc w:val="left"/>
      <w:lvlText w:val="(%1)"/>
      <w:numFmt w:val="decimal"/>
      <w:start w:val="9"/>
    </w:lvl>
    <w:lvl w:ilvl="1">
      <w:lvlJc w:val="left"/>
      <w:lvlText w:val="%2"/>
      <w:numFmt w:val="lowerLetter"/>
      <w:start w:val="1"/>
    </w:lvl>
  </w:abstractNum>
  <w:abstractNum w:abstractNumId="102">
    <w:nsid w:val="97E1B4E"/>
    <w:multiLevelType w:val="hybridMultilevel"/>
    <w:lvl w:ilvl="0">
      <w:lvlJc w:val="left"/>
      <w:lvlText w:val="(%1)"/>
      <w:numFmt w:val="lowerLetter"/>
      <w:start w:val="3"/>
    </w:lvl>
  </w:abstractNum>
  <w:abstractNum w:abstractNumId="103">
    <w:nsid w:val="51088277"/>
    <w:multiLevelType w:val="hybridMultilevel"/>
    <w:lvl w:ilvl="0">
      <w:lvlJc w:val="left"/>
      <w:lvlText w:val="(%1)"/>
      <w:numFmt w:val="lowerLetter"/>
      <w:start w:val="5"/>
    </w:lvl>
  </w:abstractNum>
  <w:abstractNum w:abstractNumId="104">
    <w:nsid w:val="1CA0C5FA"/>
    <w:multiLevelType w:val="hybridMultilevel"/>
    <w:lvl w:ilvl="0">
      <w:lvlJc w:val="left"/>
      <w:lvlText w:val="(%1)"/>
      <w:numFmt w:val="lowerLetter"/>
      <w:start w:val="25"/>
    </w:lvl>
  </w:abstractNum>
  <w:abstractNum w:abstractNumId="105">
    <w:nsid w:val="53584BCB"/>
    <w:multiLevelType w:val="hybridMultilevel"/>
    <w:lvl w:ilvl="0">
      <w:lvlJc w:val="left"/>
      <w:lvlText w:val="%1."/>
      <w:numFmt w:val="decimal"/>
      <w:start w:val="9"/>
    </w:lvl>
  </w:abstractNum>
  <w:abstractNum w:abstractNumId="106">
    <w:nsid w:val="415E286C"/>
    <w:multiLevelType w:val="hybridMultilevel"/>
    <w:lvl w:ilvl="0">
      <w:lvlJc w:val="left"/>
      <w:lvlText w:val="%1."/>
      <w:numFmt w:val="decimal"/>
      <w:start w:val="1"/>
    </w:lvl>
  </w:abstractNum>
  <w:abstractNum w:abstractNumId="107">
    <w:nsid w:val="7C58FD05"/>
    <w:multiLevelType w:val="hybridMultilevel"/>
    <w:lvl w:ilvl="0">
      <w:lvlJc w:val="left"/>
      <w:lvlText w:val="(%1)"/>
      <w:numFmt w:val="lowerLetter"/>
      <w:start w:val="1"/>
    </w:lvl>
  </w:abstractNum>
  <w:abstractNum w:abstractNumId="108">
    <w:nsid w:val="23D86AAC"/>
    <w:multiLevelType w:val="hybridMultilevel"/>
    <w:lvl w:ilvl="0">
      <w:lvlJc w:val="left"/>
      <w:lvlText w:val="%1"/>
      <w:numFmt w:val="lowerRoman"/>
      <w:start w:val="1"/>
    </w:lvl>
    <w:lvl w:ilvl="1">
      <w:lvlJc w:val="left"/>
      <w:lvlText w:val="(%2)"/>
      <w:numFmt w:val="lowerRoman"/>
      <w:start w:val="1"/>
    </w:lvl>
  </w:abstractNum>
  <w:abstractNum w:abstractNumId="109">
    <w:nsid w:val="45E6D486"/>
    <w:multiLevelType w:val="hybridMultilevel"/>
    <w:lvl w:ilvl="0">
      <w:lvlJc w:val="left"/>
      <w:lvlText w:val="(%1)"/>
      <w:numFmt w:val="lowerRoman"/>
      <w:start w:val="2"/>
    </w:lvl>
    <w:lvl w:ilvl="1">
      <w:lvlJc w:val="left"/>
      <w:lvlText w:val="%2"/>
      <w:numFmt w:val="lowerRoman"/>
      <w:start w:val="1"/>
    </w:lvl>
  </w:abstractNum>
  <w:abstractNum w:abstractNumId="110">
    <w:nsid w:val="5C10FE21"/>
    <w:multiLevelType w:val="hybridMultilevel"/>
    <w:lvl w:ilvl="0">
      <w:lvlJc w:val="left"/>
      <w:lvlText w:val="%1."/>
      <w:numFmt w:val="decimal"/>
      <w:start w:val="2"/>
    </w:lvl>
  </w:abstractNum>
  <w:abstractNum w:abstractNumId="111">
    <w:nsid w:val="E7FFA2B"/>
    <w:multiLevelType w:val="hybridMultilevel"/>
    <w:lvl w:ilvl="0">
      <w:lvlJc w:val="left"/>
      <w:lvlText w:val="%1."/>
      <w:numFmt w:val="decimal"/>
      <w:start w:val="1"/>
    </w:lvl>
  </w:abstractNum>
  <w:abstractNum w:abstractNumId="112">
    <w:nsid w:val="3C5991AA"/>
    <w:multiLevelType w:val="hybridMultilevel"/>
    <w:lvl w:ilvl="0">
      <w:lvlJc w:val="left"/>
      <w:lvlText w:val="%1."/>
      <w:numFmt w:val="decimal"/>
      <w:start w:val="1"/>
    </w:lvl>
    <w:lvl w:ilvl="1">
      <w:lvlJc w:val="left"/>
      <w:lvlText w:val="(%2)"/>
      <w:numFmt w:val="lowerLetter"/>
      <w:start w:val="1"/>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decimal"/>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50" Type="http://schemas.openxmlformats.org/officeDocument/2006/relationships/image" Target="media/image324.png"/><Relationship Id="rId351" Type="http://schemas.openxmlformats.org/officeDocument/2006/relationships/image" Target="media/image325.png"/><Relationship Id="rId361" Type="http://schemas.openxmlformats.org/officeDocument/2006/relationships/image" Target="media/image326.png"/><Relationship Id="rId362" Type="http://schemas.openxmlformats.org/officeDocument/2006/relationships/image" Target="media/image327.png"/><Relationship Id="rId363" Type="http://schemas.openxmlformats.org/officeDocument/2006/relationships/image" Target="media/image328.png"/><Relationship Id="rId364" Type="http://schemas.openxmlformats.org/officeDocument/2006/relationships/image" Target="media/image329.png"/><Relationship Id="rId365" Type="http://schemas.openxmlformats.org/officeDocument/2006/relationships/image" Target="media/image330.png"/><Relationship Id="rId366" Type="http://schemas.openxmlformats.org/officeDocument/2006/relationships/image" Target="media/image331.png"/><Relationship Id="rId367" Type="http://schemas.openxmlformats.org/officeDocument/2006/relationships/image" Target="media/image332.png"/><Relationship Id="rId368" Type="http://schemas.openxmlformats.org/officeDocument/2006/relationships/image" Target="media/image333.png"/><Relationship Id="rId369" Type="http://schemas.openxmlformats.org/officeDocument/2006/relationships/image" Target="media/image334.png"/><Relationship Id="rId370" Type="http://schemas.openxmlformats.org/officeDocument/2006/relationships/image" Target="media/image335.png"/><Relationship Id="rId371" Type="http://schemas.openxmlformats.org/officeDocument/2006/relationships/image" Target="media/image336.png"/><Relationship Id="rId372" Type="http://schemas.openxmlformats.org/officeDocument/2006/relationships/image" Target="media/image337.png"/><Relationship Id="rId373" Type="http://schemas.openxmlformats.org/officeDocument/2006/relationships/image" Target="media/image338.png"/><Relationship Id="rId374" Type="http://schemas.openxmlformats.org/officeDocument/2006/relationships/image" Target="media/image339.png"/><Relationship Id="rId375" Type="http://schemas.openxmlformats.org/officeDocument/2006/relationships/image" Target="media/image340.png"/><Relationship Id="rId376" Type="http://schemas.openxmlformats.org/officeDocument/2006/relationships/image" Target="media/image341.png"/><Relationship Id="rId377" Type="http://schemas.openxmlformats.org/officeDocument/2006/relationships/image" Target="media/image342.png"/><Relationship Id="rId378" Type="http://schemas.openxmlformats.org/officeDocument/2006/relationships/image" Target="media/image343.png"/><Relationship Id="rId379" Type="http://schemas.openxmlformats.org/officeDocument/2006/relationships/image" Target="media/image344.png"/><Relationship Id="rId380" Type="http://schemas.openxmlformats.org/officeDocument/2006/relationships/image" Target="media/image345.png"/><Relationship Id="rId381" Type="http://schemas.openxmlformats.org/officeDocument/2006/relationships/image" Target="media/image346.png"/><Relationship Id="rId382" Type="http://schemas.openxmlformats.org/officeDocument/2006/relationships/image" Target="media/image347.png"/><Relationship Id="rId383" Type="http://schemas.openxmlformats.org/officeDocument/2006/relationships/image" Target="media/image348.png"/><Relationship Id="rId384" Type="http://schemas.openxmlformats.org/officeDocument/2006/relationships/image" Target="media/image349.png"/><Relationship Id="rId385" Type="http://schemas.openxmlformats.org/officeDocument/2006/relationships/image" Target="media/image350.png"/><Relationship Id="rId386" Type="http://schemas.openxmlformats.org/officeDocument/2006/relationships/image" Target="media/image351.png"/><Relationship Id="rId387" Type="http://schemas.openxmlformats.org/officeDocument/2006/relationships/image" Target="media/image352.png"/><Relationship Id="rId388" Type="http://schemas.openxmlformats.org/officeDocument/2006/relationships/image" Target="media/image353.png"/><Relationship Id="rId389" Type="http://schemas.openxmlformats.org/officeDocument/2006/relationships/image" Target="media/image354.png"/><Relationship Id="rId390" Type="http://schemas.openxmlformats.org/officeDocument/2006/relationships/image" Target="media/image355.png"/><Relationship Id="rId391" Type="http://schemas.openxmlformats.org/officeDocument/2006/relationships/image" Target="media/image356.png"/><Relationship Id="rId392" Type="http://schemas.openxmlformats.org/officeDocument/2006/relationships/image" Target="media/image357.png"/><Relationship Id="rId393" Type="http://schemas.openxmlformats.org/officeDocument/2006/relationships/image" Target="media/image358.png"/><Relationship Id="rId394" Type="http://schemas.openxmlformats.org/officeDocument/2006/relationships/image" Target="media/image359.png"/><Relationship Id="rId395" Type="http://schemas.openxmlformats.org/officeDocument/2006/relationships/image" Target="media/image360.png"/><Relationship Id="rId396" Type="http://schemas.openxmlformats.org/officeDocument/2006/relationships/image" Target="media/image361.png"/><Relationship Id="rId397" Type="http://schemas.openxmlformats.org/officeDocument/2006/relationships/image" Target="media/image362.png"/><Relationship Id="rId398" Type="http://schemas.openxmlformats.org/officeDocument/2006/relationships/image" Target="media/image363.png"/><Relationship Id="rId399" Type="http://schemas.openxmlformats.org/officeDocument/2006/relationships/image" Target="media/image364.png"/><Relationship Id="rId400" Type="http://schemas.openxmlformats.org/officeDocument/2006/relationships/image" Target="media/image365.png"/><Relationship Id="rId401" Type="http://schemas.openxmlformats.org/officeDocument/2006/relationships/image" Target="media/image366.png"/><Relationship Id="rId402" Type="http://schemas.openxmlformats.org/officeDocument/2006/relationships/image" Target="media/image367.png"/><Relationship Id="rId403" Type="http://schemas.openxmlformats.org/officeDocument/2006/relationships/image" Target="media/image368.png"/><Relationship Id="rId404" Type="http://schemas.openxmlformats.org/officeDocument/2006/relationships/image" Target="media/image369.png"/><Relationship Id="rId405" Type="http://schemas.openxmlformats.org/officeDocument/2006/relationships/image" Target="media/image370.png"/><Relationship Id="rId406" Type="http://schemas.openxmlformats.org/officeDocument/2006/relationships/image" Target="media/image371.png"/><Relationship Id="rId407" Type="http://schemas.openxmlformats.org/officeDocument/2006/relationships/image" Target="media/image372.png"/><Relationship Id="rId408" Type="http://schemas.openxmlformats.org/officeDocument/2006/relationships/image" Target="media/image373.png"/><Relationship Id="rId409" Type="http://schemas.openxmlformats.org/officeDocument/2006/relationships/image" Target="media/image374.png"/><Relationship Id="rId410" Type="http://schemas.openxmlformats.org/officeDocument/2006/relationships/image" Target="media/image375.png"/><Relationship Id="rId411" Type="http://schemas.openxmlformats.org/officeDocument/2006/relationships/image" Target="media/image376.png"/><Relationship Id="rId412" Type="http://schemas.openxmlformats.org/officeDocument/2006/relationships/image" Target="media/image377.png"/><Relationship Id="rId413" Type="http://schemas.openxmlformats.org/officeDocument/2006/relationships/image" Target="media/image378.png"/><Relationship Id="rId414" Type="http://schemas.openxmlformats.org/officeDocument/2006/relationships/image" Target="media/image379.png"/><Relationship Id="rId415" Type="http://schemas.openxmlformats.org/officeDocument/2006/relationships/image" Target="media/image380.png"/><Relationship Id="rId416" Type="http://schemas.openxmlformats.org/officeDocument/2006/relationships/image" Target="media/image381.png"/><Relationship Id="rId417" Type="http://schemas.openxmlformats.org/officeDocument/2006/relationships/image" Target="media/image382.png"/><Relationship Id="rId418" Type="http://schemas.openxmlformats.org/officeDocument/2006/relationships/image" Target="media/image383.png"/><Relationship Id="rId419" Type="http://schemas.openxmlformats.org/officeDocument/2006/relationships/image" Target="media/image384.png"/><Relationship Id="rId420" Type="http://schemas.openxmlformats.org/officeDocument/2006/relationships/image" Target="media/image385.png"/><Relationship Id="rId421" Type="http://schemas.openxmlformats.org/officeDocument/2006/relationships/image" Target="media/image386.png"/><Relationship Id="rId422" Type="http://schemas.openxmlformats.org/officeDocument/2006/relationships/image" Target="media/image387.png"/><Relationship Id="rId423" Type="http://schemas.openxmlformats.org/officeDocument/2006/relationships/image" Target="media/image388.png"/><Relationship Id="rId424" Type="http://schemas.openxmlformats.org/officeDocument/2006/relationships/image" Target="media/image389.png"/><Relationship Id="rId425" Type="http://schemas.openxmlformats.org/officeDocument/2006/relationships/image" Target="media/image390.png"/><Relationship Id="rId426" Type="http://schemas.openxmlformats.org/officeDocument/2006/relationships/image" Target="media/image391.png"/><Relationship Id="rId427" Type="http://schemas.openxmlformats.org/officeDocument/2006/relationships/image" Target="media/image392.png"/><Relationship Id="rId428" Type="http://schemas.openxmlformats.org/officeDocument/2006/relationships/image" Target="media/image393.png"/><Relationship Id="rId429" Type="http://schemas.openxmlformats.org/officeDocument/2006/relationships/image" Target="media/image394.png"/><Relationship Id="rId430" Type="http://schemas.openxmlformats.org/officeDocument/2006/relationships/image" Target="media/image395.png"/><Relationship Id="rId431" Type="http://schemas.openxmlformats.org/officeDocument/2006/relationships/image" Target="media/image396.png"/><Relationship Id="rId432" Type="http://schemas.openxmlformats.org/officeDocument/2006/relationships/image" Target="media/image397.png"/><Relationship Id="rId433" Type="http://schemas.openxmlformats.org/officeDocument/2006/relationships/image" Target="media/image398.png"/><Relationship Id="rId434" Type="http://schemas.openxmlformats.org/officeDocument/2006/relationships/image" Target="media/image399.png"/><Relationship Id="rId435" Type="http://schemas.openxmlformats.org/officeDocument/2006/relationships/image" Target="media/image400.png"/><Relationship Id="rId331" Type="http://schemas.openxmlformats.org/officeDocument/2006/relationships/hyperlink" Target="https://www.sec.gov/Archives/edgar/data/0001680581/000104746919004324/a2239321zex-3_1.htm" TargetMode="External"/><Relationship Id="rId332" Type="http://schemas.openxmlformats.org/officeDocument/2006/relationships/hyperlink" Target="https://www.sec.gov/Archives/edgar/data/0001680581/000104746919004324/a2239321zex-3_2.htm" TargetMode="External"/><Relationship Id="rId333" Type="http://schemas.openxmlformats.org/officeDocument/2006/relationships/hyperlink" Target="https://www.sec.gov/Archives/edgar/data/1680581/000104746919003793/a2239080zex-4_1.htm" TargetMode="External"/><Relationship Id="rId334" Type="http://schemas.openxmlformats.org/officeDocument/2006/relationships/hyperlink" Target="https://www.sec.gov/Archives/edgar/data/1680581/000156459020008951/fulc-ex42_198.htm" TargetMode="External"/><Relationship Id="rId335" Type="http://schemas.openxmlformats.org/officeDocument/2006/relationships/hyperlink" Target="https://www.sec.gov/Archives/edgar/data/1680581/000104746919003793/a2239080zex-10_1.htm" TargetMode="External"/><Relationship Id="rId336" Type="http://schemas.openxmlformats.org/officeDocument/2006/relationships/hyperlink" Target="https://www.sec.gov/Archives/edgar/data/1680581/000119312520165696/d857108dex102.htm" TargetMode="External"/><Relationship Id="rId337" Type="http://schemas.openxmlformats.org/officeDocument/2006/relationships/hyperlink" Target="https://www.sec.gov/Archives/edgar/data/1680581/000104746919003793/a2239080zex-10_2.htm" TargetMode="External"/><Relationship Id="rId338" Type="http://schemas.openxmlformats.org/officeDocument/2006/relationships/hyperlink" Target="https://www.sec.gov/Archives/edgar/data/1680581/000104746919003793/a2239080zex-10_3.htm" TargetMode="External"/><Relationship Id="rId339" Type="http://schemas.openxmlformats.org/officeDocument/2006/relationships/hyperlink" Target="https://www.sec.gov/Archives/edgar/data/1680581/000104746919003793/a2239080zex-10_4.htm" TargetMode="External"/><Relationship Id="rId340" Type="http://schemas.openxmlformats.org/officeDocument/2006/relationships/hyperlink" Target="https://www.sec.gov/Archives/edgar/data/1680581/000104746919003793/a2239080zex-10_5.htm" TargetMode="External"/><Relationship Id="rId341" Type="http://schemas.openxmlformats.org/officeDocument/2006/relationships/hyperlink" Target="https://www.sec.gov/Archives/edgar/data/0001680581/000104746919004014/a2239182zex-10_6.htm" TargetMode="External"/><Relationship Id="rId342" Type="http://schemas.openxmlformats.org/officeDocument/2006/relationships/hyperlink" Target="https://www.sec.gov/Archives/edgar/data/0001680581/000104746919004014/a2239182zex-10_7.htm" TargetMode="External"/><Relationship Id="rId343" Type="http://schemas.openxmlformats.org/officeDocument/2006/relationships/hyperlink" Target="https://www.sec.gov/Archives/edgar/data/1680581/000156459021054234/fulc-ex101_13.htm" TargetMode="External"/><Relationship Id="rId344" Type="http://schemas.openxmlformats.org/officeDocument/2006/relationships/hyperlink" Target="https://www.sec.gov/Archives/edgar/data/1680581/000095017022002727/fulc-ex10_10.htm" TargetMode="External"/><Relationship Id="rId345" Type="http://schemas.openxmlformats.org/officeDocument/2006/relationships/hyperlink" Target="https://www.sec.gov/Archives/edgar/data/0001680581/000104746919004014/a2239182zex-10_8.htm" TargetMode="External"/><Relationship Id="rId346" Type="http://schemas.openxmlformats.org/officeDocument/2006/relationships/hyperlink" Target="https://www.sec.gov/Archives/edgar/data/1680581/000095017022002727/fulc-ex10_12.htm" TargetMode="External"/><Relationship Id="rId347" Type="http://schemas.openxmlformats.org/officeDocument/2006/relationships/hyperlink" Target="https://www.sec.gov/Archives/edgar/data/1680581/000095017022002727/fulc-ex10_13.htm" TargetMode="External"/><Relationship Id="rId348" Type="http://schemas.openxmlformats.org/officeDocument/2006/relationships/hyperlink" Target="https://www.sec.gov/Archives/edgar/data/1680581/000095017022002727/fulc-ex10_14.htm" TargetMode="External"/><Relationship Id="rId349" Type="http://schemas.openxmlformats.org/officeDocument/2006/relationships/hyperlink" Target="https://www.sec.gov/Archives/edgar/data/0001680581/000104746919004014/a2239182zex-10_12.htm" TargetMode="External"/><Relationship Id="rId352" Type="http://schemas.openxmlformats.org/officeDocument/2006/relationships/hyperlink" Target="https://www.sec.gov/Archives/edgar/data/1680581/000156459021010715/fulc-ex1016_279.htm" TargetMode="External"/><Relationship Id="rId353" Type="http://schemas.openxmlformats.org/officeDocument/2006/relationships/hyperlink" Target="https://www.sec.gov/Archives/edgar/data/1680581/000119312522217954/d346123dex101.htm" TargetMode="External"/><Relationship Id="rId354" Type="http://schemas.openxmlformats.org/officeDocument/2006/relationships/hyperlink" Target="https://www.sec.gov/Archives/edgar/data/1680581/000095017022002727/fulc-ex10_23.htm" TargetMode="External"/><Relationship Id="rId355" Type="http://schemas.openxmlformats.org/officeDocument/2006/relationships/hyperlink" Target="https://www.sec.gov/Archives/edgar/data/0001680581/000104746919003793/a2239080zex-10_15.htm" TargetMode="External"/><Relationship Id="rId356" Type="http://schemas.openxmlformats.org/officeDocument/2006/relationships/hyperlink" Target="https://www.sec.gov/Archives/edgar/data/1680581/000104746919003793/a2239080zex-10_10.htm" TargetMode="External"/><Relationship Id="rId357" Type="http://schemas.openxmlformats.org/officeDocument/2006/relationships/hyperlink" Target="https://www.sec.gov/Archives/edgar/data/1680581/000156459020052732/fulc-ex102_13.htm" TargetMode="External"/><Relationship Id="rId358" Type="http://schemas.openxmlformats.org/officeDocument/2006/relationships/hyperlink" Target="https://www.sec.gov/Archives/edgar/data/1680581/000156459020052732/fulc-ex101_12.htm" TargetMode="External"/><Relationship Id="rId359" Type="http://schemas.openxmlformats.org/officeDocument/2006/relationships/hyperlink" Target="https://www.sec.gov/Archives/edgar/data/1680581/000104746919003793/a2239080zex-10_11.htm" TargetMode="External"/><Relationship Id="rId360" Type="http://schemas.openxmlformats.org/officeDocument/2006/relationships/hyperlink" Target="https://www.sec.gov/Archives/edgar/data/1680581/000119312522145361/d335800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2023-03-09T06:30:25Z</dcterms:created>
  <dcterms:modified xsi:type="dcterms:W3CDTF">2023-03-09T06:30:25Z</dcterms:modified>
</cp:coreProperties>
</file>