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auto"/>
        </w:rPr>
        <w:t>As filed with the Securities and Exchange Commission on March 2, 2022</w:t>
      </w:r>
    </w:p>
    <w:p>
      <w:pPr>
        <w:spacing w:after="0" w:line="26" w:lineRule="exact"/>
        <w:rPr>
          <w:sz w:val="24"/>
          <w:szCs w:val="24"/>
          <w:color w:val="auto"/>
        </w:rPr>
      </w:pPr>
    </w:p>
    <w:p>
      <w:pPr>
        <w:jc w:val="right"/>
        <w:spacing w:after="0"/>
        <w:rPr>
          <w:sz w:val="20"/>
          <w:szCs w:val="20"/>
          <w:color w:val="auto"/>
        </w:rPr>
      </w:pPr>
      <w:r>
        <w:rPr>
          <w:rFonts w:ascii="Arial" w:cs="Arial" w:eastAsia="Arial" w:hAnsi="Arial"/>
          <w:sz w:val="16"/>
          <w:szCs w:val="16"/>
          <w:b w:val="1"/>
          <w:bCs w:val="1"/>
          <w:color w:val="auto"/>
        </w:rPr>
        <w:t>Registration No. 333-260754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75565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118745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20"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141605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83" w:lineRule="exact"/>
        <w:rPr>
          <w:sz w:val="24"/>
          <w:szCs w:val="24"/>
          <w:color w:val="auto"/>
        </w:rPr>
      </w:pPr>
    </w:p>
    <w:p>
      <w:pPr>
        <w:ind w:left="2660"/>
        <w:spacing w:after="0"/>
        <w:rPr>
          <w:sz w:val="20"/>
          <w:szCs w:val="20"/>
          <w:color w:val="auto"/>
        </w:rPr>
      </w:pPr>
      <w:r>
        <w:rPr>
          <w:rFonts w:ascii="Arial" w:cs="Arial" w:eastAsia="Arial" w:hAnsi="Arial"/>
          <w:sz w:val="32"/>
          <w:szCs w:val="32"/>
          <w:b w:val="1"/>
          <w:bCs w:val="1"/>
          <w:color w:val="auto"/>
        </w:rPr>
        <w:t>POST-EFFECTIVE AMENDMENT NO. 1</w:t>
      </w:r>
    </w:p>
    <w:p>
      <w:pPr>
        <w:spacing w:after="0" w:line="105" w:lineRule="exact"/>
        <w:rPr>
          <w:sz w:val="24"/>
          <w:szCs w:val="24"/>
          <w:color w:val="auto"/>
        </w:rPr>
      </w:pPr>
    </w:p>
    <w:p>
      <w:pPr>
        <w:ind w:left="5400"/>
        <w:spacing w:after="0"/>
        <w:rPr>
          <w:sz w:val="20"/>
          <w:szCs w:val="20"/>
          <w:color w:val="auto"/>
        </w:rPr>
      </w:pPr>
      <w:r>
        <w:rPr>
          <w:rFonts w:ascii="Arial" w:cs="Arial" w:eastAsia="Arial" w:hAnsi="Arial"/>
          <w:sz w:val="32"/>
          <w:szCs w:val="32"/>
          <w:b w:val="1"/>
          <w:bCs w:val="1"/>
          <w:color w:val="auto"/>
        </w:rPr>
        <w:t>TO</w:t>
      </w:r>
    </w:p>
    <w:p>
      <w:pPr>
        <w:spacing w:after="0" w:line="105" w:lineRule="exact"/>
        <w:rPr>
          <w:sz w:val="24"/>
          <w:szCs w:val="24"/>
          <w:color w:val="auto"/>
        </w:rPr>
      </w:pPr>
    </w:p>
    <w:p>
      <w:pPr>
        <w:ind w:left="4860"/>
        <w:spacing w:after="0"/>
        <w:rPr>
          <w:sz w:val="20"/>
          <w:szCs w:val="20"/>
          <w:color w:val="auto"/>
        </w:rPr>
      </w:pPr>
      <w:r>
        <w:rPr>
          <w:rFonts w:ascii="Arial" w:cs="Arial" w:eastAsia="Arial" w:hAnsi="Arial"/>
          <w:sz w:val="32"/>
          <w:szCs w:val="32"/>
          <w:b w:val="1"/>
          <w:bCs w:val="1"/>
          <w:color w:val="auto"/>
        </w:rPr>
        <w:t>FORM S-3</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REGISTRATION STATEMENT</w:t>
      </w:r>
    </w:p>
    <w:p>
      <w:pPr>
        <w:jc w:val="center"/>
        <w:ind w:right="-119"/>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141605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81"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FULCRUM THERAPEUTICS, INC.</w:t>
      </w:r>
    </w:p>
    <w:p>
      <w:pPr>
        <w:spacing w:after="0" w:line="53"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154940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64" w:lineRule="exact"/>
        <w:rPr>
          <w:sz w:val="24"/>
          <w:szCs w:val="24"/>
          <w:color w:val="auto"/>
        </w:rPr>
      </w:pPr>
    </w:p>
    <w:tbl>
      <w:tblPr>
        <w:tblLayout w:type="fixed"/>
        <w:tblInd w:w="1960" w:type="dxa"/>
        <w:tblCellMar>
          <w:top w:w="0" w:type="dxa"/>
          <w:left w:w="0" w:type="dxa"/>
          <w:bottom w:w="0" w:type="dxa"/>
          <w:right w:w="0" w:type="dxa"/>
        </w:tblCellMar>
      </w:tblPr>
      <w:tr>
        <w:trPr>
          <w:trHeight w:val="161"/>
        </w:trPr>
        <w:tc>
          <w:tcPr>
            <w:tcW w:w="3840" w:type="dxa"/>
            <w:vAlign w:val="bottom"/>
          </w:tcPr>
          <w:p>
            <w:pPr>
              <w:jc w:val="center"/>
              <w:ind w:right="1908"/>
              <w:spacing w:after="0"/>
              <w:rPr>
                <w:sz w:val="20"/>
                <w:szCs w:val="20"/>
                <w:color w:val="auto"/>
              </w:rPr>
            </w:pPr>
            <w:r>
              <w:rPr>
                <w:rFonts w:ascii="Arial" w:cs="Arial" w:eastAsia="Arial" w:hAnsi="Arial"/>
                <w:sz w:val="14"/>
                <w:szCs w:val="14"/>
                <w:b w:val="1"/>
                <w:bCs w:val="1"/>
                <w:color w:val="auto"/>
                <w:w w:val="94"/>
              </w:rPr>
              <w:t>Delaware</w:t>
            </w:r>
          </w:p>
        </w:tc>
        <w:tc>
          <w:tcPr>
            <w:tcW w:w="3380" w:type="dxa"/>
            <w:vAlign w:val="bottom"/>
          </w:tcPr>
          <w:p>
            <w:pPr>
              <w:jc w:val="center"/>
              <w:ind w:left="1868"/>
              <w:spacing w:after="0"/>
              <w:rPr>
                <w:sz w:val="20"/>
                <w:szCs w:val="20"/>
                <w:color w:val="auto"/>
              </w:rPr>
            </w:pPr>
            <w:r>
              <w:rPr>
                <w:rFonts w:ascii="Arial" w:cs="Arial" w:eastAsia="Arial" w:hAnsi="Arial"/>
                <w:sz w:val="14"/>
                <w:szCs w:val="14"/>
                <w:b w:val="1"/>
                <w:bCs w:val="1"/>
                <w:color w:val="auto"/>
                <w:w w:val="90"/>
              </w:rPr>
              <w:t>47-4839948</w:t>
            </w:r>
          </w:p>
        </w:tc>
      </w:tr>
      <w:tr>
        <w:trPr>
          <w:trHeight w:val="148"/>
        </w:trPr>
        <w:tc>
          <w:tcPr>
            <w:tcW w:w="3840" w:type="dxa"/>
            <w:vAlign w:val="bottom"/>
          </w:tcPr>
          <w:p>
            <w:pPr>
              <w:jc w:val="center"/>
              <w:ind w:right="1888"/>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380" w:type="dxa"/>
            <w:vAlign w:val="bottom"/>
          </w:tcPr>
          <w:p>
            <w:pPr>
              <w:jc w:val="center"/>
              <w:ind w:left="1868"/>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840" w:type="dxa"/>
            <w:vAlign w:val="bottom"/>
          </w:tcPr>
          <w:p>
            <w:pPr>
              <w:jc w:val="center"/>
              <w:ind w:right="1888"/>
              <w:spacing w:after="0"/>
              <w:rPr>
                <w:sz w:val="20"/>
                <w:szCs w:val="20"/>
                <w:color w:val="auto"/>
              </w:rPr>
            </w:pPr>
            <w:r>
              <w:rPr>
                <w:rFonts w:ascii="Arial" w:cs="Arial" w:eastAsia="Arial" w:hAnsi="Arial"/>
                <w:sz w:val="14"/>
                <w:szCs w:val="14"/>
                <w:b w:val="1"/>
                <w:bCs w:val="1"/>
                <w:color w:val="auto"/>
                <w:w w:val="94"/>
              </w:rPr>
              <w:t>incorporation or organization)</w:t>
            </w:r>
          </w:p>
        </w:tc>
        <w:tc>
          <w:tcPr>
            <w:tcW w:w="3380" w:type="dxa"/>
            <w:vAlign w:val="bottom"/>
          </w:tcPr>
          <w:p>
            <w:pPr>
              <w:jc w:val="center"/>
              <w:ind w:left="1868"/>
              <w:spacing w:after="0"/>
              <w:rPr>
                <w:sz w:val="20"/>
                <w:szCs w:val="20"/>
                <w:color w:val="auto"/>
              </w:rPr>
            </w:pPr>
            <w:r>
              <w:rPr>
                <w:rFonts w:ascii="Arial" w:cs="Arial" w:eastAsia="Arial" w:hAnsi="Arial"/>
                <w:sz w:val="14"/>
                <w:szCs w:val="14"/>
                <w:b w:val="1"/>
                <w:bCs w:val="1"/>
                <w:color w:val="auto"/>
                <w:w w:val="96"/>
              </w:rPr>
              <w:t>Identification Number)</w:t>
            </w:r>
          </w:p>
        </w:tc>
      </w:tr>
    </w:tbl>
    <w:p>
      <w:pPr>
        <w:spacing w:after="0" w:line="84"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26 Landsdowne Street</w:t>
      </w:r>
    </w:p>
    <w:p>
      <w:pPr>
        <w:jc w:val="center"/>
        <w:ind w:right="-119"/>
        <w:spacing w:after="0" w:line="226" w:lineRule="auto"/>
        <w:rPr>
          <w:sz w:val="20"/>
          <w:szCs w:val="20"/>
          <w:color w:val="auto"/>
        </w:rPr>
      </w:pPr>
      <w:r>
        <w:rPr>
          <w:rFonts w:ascii="Arial" w:cs="Arial" w:eastAsia="Arial" w:hAnsi="Arial"/>
          <w:sz w:val="14"/>
          <w:szCs w:val="14"/>
          <w:b w:val="1"/>
          <w:bCs w:val="1"/>
          <w:color w:val="auto"/>
        </w:rPr>
        <w:t>Cambridge, Massachusetts 02139</w:t>
      </w:r>
    </w:p>
    <w:p>
      <w:pPr>
        <w:jc w:val="center"/>
        <w:ind w:right="-119"/>
        <w:spacing w:after="0" w:line="221" w:lineRule="auto"/>
        <w:rPr>
          <w:sz w:val="20"/>
          <w:szCs w:val="20"/>
          <w:color w:val="auto"/>
        </w:rPr>
      </w:pPr>
      <w:r>
        <w:rPr>
          <w:rFonts w:ascii="Arial" w:cs="Arial" w:eastAsia="Arial" w:hAnsi="Arial"/>
          <w:sz w:val="14"/>
          <w:szCs w:val="14"/>
          <w:b w:val="1"/>
          <w:bCs w:val="1"/>
          <w:color w:val="auto"/>
        </w:rPr>
        <w:t>(617) 651-8851</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142240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03"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Bryan E. Stuart</w:t>
      </w:r>
    </w:p>
    <w:p>
      <w:pPr>
        <w:jc w:val="center"/>
        <w:ind w:right="-119"/>
        <w:spacing w:after="0" w:line="226" w:lineRule="auto"/>
        <w:rPr>
          <w:sz w:val="20"/>
          <w:szCs w:val="20"/>
          <w:color w:val="auto"/>
        </w:rPr>
      </w:pPr>
      <w:r>
        <w:rPr>
          <w:rFonts w:ascii="Arial" w:cs="Arial" w:eastAsia="Arial" w:hAnsi="Arial"/>
          <w:sz w:val="14"/>
          <w:szCs w:val="14"/>
          <w:b w:val="1"/>
          <w:bCs w:val="1"/>
          <w:color w:val="auto"/>
        </w:rPr>
        <w:t>President and Chief Executive Officer</w:t>
      </w:r>
    </w:p>
    <w:p>
      <w:pPr>
        <w:jc w:val="center"/>
        <w:ind w:right="-119"/>
        <w:spacing w:after="0" w:line="221" w:lineRule="auto"/>
        <w:rPr>
          <w:sz w:val="20"/>
          <w:szCs w:val="20"/>
          <w:color w:val="auto"/>
        </w:rPr>
      </w:pPr>
      <w:r>
        <w:rPr>
          <w:rFonts w:ascii="Arial" w:cs="Arial" w:eastAsia="Arial" w:hAnsi="Arial"/>
          <w:sz w:val="14"/>
          <w:szCs w:val="14"/>
          <w:b w:val="1"/>
          <w:bCs w:val="1"/>
          <w:color w:val="auto"/>
        </w:rPr>
        <w:t>Fulcrum Therapeutics, Inc.</w:t>
      </w:r>
    </w:p>
    <w:p>
      <w:pPr>
        <w:jc w:val="center"/>
        <w:ind w:right="-119"/>
        <w:spacing w:after="0" w:line="222" w:lineRule="auto"/>
        <w:rPr>
          <w:sz w:val="20"/>
          <w:szCs w:val="20"/>
          <w:color w:val="auto"/>
        </w:rPr>
      </w:pPr>
      <w:r>
        <w:rPr>
          <w:rFonts w:ascii="Arial" w:cs="Arial" w:eastAsia="Arial" w:hAnsi="Arial"/>
          <w:sz w:val="14"/>
          <w:szCs w:val="14"/>
          <w:b w:val="1"/>
          <w:bCs w:val="1"/>
          <w:color w:val="auto"/>
        </w:rPr>
        <w:t>26 Landsdowne Street</w:t>
      </w:r>
    </w:p>
    <w:p>
      <w:pPr>
        <w:jc w:val="center"/>
        <w:ind w:right="-119"/>
        <w:spacing w:after="0" w:line="221" w:lineRule="auto"/>
        <w:rPr>
          <w:sz w:val="20"/>
          <w:szCs w:val="20"/>
          <w:color w:val="auto"/>
        </w:rPr>
      </w:pPr>
      <w:r>
        <w:rPr>
          <w:rFonts w:ascii="Arial" w:cs="Arial" w:eastAsia="Arial" w:hAnsi="Arial"/>
          <w:sz w:val="14"/>
          <w:szCs w:val="14"/>
          <w:b w:val="1"/>
          <w:bCs w:val="1"/>
          <w:color w:val="auto"/>
        </w:rPr>
        <w:t>Cambridge, Massachusetts 02139</w:t>
      </w:r>
    </w:p>
    <w:p>
      <w:pPr>
        <w:jc w:val="center"/>
        <w:ind w:right="-119"/>
        <w:spacing w:after="0" w:line="222" w:lineRule="auto"/>
        <w:rPr>
          <w:sz w:val="20"/>
          <w:szCs w:val="20"/>
          <w:color w:val="auto"/>
        </w:rPr>
      </w:pPr>
      <w:r>
        <w:rPr>
          <w:rFonts w:ascii="Arial" w:cs="Arial" w:eastAsia="Arial" w:hAnsi="Arial"/>
          <w:sz w:val="14"/>
          <w:szCs w:val="14"/>
          <w:b w:val="1"/>
          <w:bCs w:val="1"/>
          <w:color w:val="auto"/>
        </w:rPr>
        <w:t>(617) 651-8851</w:t>
      </w:r>
    </w:p>
    <w:p>
      <w:pPr>
        <w:jc w:val="center"/>
        <w:ind w:right="-119"/>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150495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20" w:lineRule="exact"/>
        <w:rPr>
          <w:sz w:val="24"/>
          <w:szCs w:val="24"/>
          <w:color w:val="auto"/>
        </w:rPr>
      </w:pPr>
    </w:p>
    <w:tbl>
      <w:tblPr>
        <w:tblLayout w:type="fixed"/>
        <w:tblInd w:w="2000" w:type="dxa"/>
        <w:tblCellMar>
          <w:top w:w="0" w:type="dxa"/>
          <w:left w:w="0" w:type="dxa"/>
          <w:bottom w:w="0" w:type="dxa"/>
          <w:right w:w="0" w:type="dxa"/>
        </w:tblCellMar>
      </w:tblPr>
      <w:tr>
        <w:trPr>
          <w:trHeight w:val="182"/>
        </w:trPr>
        <w:tc>
          <w:tcPr>
            <w:tcW w:w="2560" w:type="dxa"/>
            <w:vAlign w:val="bottom"/>
          </w:tcPr>
          <w:p>
            <w:pPr>
              <w:spacing w:after="0"/>
              <w:rPr>
                <w:sz w:val="15"/>
                <w:szCs w:val="15"/>
                <w:color w:val="auto"/>
              </w:rPr>
            </w:pPr>
          </w:p>
        </w:tc>
        <w:tc>
          <w:tcPr>
            <w:tcW w:w="4920" w:type="dxa"/>
            <w:vAlign w:val="bottom"/>
          </w:tcPr>
          <w:p>
            <w:pPr>
              <w:ind w:left="760"/>
              <w:spacing w:after="0"/>
              <w:rPr>
                <w:sz w:val="20"/>
                <w:szCs w:val="20"/>
                <w:color w:val="auto"/>
              </w:rPr>
            </w:pPr>
            <w:r>
              <w:rPr>
                <w:rFonts w:ascii="Arial" w:cs="Arial" w:eastAsia="Arial" w:hAnsi="Arial"/>
                <w:sz w:val="14"/>
                <w:szCs w:val="14"/>
                <w:b w:val="1"/>
                <w:bCs w:val="1"/>
                <w:i w:val="1"/>
                <w:iCs w:val="1"/>
                <w:color w:val="auto"/>
              </w:rPr>
              <w:t>Copies to:</w:t>
            </w:r>
          </w:p>
        </w:tc>
      </w:tr>
      <w:tr>
        <w:trPr>
          <w:trHeight w:val="232"/>
        </w:trPr>
        <w:tc>
          <w:tcPr>
            <w:tcW w:w="2560" w:type="dxa"/>
            <w:vAlign w:val="bottom"/>
          </w:tcPr>
          <w:p>
            <w:pPr>
              <w:jc w:val="center"/>
              <w:ind w:right="688"/>
              <w:spacing w:after="0"/>
              <w:rPr>
                <w:sz w:val="20"/>
                <w:szCs w:val="20"/>
                <w:color w:val="auto"/>
              </w:rPr>
            </w:pPr>
            <w:r>
              <w:rPr>
                <w:rFonts w:ascii="Arial" w:cs="Arial" w:eastAsia="Arial" w:hAnsi="Arial"/>
                <w:sz w:val="14"/>
                <w:szCs w:val="14"/>
                <w:b w:val="1"/>
                <w:bCs w:val="1"/>
                <w:color w:val="auto"/>
                <w:w w:val="93"/>
              </w:rPr>
              <w:t>Mitchell Bloom, Esq.</w:t>
            </w:r>
          </w:p>
        </w:tc>
        <w:tc>
          <w:tcPr>
            <w:tcW w:w="4920" w:type="dxa"/>
            <w:vAlign w:val="bottom"/>
          </w:tcPr>
          <w:p>
            <w:pPr>
              <w:jc w:val="center"/>
              <w:ind w:left="2808"/>
              <w:spacing w:after="0"/>
              <w:rPr>
                <w:sz w:val="20"/>
                <w:szCs w:val="20"/>
                <w:color w:val="auto"/>
              </w:rPr>
            </w:pPr>
            <w:r>
              <w:rPr>
                <w:rFonts w:ascii="Arial" w:cs="Arial" w:eastAsia="Arial" w:hAnsi="Arial"/>
                <w:sz w:val="14"/>
                <w:szCs w:val="14"/>
                <w:b w:val="1"/>
                <w:bCs w:val="1"/>
                <w:color w:val="auto"/>
                <w:w w:val="92"/>
              </w:rPr>
              <w:t>Curtis Oltmans, Esq.</w:t>
            </w:r>
          </w:p>
        </w:tc>
      </w:tr>
      <w:tr>
        <w:trPr>
          <w:trHeight w:val="149"/>
        </w:trPr>
        <w:tc>
          <w:tcPr>
            <w:tcW w:w="2560" w:type="dxa"/>
            <w:vAlign w:val="bottom"/>
          </w:tcPr>
          <w:p>
            <w:pPr>
              <w:jc w:val="center"/>
              <w:ind w:right="688"/>
              <w:spacing w:after="0" w:line="149" w:lineRule="exact"/>
              <w:rPr>
                <w:sz w:val="20"/>
                <w:szCs w:val="20"/>
                <w:color w:val="auto"/>
              </w:rPr>
            </w:pPr>
            <w:r>
              <w:rPr>
                <w:rFonts w:ascii="Arial" w:cs="Arial" w:eastAsia="Arial" w:hAnsi="Arial"/>
                <w:sz w:val="14"/>
                <w:szCs w:val="14"/>
                <w:b w:val="1"/>
                <w:bCs w:val="1"/>
                <w:color w:val="auto"/>
                <w:w w:val="96"/>
              </w:rPr>
              <w:t>Marianne Sarrazin, Esq.</w:t>
            </w:r>
          </w:p>
        </w:tc>
        <w:tc>
          <w:tcPr>
            <w:tcW w:w="4920" w:type="dxa"/>
            <w:vAlign w:val="bottom"/>
          </w:tcPr>
          <w:p>
            <w:pPr>
              <w:jc w:val="center"/>
              <w:ind w:left="2808"/>
              <w:spacing w:after="0" w:line="149" w:lineRule="exact"/>
              <w:rPr>
                <w:sz w:val="20"/>
                <w:szCs w:val="20"/>
                <w:color w:val="auto"/>
              </w:rPr>
            </w:pPr>
            <w:r>
              <w:rPr>
                <w:rFonts w:ascii="Arial" w:cs="Arial" w:eastAsia="Arial" w:hAnsi="Arial"/>
                <w:sz w:val="14"/>
                <w:szCs w:val="14"/>
                <w:b w:val="1"/>
                <w:bCs w:val="1"/>
                <w:color w:val="auto"/>
                <w:w w:val="93"/>
              </w:rPr>
              <w:t>General Counsel</w:t>
            </w:r>
          </w:p>
        </w:tc>
      </w:tr>
      <w:tr>
        <w:trPr>
          <w:trHeight w:val="148"/>
        </w:trPr>
        <w:tc>
          <w:tcPr>
            <w:tcW w:w="2560" w:type="dxa"/>
            <w:vAlign w:val="bottom"/>
          </w:tcPr>
          <w:p>
            <w:pPr>
              <w:jc w:val="center"/>
              <w:ind w:right="688"/>
              <w:spacing w:after="0" w:line="149" w:lineRule="exact"/>
              <w:rPr>
                <w:sz w:val="20"/>
                <w:szCs w:val="20"/>
                <w:color w:val="auto"/>
              </w:rPr>
            </w:pPr>
            <w:r>
              <w:rPr>
                <w:rFonts w:ascii="Arial" w:cs="Arial" w:eastAsia="Arial" w:hAnsi="Arial"/>
                <w:sz w:val="14"/>
                <w:szCs w:val="14"/>
                <w:b w:val="1"/>
                <w:bCs w:val="1"/>
                <w:color w:val="auto"/>
                <w:w w:val="94"/>
              </w:rPr>
              <w:t>Goodwin Procter LLP</w:t>
            </w:r>
          </w:p>
        </w:tc>
        <w:tc>
          <w:tcPr>
            <w:tcW w:w="4920" w:type="dxa"/>
            <w:vAlign w:val="bottom"/>
          </w:tcPr>
          <w:p>
            <w:pPr>
              <w:jc w:val="center"/>
              <w:ind w:left="2808"/>
              <w:spacing w:after="0" w:line="149" w:lineRule="exact"/>
              <w:rPr>
                <w:sz w:val="20"/>
                <w:szCs w:val="20"/>
                <w:color w:val="auto"/>
              </w:rPr>
            </w:pPr>
            <w:r>
              <w:rPr>
                <w:rFonts w:ascii="Arial" w:cs="Arial" w:eastAsia="Arial" w:hAnsi="Arial"/>
                <w:sz w:val="14"/>
                <w:szCs w:val="14"/>
                <w:b w:val="1"/>
                <w:bCs w:val="1"/>
                <w:color w:val="auto"/>
                <w:w w:val="94"/>
              </w:rPr>
              <w:t>Fulcrum Therapeutics, Inc.</w:t>
            </w:r>
          </w:p>
        </w:tc>
      </w:tr>
      <w:tr>
        <w:trPr>
          <w:trHeight w:val="148"/>
        </w:trPr>
        <w:tc>
          <w:tcPr>
            <w:tcW w:w="2560" w:type="dxa"/>
            <w:vAlign w:val="bottom"/>
          </w:tcPr>
          <w:p>
            <w:pPr>
              <w:jc w:val="center"/>
              <w:ind w:right="688"/>
              <w:spacing w:after="0" w:line="149" w:lineRule="exact"/>
              <w:rPr>
                <w:sz w:val="20"/>
                <w:szCs w:val="20"/>
                <w:color w:val="auto"/>
              </w:rPr>
            </w:pPr>
            <w:r>
              <w:rPr>
                <w:rFonts w:ascii="Arial" w:cs="Arial" w:eastAsia="Arial" w:hAnsi="Arial"/>
                <w:sz w:val="14"/>
                <w:szCs w:val="14"/>
                <w:b w:val="1"/>
                <w:bCs w:val="1"/>
                <w:color w:val="auto"/>
                <w:w w:val="93"/>
              </w:rPr>
              <w:t>100 Northern Avenue</w:t>
            </w:r>
          </w:p>
        </w:tc>
        <w:tc>
          <w:tcPr>
            <w:tcW w:w="4920" w:type="dxa"/>
            <w:vAlign w:val="bottom"/>
          </w:tcPr>
          <w:p>
            <w:pPr>
              <w:jc w:val="center"/>
              <w:ind w:left="2808"/>
              <w:spacing w:after="0" w:line="149" w:lineRule="exact"/>
              <w:rPr>
                <w:sz w:val="20"/>
                <w:szCs w:val="20"/>
                <w:color w:val="auto"/>
              </w:rPr>
            </w:pPr>
            <w:r>
              <w:rPr>
                <w:rFonts w:ascii="Arial" w:cs="Arial" w:eastAsia="Arial" w:hAnsi="Arial"/>
                <w:sz w:val="14"/>
                <w:szCs w:val="14"/>
                <w:b w:val="1"/>
                <w:bCs w:val="1"/>
                <w:color w:val="auto"/>
                <w:w w:val="91"/>
              </w:rPr>
              <w:t>26 Landsdowne Street</w:t>
            </w:r>
          </w:p>
        </w:tc>
      </w:tr>
      <w:tr>
        <w:trPr>
          <w:trHeight w:val="149"/>
        </w:trPr>
        <w:tc>
          <w:tcPr>
            <w:tcW w:w="2560" w:type="dxa"/>
            <w:vAlign w:val="bottom"/>
          </w:tcPr>
          <w:p>
            <w:pPr>
              <w:jc w:val="center"/>
              <w:ind w:right="708"/>
              <w:spacing w:after="0" w:line="149" w:lineRule="exact"/>
              <w:rPr>
                <w:sz w:val="20"/>
                <w:szCs w:val="20"/>
                <w:color w:val="auto"/>
              </w:rPr>
            </w:pPr>
            <w:r>
              <w:rPr>
                <w:rFonts w:ascii="Arial" w:cs="Arial" w:eastAsia="Arial" w:hAnsi="Arial"/>
                <w:sz w:val="14"/>
                <w:szCs w:val="14"/>
                <w:b w:val="1"/>
                <w:bCs w:val="1"/>
                <w:color w:val="auto"/>
                <w:w w:val="89"/>
              </w:rPr>
              <w:t>Boston, Massachusetts 02210</w:t>
            </w:r>
          </w:p>
        </w:tc>
        <w:tc>
          <w:tcPr>
            <w:tcW w:w="4920" w:type="dxa"/>
            <w:vAlign w:val="bottom"/>
          </w:tcPr>
          <w:p>
            <w:pPr>
              <w:jc w:val="center"/>
              <w:ind w:left="2808"/>
              <w:spacing w:after="0" w:line="149" w:lineRule="exact"/>
              <w:rPr>
                <w:sz w:val="20"/>
                <w:szCs w:val="20"/>
                <w:color w:val="auto"/>
              </w:rPr>
            </w:pPr>
            <w:r>
              <w:rPr>
                <w:rFonts w:ascii="Arial" w:cs="Arial" w:eastAsia="Arial" w:hAnsi="Arial"/>
                <w:sz w:val="14"/>
                <w:szCs w:val="14"/>
                <w:b w:val="1"/>
                <w:bCs w:val="1"/>
                <w:color w:val="auto"/>
                <w:w w:val="91"/>
              </w:rPr>
              <w:t>Cambridge, Massachusetts 02139</w:t>
            </w:r>
          </w:p>
        </w:tc>
      </w:tr>
      <w:tr>
        <w:trPr>
          <w:trHeight w:val="186"/>
        </w:trPr>
        <w:tc>
          <w:tcPr>
            <w:tcW w:w="2560" w:type="dxa"/>
            <w:vAlign w:val="bottom"/>
          </w:tcPr>
          <w:p>
            <w:pPr>
              <w:jc w:val="center"/>
              <w:ind w:right="708"/>
              <w:spacing w:after="0"/>
              <w:rPr>
                <w:sz w:val="20"/>
                <w:szCs w:val="20"/>
                <w:color w:val="auto"/>
              </w:rPr>
            </w:pPr>
            <w:r>
              <w:rPr>
                <w:rFonts w:ascii="Arial" w:cs="Arial" w:eastAsia="Arial" w:hAnsi="Arial"/>
                <w:sz w:val="14"/>
                <w:szCs w:val="14"/>
                <w:b w:val="1"/>
                <w:bCs w:val="1"/>
                <w:color w:val="auto"/>
                <w:w w:val="93"/>
              </w:rPr>
              <w:t>(617) 570-1000</w:t>
            </w:r>
          </w:p>
        </w:tc>
        <w:tc>
          <w:tcPr>
            <w:tcW w:w="4920" w:type="dxa"/>
            <w:vAlign w:val="bottom"/>
          </w:tcPr>
          <w:p>
            <w:pPr>
              <w:jc w:val="center"/>
              <w:ind w:left="2788"/>
              <w:spacing w:after="0"/>
              <w:rPr>
                <w:sz w:val="20"/>
                <w:szCs w:val="20"/>
                <w:color w:val="auto"/>
              </w:rPr>
            </w:pPr>
            <w:r>
              <w:rPr>
                <w:rFonts w:ascii="Arial" w:cs="Arial" w:eastAsia="Arial" w:hAnsi="Arial"/>
                <w:sz w:val="14"/>
                <w:szCs w:val="14"/>
                <w:b w:val="1"/>
                <w:bCs w:val="1"/>
                <w:color w:val="auto"/>
                <w:w w:val="93"/>
              </w:rPr>
              <w:t>(617) 651-8851</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144780</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07" w:lineRule="exact"/>
        <w:rPr>
          <w:sz w:val="24"/>
          <w:szCs w:val="24"/>
          <w:color w:val="auto"/>
        </w:rPr>
      </w:pPr>
    </w:p>
    <w:p>
      <w:pPr>
        <w:ind w:left="120"/>
        <w:spacing w:after="0"/>
        <w:rPr>
          <w:sz w:val="20"/>
          <w:szCs w:val="20"/>
          <w:color w:val="auto"/>
        </w:rPr>
      </w:pPr>
      <w:r>
        <w:rPr>
          <w:rFonts w:ascii="Arial" w:cs="Arial" w:eastAsia="Arial" w:hAnsi="Arial"/>
          <w:sz w:val="14"/>
          <w:szCs w:val="14"/>
          <w:b w:val="1"/>
          <w:bCs w:val="1"/>
          <w:color w:val="auto"/>
        </w:rPr>
        <w:t xml:space="preserve">Approximate date of commencement of proposed sale to the public: </w:t>
      </w:r>
      <w:r>
        <w:rPr>
          <w:rFonts w:ascii="Arial" w:cs="Arial" w:eastAsia="Arial" w:hAnsi="Arial"/>
          <w:sz w:val="14"/>
          <w:szCs w:val="14"/>
          <w:color w:val="auto"/>
        </w:rPr>
        <w:t>From time to time after this registration statement becomes effective.</w:t>
      </w:r>
    </w:p>
    <w:p>
      <w:pPr>
        <w:spacing w:after="0" w:line="86" w:lineRule="exact"/>
        <w:rPr>
          <w:sz w:val="24"/>
          <w:szCs w:val="24"/>
          <w:color w:val="auto"/>
        </w:rPr>
      </w:pPr>
    </w:p>
    <w:p>
      <w:pPr>
        <w:ind w:left="120"/>
        <w:spacing w:after="0" w:line="161" w:lineRule="exact"/>
        <w:rPr>
          <w:sz w:val="20"/>
          <w:szCs w:val="20"/>
          <w:color w:val="auto"/>
        </w:rPr>
      </w:pPr>
      <w:r>
        <w:rPr>
          <w:rFonts w:ascii="Arial" w:cs="Arial" w:eastAsia="Arial" w:hAnsi="Arial"/>
          <w:sz w:val="14"/>
          <w:szCs w:val="14"/>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4"/>
          <w:szCs w:val="14"/>
          <w:color w:val="auto"/>
        </w:rPr>
        <w:t>☐</w:t>
      </w:r>
    </w:p>
    <w:p>
      <w:pPr>
        <w:spacing w:after="0" w:line="136" w:lineRule="exact"/>
        <w:rPr>
          <w:sz w:val="24"/>
          <w:szCs w:val="24"/>
          <w:color w:val="auto"/>
        </w:rPr>
      </w:pPr>
    </w:p>
    <w:p>
      <w:pPr>
        <w:ind w:left="120" w:right="300"/>
        <w:spacing w:after="0" w:line="180" w:lineRule="exact"/>
        <w:rPr>
          <w:sz w:val="20"/>
          <w:szCs w:val="20"/>
          <w:color w:val="auto"/>
        </w:rPr>
      </w:pPr>
      <w:r>
        <w:rPr>
          <w:rFonts w:ascii="Arial" w:cs="Arial" w:eastAsia="Arial" w:hAnsi="Arial"/>
          <w:sz w:val="14"/>
          <w:szCs w:val="14"/>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4"/>
          <w:szCs w:val="14"/>
          <w:color w:val="auto"/>
        </w:rPr>
        <w:t>☒</w:t>
      </w:r>
    </w:p>
    <w:p>
      <w:pPr>
        <w:spacing w:after="0" w:line="72" w:lineRule="exact"/>
        <w:rPr>
          <w:sz w:val="24"/>
          <w:szCs w:val="24"/>
          <w:color w:val="auto"/>
        </w:rPr>
      </w:pPr>
    </w:p>
    <w:p>
      <w:pPr>
        <w:ind w:left="120" w:right="340"/>
        <w:spacing w:after="0" w:line="180"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3334385</wp:posOffset>
            </wp:positionH>
            <wp:positionV relativeFrom="paragraph">
              <wp:posOffset>-27305</wp:posOffset>
            </wp:positionV>
            <wp:extent cx="4565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56565" cy="8890"/>
                    </a:xfrm>
                    <a:prstGeom prst="rect">
                      <a:avLst/>
                    </a:prstGeom>
                    <a:noFill/>
                  </pic:spPr>
                </pic:pic>
              </a:graphicData>
            </a:graphic>
          </wp:anchor>
        </w:drawing>
      </w:r>
    </w:p>
    <w:p>
      <w:pPr>
        <w:spacing w:after="0" w:line="52" w:lineRule="exact"/>
        <w:rPr>
          <w:sz w:val="24"/>
          <w:szCs w:val="24"/>
          <w:color w:val="auto"/>
        </w:rPr>
      </w:pPr>
    </w:p>
    <w:p>
      <w:pPr>
        <w:ind w:left="120" w:right="360"/>
        <w:spacing w:after="0" w:line="180"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72" w:lineRule="exact"/>
        <w:rPr>
          <w:sz w:val="24"/>
          <w:szCs w:val="24"/>
          <w:color w:val="auto"/>
        </w:rPr>
      </w:pPr>
    </w:p>
    <w:p>
      <w:pPr>
        <w:ind w:left="120" w:right="320"/>
        <w:spacing w:after="0" w:line="180" w:lineRule="exact"/>
        <w:rPr>
          <w:sz w:val="20"/>
          <w:szCs w:val="20"/>
          <w:color w:val="auto"/>
        </w:rPr>
      </w:pPr>
      <w:r>
        <w:rPr>
          <w:rFonts w:ascii="Arial" w:cs="Arial" w:eastAsia="Arial" w:hAnsi="Arial"/>
          <w:sz w:val="14"/>
          <w:szCs w:val="14"/>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4"/>
          <w:szCs w:val="14"/>
          <w:color w:val="auto"/>
        </w:rPr>
        <w:t>☒</w:t>
      </w:r>
    </w:p>
    <w:p>
      <w:pPr>
        <w:spacing w:after="0" w:line="72" w:lineRule="exact"/>
        <w:rPr>
          <w:sz w:val="24"/>
          <w:szCs w:val="24"/>
          <w:color w:val="auto"/>
        </w:rPr>
      </w:pPr>
    </w:p>
    <w:p>
      <w:pPr>
        <w:ind w:left="120" w:right="80"/>
        <w:spacing w:after="0" w:line="180" w:lineRule="exact"/>
        <w:rPr>
          <w:sz w:val="20"/>
          <w:szCs w:val="20"/>
          <w:color w:val="auto"/>
        </w:rPr>
      </w:pPr>
      <w:r>
        <w:rPr>
          <w:rFonts w:ascii="Arial" w:cs="Arial" w:eastAsia="Arial" w:hAnsi="Arial"/>
          <w:sz w:val="14"/>
          <w:szCs w:val="14"/>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4"/>
          <w:szCs w:val="14"/>
          <w:color w:val="auto"/>
        </w:rPr>
        <w:t>☐</w:t>
      </w:r>
    </w:p>
    <w:p>
      <w:pPr>
        <w:spacing w:after="0" w:line="72" w:lineRule="exact"/>
        <w:rPr>
          <w:sz w:val="24"/>
          <w:szCs w:val="24"/>
          <w:color w:val="auto"/>
        </w:rPr>
      </w:pPr>
    </w:p>
    <w:p>
      <w:pPr>
        <w:ind w:left="120" w:right="220"/>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5" w:lineRule="exact"/>
        <w:rPr>
          <w:sz w:val="24"/>
          <w:szCs w:val="24"/>
          <w:color w:val="auto"/>
        </w:rPr>
      </w:pPr>
    </w:p>
    <w:tbl>
      <w:tblPr>
        <w:tblLayout w:type="fixed"/>
        <w:tblInd w:w="120" w:type="dxa"/>
        <w:tblCellMar>
          <w:top w:w="0" w:type="dxa"/>
          <w:left w:w="0" w:type="dxa"/>
          <w:bottom w:w="0" w:type="dxa"/>
          <w:right w:w="0" w:type="dxa"/>
        </w:tblCellMar>
      </w:tblPr>
      <w:tr>
        <w:trPr>
          <w:trHeight w:val="226"/>
        </w:trPr>
        <w:tc>
          <w:tcPr>
            <w:tcW w:w="158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720" w:type="dxa"/>
            <w:vAlign w:val="bottom"/>
          </w:tcPr>
          <w:p>
            <w:pPr>
              <w:ind w:left="300"/>
              <w:spacing w:after="0" w:line="141" w:lineRule="exact"/>
              <w:rPr>
                <w:sz w:val="20"/>
                <w:szCs w:val="20"/>
                <w:color w:val="auto"/>
              </w:rPr>
            </w:pPr>
            <w:r>
              <w:rPr>
                <w:rFonts w:ascii="MS PGothic" w:cs="MS PGothic" w:eastAsia="MS PGothic" w:hAnsi="MS PGothic"/>
                <w:sz w:val="14"/>
                <w:szCs w:val="14"/>
                <w:color w:val="auto"/>
              </w:rPr>
              <w:t>☐</w:t>
            </w:r>
          </w:p>
        </w:tc>
        <w:tc>
          <w:tcPr>
            <w:tcW w:w="5180" w:type="dxa"/>
            <w:vAlign w:val="bottom"/>
          </w:tcPr>
          <w:p>
            <w:pPr>
              <w:ind w:left="3300"/>
              <w:spacing w:after="0"/>
              <w:rPr>
                <w:sz w:val="20"/>
                <w:szCs w:val="20"/>
                <w:color w:val="auto"/>
              </w:rPr>
            </w:pPr>
            <w:r>
              <w:rPr>
                <w:rFonts w:ascii="Arial" w:cs="Arial" w:eastAsia="Arial" w:hAnsi="Arial"/>
                <w:sz w:val="14"/>
                <w:szCs w:val="14"/>
                <w:color w:val="auto"/>
              </w:rPr>
              <w:t>Accelerated filer</w:t>
            </w:r>
          </w:p>
        </w:tc>
        <w:tc>
          <w:tcPr>
            <w:tcW w:w="440" w:type="dxa"/>
            <w:vAlign w:val="bottom"/>
          </w:tcPr>
          <w:p>
            <w:pPr>
              <w:ind w:left="3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84"/>
        </w:trPr>
        <w:tc>
          <w:tcPr>
            <w:tcW w:w="1580" w:type="dxa"/>
            <w:vAlign w:val="bottom"/>
          </w:tcPr>
          <w:p>
            <w:pPr>
              <w:spacing w:after="0"/>
              <w:rPr>
                <w:sz w:val="20"/>
                <w:szCs w:val="20"/>
                <w:color w:val="auto"/>
              </w:rPr>
            </w:pPr>
            <w:r>
              <w:rPr>
                <w:rFonts w:ascii="Arial" w:cs="Arial" w:eastAsia="Arial" w:hAnsi="Arial"/>
                <w:sz w:val="14"/>
                <w:szCs w:val="14"/>
                <w:color w:val="auto"/>
              </w:rPr>
              <w:t>Non-accelerated filer</w:t>
            </w:r>
          </w:p>
        </w:tc>
        <w:tc>
          <w:tcPr>
            <w:tcW w:w="3720" w:type="dxa"/>
            <w:vAlign w:val="bottom"/>
          </w:tcPr>
          <w:p>
            <w:pPr>
              <w:ind w:left="300"/>
              <w:spacing w:after="0" w:line="141" w:lineRule="exact"/>
              <w:rPr>
                <w:sz w:val="20"/>
                <w:szCs w:val="20"/>
                <w:color w:val="auto"/>
              </w:rPr>
            </w:pPr>
            <w:r>
              <w:rPr>
                <w:rFonts w:ascii="MS PGothic" w:cs="MS PGothic" w:eastAsia="MS PGothic" w:hAnsi="MS PGothic"/>
                <w:sz w:val="14"/>
                <w:szCs w:val="14"/>
                <w:color w:val="auto"/>
              </w:rPr>
              <w:t>☒</w:t>
            </w:r>
          </w:p>
        </w:tc>
        <w:tc>
          <w:tcPr>
            <w:tcW w:w="5180" w:type="dxa"/>
            <w:vAlign w:val="bottom"/>
          </w:tcPr>
          <w:p>
            <w:pPr>
              <w:ind w:left="3300"/>
              <w:spacing w:after="0"/>
              <w:rPr>
                <w:sz w:val="20"/>
                <w:szCs w:val="20"/>
                <w:color w:val="auto"/>
              </w:rPr>
            </w:pPr>
            <w:r>
              <w:rPr>
                <w:rFonts w:ascii="Arial" w:cs="Arial" w:eastAsia="Arial" w:hAnsi="Arial"/>
                <w:sz w:val="14"/>
                <w:szCs w:val="14"/>
                <w:color w:val="auto"/>
              </w:rPr>
              <w:t>Smaller reporting company</w:t>
            </w:r>
          </w:p>
        </w:tc>
        <w:tc>
          <w:tcPr>
            <w:tcW w:w="440" w:type="dxa"/>
            <w:vAlign w:val="bottom"/>
          </w:tcPr>
          <w:p>
            <w:pPr>
              <w:ind w:left="3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83"/>
        </w:trPr>
        <w:tc>
          <w:tcPr>
            <w:tcW w:w="158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5180" w:type="dxa"/>
            <w:vAlign w:val="bottom"/>
          </w:tcPr>
          <w:p>
            <w:pPr>
              <w:ind w:left="3300"/>
              <w:spacing w:after="0"/>
              <w:rPr>
                <w:sz w:val="20"/>
                <w:szCs w:val="20"/>
                <w:color w:val="auto"/>
              </w:rPr>
            </w:pPr>
            <w:r>
              <w:rPr>
                <w:rFonts w:ascii="Arial" w:cs="Arial" w:eastAsia="Arial" w:hAnsi="Arial"/>
                <w:sz w:val="14"/>
                <w:szCs w:val="14"/>
                <w:color w:val="auto"/>
              </w:rPr>
              <w:t>Emerging growth company</w:t>
            </w:r>
          </w:p>
        </w:tc>
        <w:tc>
          <w:tcPr>
            <w:tcW w:w="440" w:type="dxa"/>
            <w:vAlign w:val="bottom"/>
          </w:tcPr>
          <w:p>
            <w:pPr>
              <w:ind w:left="32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193" w:lineRule="exact"/>
        <w:rPr>
          <w:sz w:val="24"/>
          <w:szCs w:val="24"/>
          <w:color w:val="auto"/>
        </w:rPr>
      </w:pPr>
    </w:p>
    <w:p>
      <w:pPr>
        <w:ind w:left="120" w:right="36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135255</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177800</wp:posOffset>
            </wp:positionV>
            <wp:extent cx="69951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230" w:right="439" w:bottom="1038"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This Post-Effective Amendment No. 1 to the registration statement on Form S-3 (Commission File No. 333-260754) (the “Automatic Shelf Registration Statement”) of Fulcrum Therapeutics, Inc., the registrant, is being filed because the registrant will no longer be a well-known seasoned issuer (as such term is defined in Rule 405 of the Securities Act of 1933, as amended, or the “Securities Act”)) when it files its annual report on Form 10-K for the fiscal year ended December 31, 2021. This Post-Effective Amendment No. 1 is filed using EDGAR submission type POSASR and adds disclosure to the Automatic Shelf Registration Statement required for a registrant other than a well-known seasoned issuer and makes certain other amendments.</w:t>
      </w:r>
    </w:p>
    <w:p>
      <w:pPr>
        <w:spacing w:after="0" w:line="16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This registration statement contains:</w:t>
      </w:r>
    </w:p>
    <w:p>
      <w:pPr>
        <w:spacing w:after="0" w:line="131" w:lineRule="exact"/>
        <w:rPr>
          <w:sz w:val="20"/>
          <w:szCs w:val="20"/>
          <w:color w:val="auto"/>
        </w:rPr>
      </w:pPr>
    </w:p>
    <w:p>
      <w:pPr>
        <w:ind w:left="1080" w:right="400" w:hanging="424"/>
        <w:spacing w:after="0" w:line="342" w:lineRule="auto"/>
        <w:tabs>
          <w:tab w:leader="none" w:pos="1080" w:val="left"/>
        </w:tabs>
        <w:numPr>
          <w:ilvl w:val="0"/>
          <w:numId w:val="1"/>
        </w:numPr>
        <w:rPr>
          <w:rFonts w:ascii="Arial" w:cs="Arial" w:eastAsia="Arial" w:hAnsi="Arial"/>
          <w:sz w:val="16"/>
          <w:szCs w:val="16"/>
          <w:color w:val="auto"/>
        </w:rPr>
      </w:pPr>
      <w:r>
        <w:rPr>
          <w:rFonts w:ascii="Arial" w:cs="Arial" w:eastAsia="Arial" w:hAnsi="Arial"/>
          <w:sz w:val="16"/>
          <w:szCs w:val="16"/>
          <w:color w:val="auto"/>
        </w:rPr>
        <w:t>a base prospectus covering the offering, issuance and sale by the registrant of the registrant’s debt securities, common stock, preferred stock, depositary shares, units and/or warrants from time to time in one or more offerings with a total value up to $250,000,000.</w:t>
      </w:r>
    </w:p>
    <w:p>
      <w:pPr>
        <w:spacing w:after="0" w:line="124"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The base prospectus immediately follows this explanatory note. The specific terms of any securities to be offered pursuant to the base prospectus will be specified in a prospectus supplement to the base prospectus. As of March 2, 2022, the registrant has not sold any securities pursuant to the Automatic Shelf Registration Statement.</w:t>
      </w:r>
    </w:p>
    <w:p>
      <w:pPr>
        <w:sectPr>
          <w:pgSz w:w="11900" w:h="16838" w:orient="portrait"/>
          <w:cols w:equalWidth="0" w:num="1">
            <w:col w:w="11120"/>
          </w:cols>
          <w:pgMar w:left="320" w:top="459" w:right="45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auto"/>
        </w:rPr>
        <w:t>$250,000,000</w:t>
      </w:r>
    </w:p>
    <w:p>
      <w:pPr>
        <w:spacing w:after="0" w:line="38"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auto"/>
        </w:rPr>
        <w:t>Debt Securities</w:t>
      </w:r>
    </w:p>
    <w:p>
      <w:pPr>
        <w:spacing w:after="0" w:line="10"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auto"/>
        </w:rPr>
        <w:t>Common Stock</w:t>
      </w:r>
    </w:p>
    <w:p>
      <w:pPr>
        <w:spacing w:after="0" w:line="10"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auto"/>
        </w:rPr>
        <w:t>Preferred Stock</w:t>
      </w:r>
    </w:p>
    <w:p>
      <w:pPr>
        <w:spacing w:after="0" w:line="10"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auto"/>
        </w:rPr>
        <w:t>Depositary Shares</w:t>
      </w:r>
    </w:p>
    <w:p>
      <w:pPr>
        <w:spacing w:after="0" w:line="10"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auto"/>
        </w:rPr>
        <w:t>Units</w:t>
      </w:r>
    </w:p>
    <w:p>
      <w:pPr>
        <w:spacing w:after="0" w:line="10"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auto"/>
        </w:rPr>
        <w:t>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234315</wp:posOffset>
            </wp:positionV>
            <wp:extent cx="147447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64" w:lineRule="exact"/>
        <w:rPr>
          <w:sz w:val="20"/>
          <w:szCs w:val="20"/>
          <w:color w:val="auto"/>
        </w:rPr>
      </w:pPr>
    </w:p>
    <w:p>
      <w:pPr>
        <w:ind w:left="120" w:right="100"/>
        <w:spacing w:after="0" w:line="255" w:lineRule="auto"/>
        <w:rPr>
          <w:sz w:val="20"/>
          <w:szCs w:val="20"/>
          <w:color w:val="auto"/>
        </w:rPr>
      </w:pPr>
      <w:r>
        <w:rPr>
          <w:rFonts w:ascii="Arial" w:cs="Arial" w:eastAsia="Arial" w:hAnsi="Arial"/>
          <w:sz w:val="18"/>
          <w:szCs w:val="18"/>
          <w:color w:val="auto"/>
        </w:rPr>
        <w:t>We may offer and sell securities from time to time in one or more offerings, up to an aggregate value of $250,000,000. This prospectus describes the general terms of these securities and the general manner in which these securities will be offered. We will provide the specific terms of these securities in supplements to this prospectus. The prospectus supplements will also describe the specific manner in which these securities will be offered and may also supplement, update or amend information contained or incorporated by reference in this document. You should read this prospectus, the applicable prospectus supplement and any related free writing prospectus, as well as the documents incorporated by reference herein and therein, carefully before you invest.</w:t>
      </w:r>
    </w:p>
    <w:p>
      <w:pPr>
        <w:spacing w:after="0" w:line="192"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auto"/>
        </w:rPr>
        <w:t>We may offer these securities in amounts, at prices and on terms determined at the time of offering. The securities may be sold directly to you, through agents, or through underwriters and dealers. If agents, underwriters or dealers are used to sell the securities, we will name them and describe their compensation in a prospectus supplement.</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common stock is listed on The Nasdaq Global Market under the symbol “FULC”.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237490</wp:posOffset>
            </wp:positionV>
            <wp:extent cx="147447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p>
      <w:pPr>
        <w:ind w:left="120"/>
        <w:spacing w:after="0" w:line="266" w:lineRule="auto"/>
        <w:rPr>
          <w:rFonts w:ascii="Arial" w:cs="Arial" w:eastAsia="Arial" w:hAnsi="Arial"/>
          <w:sz w:val="18"/>
          <w:szCs w:val="18"/>
          <w:b w:val="1"/>
          <w:bCs w:val="1"/>
          <w:color w:val="auto"/>
        </w:rPr>
      </w:pPr>
      <w:r>
        <w:rPr>
          <w:rFonts w:ascii="Arial" w:cs="Arial" w:eastAsia="Arial" w:hAnsi="Arial"/>
          <w:sz w:val="18"/>
          <w:szCs w:val="18"/>
          <w:b w:val="1"/>
          <w:bCs w:val="1"/>
          <w:color w:val="auto"/>
        </w:rPr>
        <w:t>Investing in these securities involves significant risks. See “</w:t>
      </w:r>
      <w:hyperlink w:anchor="page6">
        <w:r>
          <w:rPr>
            <w:rFonts w:ascii="Arial" w:cs="Arial" w:eastAsia="Arial" w:hAnsi="Arial"/>
            <w:sz w:val="18"/>
            <w:szCs w:val="18"/>
            <w:b w:val="1"/>
            <w:bCs w:val="1"/>
            <w:u w:val="single" w:color="auto"/>
            <w:color w:val="0000EE"/>
          </w:rPr>
          <w:t>Risk Factors</w:t>
        </w:r>
      </w:hyperlink>
      <w:r>
        <w:rPr>
          <w:rFonts w:ascii="Arial" w:cs="Arial" w:eastAsia="Arial" w:hAnsi="Arial"/>
          <w:sz w:val="18"/>
          <w:szCs w:val="18"/>
          <w:b w:val="1"/>
          <w:bCs w:val="1"/>
          <w:color w:val="auto"/>
        </w:rPr>
        <w:t>” included in any accompanying prospectus supplement and in the documents incorporated by reference in this prospectus for a discussion of the factors you should carefully consider before deciding to purchase these securities.</w:t>
      </w:r>
    </w:p>
    <w:p>
      <w:pPr>
        <w:spacing w:after="0" w:line="176" w:lineRule="exact"/>
        <w:rPr>
          <w:sz w:val="20"/>
          <w:szCs w:val="20"/>
          <w:color w:val="auto"/>
        </w:rPr>
      </w:pPr>
    </w:p>
    <w:p>
      <w:pPr>
        <w:jc w:val="both"/>
        <w:ind w:left="120" w:right="320"/>
        <w:spacing w:after="0" w:line="266" w:lineRule="auto"/>
        <w:rPr>
          <w:sz w:val="20"/>
          <w:szCs w:val="20"/>
          <w:color w:val="auto"/>
        </w:rPr>
      </w:pPr>
      <w:r>
        <w:rPr>
          <w:rFonts w:ascii="Arial" w:cs="Arial" w:eastAsia="Arial" w:hAnsi="Arial"/>
          <w:sz w:val="18"/>
          <w:szCs w:val="18"/>
          <w:b w:val="1"/>
          <w:bCs w:val="1"/>
          <w:color w:val="auto"/>
        </w:rPr>
        <w:t>We may amend or supplement this prospectus from time to time by filing amendments or supplements as required. We urge you to read the entire prospectus, any amendments or supplements, any free writing prospectuses, and any documents incorporated by reference carefully before you make your investment decision.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208915</wp:posOffset>
            </wp:positionV>
            <wp:extent cx="147447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ind w:left="120" w:right="20"/>
        <w:spacing w:after="0" w:line="312"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14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The date of this prospectus is March 2, 2022</w:t>
      </w:r>
    </w:p>
    <w:p>
      <w:pPr>
        <w:sectPr>
          <w:pgSz w:w="11900" w:h="16838" w:orient="portrait"/>
          <w:cols w:equalWidth="0" w:num="1">
            <w:col w:w="11120"/>
          </w:cols>
          <w:pgMar w:left="320" w:top="459" w:right="4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7780" w:type="dxa"/>
            <w:vAlign w:val="bottom"/>
            <w:gridSpan w:val="17"/>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Table of Contents</w:t>
              </w:r>
            </w:hyperlink>
          </w:p>
        </w:tc>
        <w:tc>
          <w:tcPr>
            <w:tcW w:w="3300" w:type="dxa"/>
            <w:vAlign w:val="bottom"/>
          </w:tcPr>
          <w:p>
            <w:pPr>
              <w:spacing w:after="0"/>
              <w:rPr>
                <w:sz w:val="17"/>
                <w:szCs w:val="17"/>
                <w:color w:val="auto"/>
              </w:rPr>
            </w:pPr>
          </w:p>
        </w:tc>
      </w:tr>
      <w:tr>
        <w:trPr>
          <w:trHeight w:val="533"/>
        </w:trPr>
        <w:tc>
          <w:tcPr>
            <w:tcW w:w="12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60" w:type="dxa"/>
            <w:vAlign w:val="bottom"/>
            <w:gridSpan w:val="2"/>
          </w:tcPr>
          <w:p>
            <w:pPr>
              <w:ind w:left="740"/>
              <w:spacing w:after="0"/>
              <w:rPr>
                <w:sz w:val="20"/>
                <w:szCs w:val="20"/>
                <w:color w:val="auto"/>
              </w:rPr>
            </w:pPr>
            <w:r>
              <w:rPr>
                <w:rFonts w:ascii="Arial" w:cs="Arial" w:eastAsia="Arial" w:hAnsi="Arial"/>
                <w:sz w:val="18"/>
                <w:szCs w:val="18"/>
                <w:b w:val="1"/>
                <w:bCs w:val="1"/>
                <w:color w:val="auto"/>
              </w:rPr>
              <w:t>TABLE OF CONTENTS</w:t>
            </w:r>
          </w:p>
        </w:tc>
        <w:tc>
          <w:tcPr>
            <w:tcW w:w="3300" w:type="dxa"/>
            <w:vAlign w:val="bottom"/>
          </w:tcPr>
          <w:p>
            <w:pPr>
              <w:spacing w:after="0"/>
              <w:rPr>
                <w:sz w:val="24"/>
                <w:szCs w:val="24"/>
                <w:color w:val="auto"/>
              </w:rPr>
            </w:pPr>
          </w:p>
        </w:tc>
      </w:tr>
      <w:tr>
        <w:trPr>
          <w:trHeight w:val="445"/>
        </w:trPr>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3300" w:type="dxa"/>
            <w:vAlign w:val="bottom"/>
          </w:tcPr>
          <w:p>
            <w:pPr>
              <w:jc w:val="right"/>
              <w:spacing w:after="0"/>
              <w:rPr>
                <w:sz w:val="20"/>
                <w:szCs w:val="20"/>
                <w:color w:val="auto"/>
              </w:rPr>
            </w:pPr>
            <w:r>
              <w:rPr>
                <w:rFonts w:ascii="Arial" w:cs="Arial" w:eastAsia="Arial" w:hAnsi="Arial"/>
                <w:sz w:val="18"/>
                <w:szCs w:val="18"/>
                <w:color w:val="auto"/>
              </w:rPr>
              <w:t>Page</w:t>
            </w:r>
          </w:p>
        </w:tc>
      </w:tr>
      <w:tr>
        <w:trPr>
          <w:trHeight w:val="190"/>
        </w:trPr>
        <w:tc>
          <w:tcPr>
            <w:tcW w:w="120" w:type="dxa"/>
            <w:vAlign w:val="bottom"/>
          </w:tcPr>
          <w:p>
            <w:pPr>
              <w:spacing w:after="0"/>
              <w:rPr>
                <w:sz w:val="16"/>
                <w:szCs w:val="16"/>
                <w:color w:val="auto"/>
              </w:rPr>
            </w:pPr>
          </w:p>
        </w:tc>
        <w:tc>
          <w:tcPr>
            <w:tcW w:w="7660" w:type="dxa"/>
            <w:vAlign w:val="bottom"/>
            <w:gridSpan w:val="16"/>
          </w:tcPr>
          <w:p>
            <w:pPr>
              <w:spacing w:after="0" w:line="190" w:lineRule="exact"/>
              <w:rPr>
                <w:rFonts w:ascii="Arial" w:cs="Arial" w:eastAsia="Arial" w:hAnsi="Arial"/>
                <w:sz w:val="18"/>
                <w:szCs w:val="18"/>
                <w:color w:val="0000EE"/>
              </w:rPr>
            </w:pPr>
            <w:hyperlink w:anchor="page5">
              <w:r>
                <w:rPr>
                  <w:rFonts w:ascii="Arial" w:cs="Arial" w:eastAsia="Arial" w:hAnsi="Arial"/>
                  <w:sz w:val="18"/>
                  <w:szCs w:val="18"/>
                  <w:color w:val="0000EE"/>
                </w:rPr>
                <w:t>ABOUT THIS PROSPECTUS</w:t>
              </w:r>
            </w:hyperlink>
          </w:p>
        </w:tc>
        <w:tc>
          <w:tcPr>
            <w:tcW w:w="3300" w:type="dxa"/>
            <w:vAlign w:val="bottom"/>
          </w:tcPr>
          <w:p>
            <w:pPr>
              <w:jc w:val="right"/>
              <w:spacing w:after="0" w:line="190" w:lineRule="exact"/>
              <w:rPr>
                <w:sz w:val="20"/>
                <w:szCs w:val="20"/>
                <w:color w:val="auto"/>
              </w:rPr>
            </w:pPr>
            <w:r>
              <w:rPr>
                <w:rFonts w:ascii="Arial" w:cs="Arial" w:eastAsia="Arial" w:hAnsi="Arial"/>
                <w:sz w:val="18"/>
                <w:szCs w:val="18"/>
                <w:color w:val="auto"/>
              </w:rPr>
              <w:t>1</w:t>
            </w:r>
          </w:p>
        </w:tc>
      </w:tr>
      <w:tr>
        <w:trPr>
          <w:trHeight w:val="196"/>
        </w:trPr>
        <w:tc>
          <w:tcPr>
            <w:tcW w:w="120" w:type="dxa"/>
            <w:vAlign w:val="bottom"/>
          </w:tcPr>
          <w:p>
            <w:pPr>
              <w:spacing w:after="0"/>
              <w:rPr>
                <w:sz w:val="17"/>
                <w:szCs w:val="17"/>
                <w:color w:val="auto"/>
              </w:rPr>
            </w:pPr>
          </w:p>
        </w:tc>
        <w:tc>
          <w:tcPr>
            <w:tcW w:w="222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RISK FACTORS</w:t>
              </w:r>
            </w:hyperlink>
          </w:p>
        </w:tc>
        <w:tc>
          <w:tcPr>
            <w:tcW w:w="5440" w:type="dxa"/>
            <w:vAlign w:val="bottom"/>
            <w:gridSpan w:val="8"/>
          </w:tcPr>
          <w:p>
            <w:pPr>
              <w:spacing w:after="0"/>
              <w:rPr>
                <w:sz w:val="17"/>
                <w:szCs w:val="17"/>
                <w:color w:val="auto"/>
              </w:rPr>
            </w:pPr>
          </w:p>
        </w:tc>
        <w:tc>
          <w:tcPr>
            <w:tcW w:w="330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7660" w:type="dxa"/>
            <w:vAlign w:val="bottom"/>
            <w:gridSpan w:val="16"/>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WHERE YOU CAN FIND MORE INFORMATION</w:t>
              </w:r>
            </w:hyperlink>
          </w:p>
        </w:tc>
        <w:tc>
          <w:tcPr>
            <w:tcW w:w="330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5060" w:type="dxa"/>
            <w:vAlign w:val="bottom"/>
            <w:tcBorders>
              <w:bottom w:val="single" w:sz="8" w:color="0000EE"/>
            </w:tcBorders>
            <w:gridSpan w:val="15"/>
          </w:tcPr>
          <w:p>
            <w:pPr>
              <w:spacing w:after="0" w:line="196" w:lineRule="exact"/>
              <w:rPr>
                <w:rFonts w:ascii="Arial" w:cs="Arial" w:eastAsia="Arial" w:hAnsi="Arial"/>
                <w:sz w:val="18"/>
                <w:szCs w:val="18"/>
                <w:color w:val="0000EE"/>
                <w:w w:val="94"/>
              </w:rPr>
            </w:pPr>
            <w:hyperlink w:anchor="page7">
              <w:r>
                <w:rPr>
                  <w:rFonts w:ascii="Arial" w:cs="Arial" w:eastAsia="Arial" w:hAnsi="Arial"/>
                  <w:sz w:val="18"/>
                  <w:szCs w:val="18"/>
                  <w:color w:val="0000EE"/>
                  <w:w w:val="94"/>
                </w:rPr>
                <w:t>INCORPORATION OF CERTAIN DOCUMENTS BY REFERENCE</w:t>
              </w:r>
            </w:hyperlink>
          </w:p>
        </w:tc>
        <w:tc>
          <w:tcPr>
            <w:tcW w:w="2600" w:type="dxa"/>
            <w:vAlign w:val="bottom"/>
          </w:tcPr>
          <w:p>
            <w:pPr>
              <w:spacing w:after="0"/>
              <w:rPr>
                <w:sz w:val="17"/>
                <w:szCs w:val="17"/>
                <w:color w:val="auto"/>
              </w:rPr>
            </w:pPr>
          </w:p>
        </w:tc>
        <w:tc>
          <w:tcPr>
            <w:tcW w:w="330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120" w:type="dxa"/>
            <w:vAlign w:val="bottom"/>
          </w:tcPr>
          <w:p>
            <w:pPr>
              <w:spacing w:after="0"/>
              <w:rPr>
                <w:sz w:val="17"/>
                <w:szCs w:val="17"/>
                <w:color w:val="auto"/>
              </w:rPr>
            </w:pPr>
          </w:p>
        </w:tc>
        <w:tc>
          <w:tcPr>
            <w:tcW w:w="7660" w:type="dxa"/>
            <w:vAlign w:val="bottom"/>
            <w:tcBorders>
              <w:bottom w:val="single" w:sz="8" w:color="0000EE"/>
            </w:tcBorders>
            <w:gridSpan w:val="16"/>
          </w:tcPr>
          <w:p>
            <w:pPr>
              <w:spacing w:after="0" w:line="196" w:lineRule="exact"/>
              <w:rPr>
                <w:rFonts w:ascii="Arial" w:cs="Arial" w:eastAsia="Arial" w:hAnsi="Arial"/>
                <w:sz w:val="18"/>
                <w:szCs w:val="18"/>
                <w:color w:val="0000EE"/>
                <w:w w:val="96"/>
              </w:rPr>
            </w:pPr>
            <w:hyperlink w:anchor="page9">
              <w:r>
                <w:rPr>
                  <w:rFonts w:ascii="Arial" w:cs="Arial" w:eastAsia="Arial" w:hAnsi="Arial"/>
                  <w:sz w:val="18"/>
                  <w:szCs w:val="18"/>
                  <w:color w:val="0000EE"/>
                  <w:w w:val="96"/>
                </w:rPr>
                <w:t>CAUTIONARY NOTE REGARDING FORWARD-LOOKING STATEMENTS AND INDUSTRY DATA</w:t>
              </w:r>
            </w:hyperlink>
          </w:p>
        </w:tc>
        <w:tc>
          <w:tcPr>
            <w:tcW w:w="330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120" w:type="dxa"/>
            <w:vAlign w:val="bottom"/>
          </w:tcPr>
          <w:p>
            <w:pPr>
              <w:spacing w:after="0"/>
              <w:rPr>
                <w:sz w:val="17"/>
                <w:szCs w:val="17"/>
                <w:color w:val="auto"/>
              </w:rPr>
            </w:pPr>
          </w:p>
        </w:tc>
        <w:tc>
          <w:tcPr>
            <w:tcW w:w="7660" w:type="dxa"/>
            <w:vAlign w:val="bottom"/>
            <w:gridSpan w:val="16"/>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ABOUT FULCRUM THERAPEUTICS, INC.</w:t>
              </w:r>
            </w:hyperlink>
          </w:p>
        </w:tc>
        <w:tc>
          <w:tcPr>
            <w:tcW w:w="330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120" w:type="dxa"/>
            <w:vAlign w:val="bottom"/>
          </w:tcPr>
          <w:p>
            <w:pPr>
              <w:spacing w:after="0"/>
              <w:rPr>
                <w:sz w:val="17"/>
                <w:szCs w:val="17"/>
                <w:color w:val="auto"/>
              </w:rPr>
            </w:pPr>
          </w:p>
        </w:tc>
        <w:tc>
          <w:tcPr>
            <w:tcW w:w="158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0"/>
              </w:rPr>
            </w:pPr>
            <w:hyperlink w:anchor="page11">
              <w:r>
                <w:rPr>
                  <w:rFonts w:ascii="Arial" w:cs="Arial" w:eastAsia="Arial" w:hAnsi="Arial"/>
                  <w:sz w:val="18"/>
                  <w:szCs w:val="18"/>
                  <w:color w:val="0000EE"/>
                  <w:w w:val="90"/>
                </w:rPr>
                <w:t>USE OF PROCEEDS</w:t>
              </w:r>
            </w:hyperlink>
          </w:p>
        </w:tc>
        <w:tc>
          <w:tcPr>
            <w:tcW w:w="1760" w:type="dxa"/>
            <w:vAlign w:val="bottom"/>
            <w:tcBorders>
              <w:top w:val="single" w:sz="8" w:color="0000EE"/>
            </w:tcBorders>
            <w:gridSpan w:val="9"/>
          </w:tcPr>
          <w:p>
            <w:pPr>
              <w:spacing w:after="0"/>
              <w:rPr>
                <w:sz w:val="17"/>
                <w:szCs w:val="17"/>
                <w:color w:val="auto"/>
              </w:rPr>
            </w:pPr>
          </w:p>
        </w:tc>
        <w:tc>
          <w:tcPr>
            <w:tcW w:w="4320" w:type="dxa"/>
            <w:vAlign w:val="bottom"/>
            <w:gridSpan w:val="3"/>
          </w:tcPr>
          <w:p>
            <w:pPr>
              <w:spacing w:after="0"/>
              <w:rPr>
                <w:sz w:val="17"/>
                <w:szCs w:val="17"/>
                <w:color w:val="auto"/>
              </w:rPr>
            </w:pPr>
          </w:p>
        </w:tc>
        <w:tc>
          <w:tcPr>
            <w:tcW w:w="330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196"/>
        </w:trPr>
        <w:tc>
          <w:tcPr>
            <w:tcW w:w="120" w:type="dxa"/>
            <w:vAlign w:val="bottom"/>
          </w:tcPr>
          <w:p>
            <w:pPr>
              <w:spacing w:after="0"/>
              <w:rPr>
                <w:sz w:val="17"/>
                <w:szCs w:val="17"/>
                <w:color w:val="auto"/>
              </w:rPr>
            </w:pPr>
          </w:p>
        </w:tc>
        <w:tc>
          <w:tcPr>
            <w:tcW w:w="3020" w:type="dxa"/>
            <w:vAlign w:val="bottom"/>
            <w:tcBorders>
              <w:bottom w:val="single" w:sz="8" w:color="0000EE"/>
            </w:tcBorders>
            <w:gridSpan w:val="11"/>
          </w:tcPr>
          <w:p>
            <w:pPr>
              <w:spacing w:after="0" w:line="196" w:lineRule="exact"/>
              <w:rPr>
                <w:rFonts w:ascii="Arial" w:cs="Arial" w:eastAsia="Arial" w:hAnsi="Arial"/>
                <w:sz w:val="18"/>
                <w:szCs w:val="18"/>
                <w:color w:val="0000EE"/>
                <w:w w:val="94"/>
              </w:rPr>
            </w:pPr>
            <w:hyperlink w:anchor="page12">
              <w:r>
                <w:rPr>
                  <w:rFonts w:ascii="Arial" w:cs="Arial" w:eastAsia="Arial" w:hAnsi="Arial"/>
                  <w:sz w:val="18"/>
                  <w:szCs w:val="18"/>
                  <w:color w:val="0000EE"/>
                  <w:w w:val="94"/>
                </w:rPr>
                <w:t>DESCRIPTION OF DEBT SECURITIES</w:t>
              </w:r>
            </w:hyperlink>
          </w:p>
        </w:tc>
        <w:tc>
          <w:tcPr>
            <w:tcW w:w="4640" w:type="dxa"/>
            <w:vAlign w:val="bottom"/>
            <w:gridSpan w:val="5"/>
          </w:tcPr>
          <w:p>
            <w:pPr>
              <w:spacing w:after="0"/>
              <w:rPr>
                <w:sz w:val="17"/>
                <w:szCs w:val="17"/>
                <w:color w:val="auto"/>
              </w:rPr>
            </w:pPr>
          </w:p>
        </w:tc>
        <w:tc>
          <w:tcPr>
            <w:tcW w:w="330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196"/>
        </w:trPr>
        <w:tc>
          <w:tcPr>
            <w:tcW w:w="120" w:type="dxa"/>
            <w:vAlign w:val="bottom"/>
          </w:tcPr>
          <w:p>
            <w:pPr>
              <w:spacing w:after="0"/>
              <w:rPr>
                <w:sz w:val="17"/>
                <w:szCs w:val="17"/>
                <w:color w:val="auto"/>
              </w:rPr>
            </w:pPr>
          </w:p>
        </w:tc>
        <w:tc>
          <w:tcPr>
            <w:tcW w:w="7660" w:type="dxa"/>
            <w:vAlign w:val="bottom"/>
            <w:gridSpan w:val="16"/>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DESCRIPTION OF CAPITAL STOCK</w:t>
              </w:r>
            </w:hyperlink>
          </w:p>
        </w:tc>
        <w:tc>
          <w:tcPr>
            <w:tcW w:w="330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340" w:type="dxa"/>
            <w:vAlign w:val="bottom"/>
            <w:gridSpan w:val="4"/>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320" w:type="dxa"/>
            <w:vAlign w:val="bottom"/>
            <w:tcBorders>
              <w:bottom w:val="single" w:sz="8" w:color="0000EE"/>
            </w:tcBorders>
            <w:gridSpan w:val="12"/>
          </w:tcPr>
          <w:p>
            <w:pPr>
              <w:spacing w:after="0" w:line="196" w:lineRule="exact"/>
              <w:rPr>
                <w:rFonts w:ascii="Arial" w:cs="Arial" w:eastAsia="Arial" w:hAnsi="Arial"/>
                <w:sz w:val="18"/>
                <w:szCs w:val="18"/>
                <w:color w:val="0000EE"/>
                <w:w w:val="93"/>
              </w:rPr>
            </w:pPr>
            <w:hyperlink w:anchor="page30">
              <w:r>
                <w:rPr>
                  <w:rFonts w:ascii="Arial" w:cs="Arial" w:eastAsia="Arial" w:hAnsi="Arial"/>
                  <w:sz w:val="18"/>
                  <w:szCs w:val="18"/>
                  <w:color w:val="0000EE"/>
                  <w:w w:val="93"/>
                </w:rPr>
                <w:t>DESCRIPTION OF DEPOSITARY SHARES</w:t>
              </w:r>
            </w:hyperlink>
          </w:p>
        </w:tc>
        <w:tc>
          <w:tcPr>
            <w:tcW w:w="4340" w:type="dxa"/>
            <w:vAlign w:val="bottom"/>
            <w:gridSpan w:val="4"/>
          </w:tcPr>
          <w:p>
            <w:pPr>
              <w:spacing w:after="0"/>
              <w:rPr>
                <w:sz w:val="17"/>
                <w:szCs w:val="17"/>
                <w:color w:val="auto"/>
              </w:rPr>
            </w:pPr>
          </w:p>
        </w:tc>
        <w:tc>
          <w:tcPr>
            <w:tcW w:w="330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r>
      <w:tr>
        <w:trPr>
          <w:trHeight w:val="196"/>
        </w:trPr>
        <w:tc>
          <w:tcPr>
            <w:tcW w:w="120" w:type="dxa"/>
            <w:vAlign w:val="bottom"/>
          </w:tcPr>
          <w:p>
            <w:pPr>
              <w:spacing w:after="0"/>
              <w:rPr>
                <w:sz w:val="17"/>
                <w:szCs w:val="17"/>
                <w:color w:val="auto"/>
              </w:rPr>
            </w:pPr>
          </w:p>
        </w:tc>
        <w:tc>
          <w:tcPr>
            <w:tcW w:w="2020" w:type="dxa"/>
            <w:vAlign w:val="bottom"/>
            <w:tcBorders>
              <w:bottom w:val="single" w:sz="8" w:color="0000EE"/>
            </w:tcBorders>
            <w:gridSpan w:val="6"/>
          </w:tcPr>
          <w:p>
            <w:pPr>
              <w:spacing w:after="0" w:line="196" w:lineRule="exact"/>
              <w:rPr>
                <w:rFonts w:ascii="Arial" w:cs="Arial" w:eastAsia="Arial" w:hAnsi="Arial"/>
                <w:sz w:val="18"/>
                <w:szCs w:val="18"/>
                <w:color w:val="0000EE"/>
                <w:w w:val="94"/>
              </w:rPr>
            </w:pPr>
            <w:hyperlink w:anchor="page33">
              <w:r>
                <w:rPr>
                  <w:rFonts w:ascii="Arial" w:cs="Arial" w:eastAsia="Arial" w:hAnsi="Arial"/>
                  <w:sz w:val="18"/>
                  <w:szCs w:val="18"/>
                  <w:color w:val="0000EE"/>
                  <w:w w:val="94"/>
                </w:rPr>
                <w:t>DESCRIPTION OF UNITS</w:t>
              </w:r>
            </w:hyperlink>
          </w:p>
        </w:tc>
        <w:tc>
          <w:tcPr>
            <w:tcW w:w="5640" w:type="dxa"/>
            <w:vAlign w:val="bottom"/>
            <w:gridSpan w:val="10"/>
          </w:tcPr>
          <w:p>
            <w:pPr>
              <w:spacing w:after="0"/>
              <w:rPr>
                <w:sz w:val="17"/>
                <w:szCs w:val="17"/>
                <w:color w:val="auto"/>
              </w:rPr>
            </w:pPr>
          </w:p>
        </w:tc>
        <w:tc>
          <w:tcPr>
            <w:tcW w:w="330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r>
      <w:tr>
        <w:trPr>
          <w:trHeight w:val="196"/>
        </w:trPr>
        <w:tc>
          <w:tcPr>
            <w:tcW w:w="120" w:type="dxa"/>
            <w:vAlign w:val="bottom"/>
          </w:tcPr>
          <w:p>
            <w:pPr>
              <w:spacing w:after="0"/>
              <w:rPr>
                <w:sz w:val="17"/>
                <w:szCs w:val="17"/>
                <w:color w:val="auto"/>
              </w:rPr>
            </w:pPr>
          </w:p>
        </w:tc>
        <w:tc>
          <w:tcPr>
            <w:tcW w:w="2480" w:type="dxa"/>
            <w:vAlign w:val="bottom"/>
            <w:tcBorders>
              <w:bottom w:val="single" w:sz="8" w:color="0000EE"/>
            </w:tcBorders>
            <w:gridSpan w:val="9"/>
          </w:tcPr>
          <w:p>
            <w:pPr>
              <w:spacing w:after="0" w:line="196" w:lineRule="exact"/>
              <w:rPr>
                <w:rFonts w:ascii="Arial" w:cs="Arial" w:eastAsia="Arial" w:hAnsi="Arial"/>
                <w:sz w:val="18"/>
                <w:szCs w:val="18"/>
                <w:color w:val="0000EE"/>
                <w:w w:val="94"/>
              </w:rPr>
            </w:pPr>
            <w:hyperlink w:anchor="page34">
              <w:r>
                <w:rPr>
                  <w:rFonts w:ascii="Arial" w:cs="Arial" w:eastAsia="Arial" w:hAnsi="Arial"/>
                  <w:sz w:val="18"/>
                  <w:szCs w:val="18"/>
                  <w:color w:val="0000EE"/>
                  <w:w w:val="94"/>
                </w:rPr>
                <w:t>DESCRIPTION OF WARRANTS</w:t>
              </w:r>
            </w:hyperlink>
          </w:p>
        </w:tc>
        <w:tc>
          <w:tcPr>
            <w:tcW w:w="5180" w:type="dxa"/>
            <w:vAlign w:val="bottom"/>
            <w:gridSpan w:val="7"/>
          </w:tcPr>
          <w:p>
            <w:pPr>
              <w:spacing w:after="0"/>
              <w:rPr>
                <w:sz w:val="17"/>
                <w:szCs w:val="17"/>
                <w:color w:val="auto"/>
              </w:rPr>
            </w:pPr>
          </w:p>
        </w:tc>
        <w:tc>
          <w:tcPr>
            <w:tcW w:w="330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r>
      <w:tr>
        <w:trPr>
          <w:trHeight w:val="196"/>
        </w:trPr>
        <w:tc>
          <w:tcPr>
            <w:tcW w:w="120" w:type="dxa"/>
            <w:vAlign w:val="bottom"/>
          </w:tcPr>
          <w:p>
            <w:pPr>
              <w:spacing w:after="0"/>
              <w:rPr>
                <w:sz w:val="17"/>
                <w:szCs w:val="17"/>
                <w:color w:val="auto"/>
              </w:rPr>
            </w:pPr>
          </w:p>
        </w:tc>
        <w:tc>
          <w:tcPr>
            <w:tcW w:w="7660" w:type="dxa"/>
            <w:vAlign w:val="bottom"/>
            <w:gridSpan w:val="16"/>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FORMS OF SECURITIES</w:t>
              </w:r>
            </w:hyperlink>
          </w:p>
        </w:tc>
        <w:tc>
          <w:tcPr>
            <w:tcW w:w="330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620" w:type="dxa"/>
            <w:vAlign w:val="bottom"/>
            <w:gridSpan w:val="9"/>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7660" w:type="dxa"/>
            <w:vAlign w:val="bottom"/>
            <w:gridSpan w:val="16"/>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PLAN OF DISTRIBUTION</w:t>
              </w:r>
            </w:hyperlink>
          </w:p>
        </w:tc>
        <w:tc>
          <w:tcPr>
            <w:tcW w:w="330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r>
      <w:tr>
        <w:trPr>
          <w:trHeight w:val="196"/>
        </w:trPr>
        <w:tc>
          <w:tcPr>
            <w:tcW w:w="120" w:type="dxa"/>
            <w:vAlign w:val="bottom"/>
          </w:tcPr>
          <w:p>
            <w:pPr>
              <w:spacing w:after="0"/>
              <w:rPr>
                <w:sz w:val="17"/>
                <w:szCs w:val="17"/>
                <w:color w:val="auto"/>
              </w:rPr>
            </w:pPr>
          </w:p>
        </w:tc>
        <w:tc>
          <w:tcPr>
            <w:tcW w:w="146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6"/>
              </w:rPr>
            </w:pPr>
            <w:hyperlink w:anchor="page40">
              <w:r>
                <w:rPr>
                  <w:rFonts w:ascii="Arial" w:cs="Arial" w:eastAsia="Arial" w:hAnsi="Arial"/>
                  <w:sz w:val="18"/>
                  <w:szCs w:val="18"/>
                  <w:color w:val="0000EE"/>
                  <w:w w:val="96"/>
                </w:rPr>
                <w:t>LEGAL MATTERS</w:t>
              </w:r>
            </w:hyperlink>
          </w:p>
        </w:tc>
        <w:tc>
          <w:tcPr>
            <w:tcW w:w="580" w:type="dxa"/>
            <w:vAlign w:val="bottom"/>
            <w:tcBorders>
              <w:top w:val="single" w:sz="8" w:color="0000EE"/>
            </w:tcBorders>
            <w:gridSpan w:val="4"/>
          </w:tcPr>
          <w:p>
            <w:pPr>
              <w:spacing w:after="0"/>
              <w:rPr>
                <w:sz w:val="17"/>
                <w:szCs w:val="17"/>
                <w:color w:val="auto"/>
              </w:rPr>
            </w:pPr>
          </w:p>
        </w:tc>
        <w:tc>
          <w:tcPr>
            <w:tcW w:w="5620" w:type="dxa"/>
            <w:vAlign w:val="bottom"/>
            <w:gridSpan w:val="9"/>
          </w:tcPr>
          <w:p>
            <w:pPr>
              <w:spacing w:after="0"/>
              <w:rPr>
                <w:sz w:val="17"/>
                <w:szCs w:val="17"/>
                <w:color w:val="auto"/>
              </w:rPr>
            </w:pPr>
          </w:p>
        </w:tc>
        <w:tc>
          <w:tcPr>
            <w:tcW w:w="330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r>
      <w:tr>
        <w:trPr>
          <w:trHeight w:val="196"/>
        </w:trPr>
        <w:tc>
          <w:tcPr>
            <w:tcW w:w="120" w:type="dxa"/>
            <w:vAlign w:val="bottom"/>
          </w:tcPr>
          <w:p>
            <w:pPr>
              <w:spacing w:after="0"/>
              <w:rPr>
                <w:sz w:val="17"/>
                <w:szCs w:val="17"/>
                <w:color w:val="auto"/>
              </w:rPr>
            </w:pPr>
          </w:p>
        </w:tc>
        <w:tc>
          <w:tcPr>
            <w:tcW w:w="7660" w:type="dxa"/>
            <w:vAlign w:val="bottom"/>
            <w:gridSpan w:val="16"/>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EXPERTS</w:t>
              </w:r>
            </w:hyperlink>
          </w:p>
        </w:tc>
        <w:tc>
          <w:tcPr>
            <w:tcW w:w="330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r>
    </w:tbl>
    <w:p>
      <w:pPr>
        <w:spacing w:after="0" w:line="1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15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080"/>
          </w:cols>
          <w:pgMar w:left="320" w:top="446" w:right="49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This prospectus is part of a registration statement that we filed with the Securities and Exchange Commission, which we refer to as the “SEC,” utilizing a “shelf” registration process. Under this shelf registration process, we may from time to time sell any combination of the securities described in this prospectus in one or more offerings for an aggregate offering amount of up to $250,000,000.</w:t>
      </w:r>
    </w:p>
    <w:p>
      <w:pPr>
        <w:spacing w:after="0" w:line="184"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This prospectus provides you with a general description of the securities we may offer. Each time we sell securities, we will provide one or more prospectus supplements that will contain specific information about the terms of the offering. We may also authorize one or more free writing prospectuses to be provided to you that may contain material information relating to these offerings. The prospectus supplement may also add, update or change information contained in this prospectus or in any documents that we have incorporated by reference into this prospectus and, accordingly, to the extent inconsistent, information in this prospectus is superseded by the information in the prospectus supplement or any related free writing prospectus. You should read both this prospectus and the accompanying prospectus supplement together with the additional information described under the heading “Where You Can Find More Information” of this prospectus.</w:t>
      </w:r>
    </w:p>
    <w:p>
      <w:pPr>
        <w:spacing w:after="0" w:line="177" w:lineRule="exact"/>
        <w:rPr>
          <w:sz w:val="20"/>
          <w:szCs w:val="20"/>
          <w:color w:val="auto"/>
        </w:rPr>
      </w:pPr>
    </w:p>
    <w:p>
      <w:pPr>
        <w:ind w:left="120" w:right="20"/>
        <w:spacing w:after="0" w:line="271" w:lineRule="auto"/>
        <w:rPr>
          <w:sz w:val="20"/>
          <w:szCs w:val="20"/>
          <w:color w:val="auto"/>
        </w:rPr>
      </w:pPr>
      <w:r>
        <w:rPr>
          <w:rFonts w:ascii="Arial" w:cs="Arial" w:eastAsia="Arial" w:hAnsi="Arial"/>
          <w:sz w:val="17"/>
          <w:szCs w:val="17"/>
          <w:color w:val="auto"/>
        </w:rPr>
        <w:t>We have not authorized anyone to provide you with any information other than that contained or incorporated by reference in this prospectus or any accompanying prospectus supplement or free writing prospectus to which we have referred you. We take no responsibility for, and can provide no assurance as to the reliability of, any other information others may give you. This prospectus and any accompanying prospectus supplement do not constitute an offer to sell or the solicitation of an offer to buy any securities other than the securities described in this prospectus or such accompanying prospectus supplement or an offer to sell or the solicitation of an offer to buy such securities in any circumstances in which such offer or solicitation is unlawful. You should assume that the information appearing in this prospectus, any prospectus supplement, the documents incorporated by reference and any related free writing prospectus is accurate only as of their respective dates. Our business, financial condition, results of operations and prospects may have changed materially since those dates.</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 offer of these securities will be made in any jurisdiction where the offer is not permitted.</w:t>
      </w:r>
    </w:p>
    <w:p>
      <w:pPr>
        <w:spacing w:after="0" w:line="225" w:lineRule="exact"/>
        <w:rPr>
          <w:sz w:val="20"/>
          <w:szCs w:val="20"/>
          <w:color w:val="auto"/>
        </w:rPr>
      </w:pPr>
    </w:p>
    <w:p>
      <w:pPr>
        <w:ind w:left="120" w:right="660"/>
        <w:spacing w:after="0" w:line="277" w:lineRule="auto"/>
        <w:rPr>
          <w:sz w:val="20"/>
          <w:szCs w:val="20"/>
          <w:color w:val="auto"/>
        </w:rPr>
      </w:pPr>
      <w:r>
        <w:rPr>
          <w:rFonts w:ascii="Arial" w:cs="Arial" w:eastAsia="Arial" w:hAnsi="Arial"/>
          <w:sz w:val="18"/>
          <w:szCs w:val="18"/>
          <w:color w:val="auto"/>
        </w:rPr>
        <w:t>Unless the context otherwise indicates, references in this prospectus to “we,” “our” and “us” refer, collectively, to Fulcrum Therapeutics, Inc., a Delaware corporation, and its consolidated subsidiary.</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120"/>
          </w:cols>
          <w:pgMar w:left="320" w:top="459" w:right="4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Investing in our securities involves a high degree of risk. You should carefully consider the risks and uncertainties described under “Risk Factors” in our most recent Annual Report on Form 10-K, our most recent Quarterly Report on Form 10-Q and in any accompanying prospectus supplement, together with all of the other information included or incorporated by reference in this prospectus and in any accompanying prospectus supplement, including our consolidated financial statements and related notes, before deciding whether to purchase our securities.</w:t>
      </w:r>
    </w:p>
    <w:p>
      <w:pPr>
        <w:spacing w:after="0" w:line="171" w:lineRule="exact"/>
        <w:rPr>
          <w:sz w:val="20"/>
          <w:szCs w:val="20"/>
          <w:color w:val="auto"/>
        </w:rPr>
      </w:pPr>
    </w:p>
    <w:p>
      <w:pPr>
        <w:ind w:left="120" w:right="200"/>
        <w:spacing w:after="0" w:line="308" w:lineRule="auto"/>
        <w:rPr>
          <w:sz w:val="20"/>
          <w:szCs w:val="20"/>
          <w:color w:val="auto"/>
        </w:rPr>
      </w:pPr>
      <w:r>
        <w:rPr>
          <w:rFonts w:ascii="Arial" w:cs="Arial" w:eastAsia="Arial" w:hAnsi="Arial"/>
          <w:sz w:val="17"/>
          <w:szCs w:val="17"/>
          <w:color w:val="auto"/>
        </w:rPr>
        <w:t>Our business, financial condition and results of operations could be materially and adversely affected by any or all of these risks or by additional risks and uncertainties not presently known to us or that we currently deem immaterial that may adversely affect us in the future.</w:t>
      </w:r>
    </w:p>
    <w:p>
      <w:pPr>
        <w:spacing w:after="0" w:line="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20"/>
          </w:cols>
          <w:pgMar w:left="320" w:top="459" w:right="4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We file annual, quarterly and current reports, proxy statements and other information with the SEC. Our SEC filings are available to the public over the Internet at the SEC’s website at http://www.sec.gov. Copies of certain information filed by us with the SEC are also available on our website at http://www.fulcrumtx.com. Our website is not a part of this prospectus and information contained on, or that can be accessed through our website, is not incorporated by reference in this prospectus.</w:t>
      </w:r>
    </w:p>
    <w:p>
      <w:pPr>
        <w:spacing w:after="0" w:line="187"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This prospectus is part of a registration statement we filed with the SEC. This prospectus omits some information contained in the registration statement in accordance with SEC rules and regulations. You should review the information and exhibits in the registration statement for further information about us and our consolidated subsidiary and the securities we are offering. Statements in this prospectus concerning any document we filed as an exhibit to the registration statement or that we otherwise filed with the SEC are not intended to be comprehensive and are qualified by reference to these filings and the exhibits attached thereto. You should review the complete document to evaluate these statements. You can obtain a copy of the registration statement from the SEC’s website.</w:t>
      </w:r>
    </w:p>
    <w:p>
      <w:pPr>
        <w:spacing w:after="0" w:line="200" w:lineRule="exact"/>
        <w:rPr>
          <w:sz w:val="20"/>
          <w:szCs w:val="20"/>
          <w:color w:val="auto"/>
        </w:rPr>
      </w:pPr>
    </w:p>
    <w:p>
      <w:pPr>
        <w:spacing w:after="0" w:line="20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229"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The SEC allows us to incorporate by reference much of the information we file with the SEC, which means that we can disclose important information to you by referring you to those publicly available documents. The information that we incorporate by reference in this prospectus is considered to be part of this prospectus. Because we are incorporating by reference future filings with the SEC, this prospectus is continually updated and those future filings may modify or supersede some of the information included or incorporated in this prospectus. This means that you must look at all of the SEC filings that we incorporate by reference to determine if any of the statements in this prospectus or in any document previously incorporated by reference have been modified or superseded. This prospectus incorporates by reference the documents listed below (File No. 001-38978) and any future filings we make with the SEC under Sections 13(a), 13(c), 14 or 15(d) of the Securities Exchange Act of 1934, as amended, or the Exchange Act (in each case, other than those documents or the portions of those documents not deemed to be filed) until the offering of the securities under the registration statement is terminated or completed:</w:t>
      </w:r>
    </w:p>
    <w:p>
      <w:pPr>
        <w:spacing w:after="0" w:line="86" w:lineRule="exact"/>
        <w:rPr>
          <w:sz w:val="20"/>
          <w:szCs w:val="20"/>
          <w:color w:val="auto"/>
        </w:rPr>
      </w:pPr>
    </w:p>
    <w:p>
      <w:pPr>
        <w:ind w:left="1080" w:right="580" w:hanging="424"/>
        <w:spacing w:after="0" w:line="342" w:lineRule="auto"/>
        <w:tabs>
          <w:tab w:leader="none" w:pos="1080" w:val="left"/>
        </w:tabs>
        <w:numPr>
          <w:ilvl w:val="0"/>
          <w:numId w:val="2"/>
        </w:numPr>
        <w:rPr>
          <w:rFonts w:ascii="Arial" w:cs="Arial" w:eastAsia="Arial" w:hAnsi="Arial"/>
          <w:sz w:val="16"/>
          <w:szCs w:val="16"/>
          <w:color w:val="auto"/>
        </w:rPr>
      </w:pPr>
      <w:r>
        <w:rPr>
          <w:rFonts w:ascii="Arial" w:cs="Arial" w:eastAsia="Arial" w:hAnsi="Arial"/>
          <w:sz w:val="16"/>
          <w:szCs w:val="16"/>
          <w:color w:val="auto"/>
        </w:rPr>
        <w:t xml:space="preserve">Annual Report on </w:t>
      </w:r>
      <w:hyperlink r:id="rId28">
        <w:r>
          <w:rPr>
            <w:rFonts w:ascii="Arial" w:cs="Arial" w:eastAsia="Arial" w:hAnsi="Arial"/>
            <w:sz w:val="16"/>
            <w:szCs w:val="16"/>
            <w:u w:val="single" w:color="auto"/>
            <w:color w:val="0000EE"/>
          </w:rPr>
          <w:t>Form 10-K</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 xml:space="preserve">for the fiscal year ended December 31, 2020, including the information specifically incorporated by reference into the Annual Report on Form 10-K from our </w:t>
      </w:r>
      <w:hyperlink r:id="rId29">
        <w:r>
          <w:rPr>
            <w:rFonts w:ascii="Arial" w:cs="Arial" w:eastAsia="Arial" w:hAnsi="Arial"/>
            <w:sz w:val="16"/>
            <w:szCs w:val="16"/>
            <w:u w:val="single" w:color="auto"/>
            <w:color w:val="0000EE"/>
          </w:rPr>
          <w:t>definitive proxy statement</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for the 2021 Annual Meeting of Stockholders;</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Quarterly Reports on Form 10-Q for the fiscal quarters ended </w:t>
      </w:r>
      <w:hyperlink r:id="rId30">
        <w:r>
          <w:rPr>
            <w:rFonts w:ascii="Arial" w:cs="Arial" w:eastAsia="Arial" w:hAnsi="Arial"/>
            <w:sz w:val="18"/>
            <w:szCs w:val="18"/>
            <w:u w:val="single" w:color="auto"/>
            <w:color w:val="0000EE"/>
          </w:rPr>
          <w:t>March 31, 2021</w:t>
        </w:r>
      </w:hyperlink>
      <w:r>
        <w:rPr>
          <w:rFonts w:ascii="Arial" w:cs="Arial" w:eastAsia="Arial" w:hAnsi="Arial"/>
          <w:sz w:val="18"/>
          <w:szCs w:val="18"/>
          <w:color w:val="auto"/>
        </w:rPr>
        <w:t xml:space="preserve">, </w:t>
      </w:r>
      <w:hyperlink r:id="rId31">
        <w:r>
          <w:rPr>
            <w:rFonts w:ascii="Arial" w:cs="Arial" w:eastAsia="Arial" w:hAnsi="Arial"/>
            <w:sz w:val="18"/>
            <w:szCs w:val="18"/>
            <w:u w:val="single" w:color="auto"/>
            <w:color w:val="0000EE"/>
          </w:rPr>
          <w:t>June 30, 2021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32">
        <w:r>
          <w:rPr>
            <w:rFonts w:ascii="Arial" w:cs="Arial" w:eastAsia="Arial" w:hAnsi="Arial"/>
            <w:sz w:val="18"/>
            <w:szCs w:val="18"/>
            <w:u w:val="single" w:color="auto"/>
            <w:color w:val="0000EE"/>
          </w:rPr>
          <w:t>September 30, 2021</w:t>
        </w:r>
      </w:hyperlink>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080" w:right="60" w:hanging="424"/>
        <w:spacing w:after="0" w:line="263" w:lineRule="auto"/>
        <w:tabs>
          <w:tab w:leader="none" w:pos="1080" w:val="left"/>
        </w:tabs>
        <w:numPr>
          <w:ilvl w:val="0"/>
          <w:numId w:val="2"/>
        </w:numPr>
        <w:rPr>
          <w:rFonts w:ascii="Arial" w:cs="Arial" w:eastAsia="Arial" w:hAnsi="Arial"/>
          <w:sz w:val="18"/>
          <w:szCs w:val="18"/>
          <w:color w:val="0000EE"/>
        </w:rPr>
      </w:pPr>
      <w:r>
        <w:rPr>
          <w:rFonts w:ascii="Arial" w:cs="Arial" w:eastAsia="Arial" w:hAnsi="Arial"/>
          <w:sz w:val="18"/>
          <w:szCs w:val="18"/>
          <w:color w:val="auto"/>
        </w:rPr>
        <w:t xml:space="preserve">Current Reports on Form 8-K filed on </w:t>
      </w:r>
      <w:hyperlink r:id="rId33">
        <w:r>
          <w:rPr>
            <w:rFonts w:ascii="Arial" w:cs="Arial" w:eastAsia="Arial" w:hAnsi="Arial"/>
            <w:sz w:val="18"/>
            <w:szCs w:val="18"/>
            <w:u w:val="single" w:color="auto"/>
            <w:color w:val="0000EE"/>
          </w:rPr>
          <w:t>January 19, 2021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(other than Item 2.02), </w:t>
      </w:r>
      <w:hyperlink r:id="rId34">
        <w:r>
          <w:rPr>
            <w:rFonts w:ascii="Arial" w:cs="Arial" w:eastAsia="Arial" w:hAnsi="Arial"/>
            <w:sz w:val="18"/>
            <w:szCs w:val="18"/>
            <w:u w:val="single" w:color="auto"/>
            <w:color w:val="0000EE"/>
          </w:rPr>
          <w:t>January 20, 2021</w:t>
        </w:r>
      </w:hyperlink>
      <w:r>
        <w:rPr>
          <w:rFonts w:ascii="Arial" w:cs="Arial" w:eastAsia="Arial" w:hAnsi="Arial"/>
          <w:sz w:val="18"/>
          <w:szCs w:val="18"/>
          <w:color w:val="auto"/>
        </w:rPr>
        <w:t xml:space="preserve">, </w:t>
      </w:r>
      <w:hyperlink r:id="rId35">
        <w:r>
          <w:rPr>
            <w:rFonts w:ascii="Arial" w:cs="Arial" w:eastAsia="Arial" w:hAnsi="Arial"/>
            <w:sz w:val="18"/>
            <w:szCs w:val="18"/>
            <w:u w:val="single" w:color="auto"/>
            <w:color w:val="0000EE"/>
          </w:rPr>
          <w:t>March 4, 2021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(other than Item 2.02 </w:t>
      </w:r>
      <w:hyperlink r:id="rId36">
        <w:r>
          <w:rPr>
            <w:rFonts w:ascii="Arial" w:cs="Arial" w:eastAsia="Arial" w:hAnsi="Arial"/>
            <w:sz w:val="18"/>
            <w:szCs w:val="18"/>
            <w:color w:val="auto"/>
          </w:rPr>
          <w:t xml:space="preserve">and Item 9.01), </w:t>
        </w:r>
        <w:r>
          <w:rPr>
            <w:rFonts w:ascii="Arial" w:cs="Arial" w:eastAsia="Arial" w:hAnsi="Arial"/>
            <w:sz w:val="18"/>
            <w:szCs w:val="18"/>
            <w:u w:val="single" w:color="auto"/>
            <w:color w:val="0000EE"/>
          </w:rPr>
          <w:t>March 24, 2021</w:t>
        </w:r>
        <w:r>
          <w:rPr>
            <w:rFonts w:ascii="Arial" w:cs="Arial" w:eastAsia="Arial" w:hAnsi="Arial"/>
            <w:sz w:val="18"/>
            <w:szCs w:val="18"/>
            <w:color w:val="auto"/>
          </w:rPr>
          <w:t xml:space="preserve"> (other than Item 9.01), </w:t>
        </w:r>
        <w:r>
          <w:rPr>
            <w:rFonts w:ascii="Arial" w:cs="Arial" w:eastAsia="Arial" w:hAnsi="Arial"/>
            <w:sz w:val="18"/>
            <w:szCs w:val="18"/>
            <w:u w:val="single" w:color="auto"/>
            <w:color w:val="0000EE"/>
          </w:rPr>
          <w:t>June 11, 2021</w:t>
        </w:r>
        <w:r>
          <w:rPr>
            <w:rFonts w:ascii="Arial" w:cs="Arial" w:eastAsia="Arial" w:hAnsi="Arial"/>
            <w:sz w:val="18"/>
            <w:szCs w:val="18"/>
            <w:color w:val="auto"/>
          </w:rPr>
          <w:t xml:space="preserve">, </w:t>
        </w:r>
        <w:r>
          <w:rPr>
            <w:rFonts w:ascii="Arial" w:cs="Arial" w:eastAsia="Arial" w:hAnsi="Arial"/>
            <w:sz w:val="18"/>
            <w:szCs w:val="18"/>
            <w:u w:val="single" w:color="auto"/>
            <w:color w:val="0000EE"/>
          </w:rPr>
          <w:t>June 24, 2021</w:t>
        </w:r>
        <w:r>
          <w:rPr>
            <w:rFonts w:ascii="Arial" w:cs="Arial" w:eastAsia="Arial" w:hAnsi="Arial"/>
            <w:sz w:val="18"/>
            <w:szCs w:val="18"/>
            <w:color w:val="auto"/>
          </w:rPr>
          <w:t xml:space="preserve">, </w:t>
        </w:r>
        <w:r>
          <w:rPr>
            <w:rFonts w:ascii="Arial" w:cs="Arial" w:eastAsia="Arial" w:hAnsi="Arial"/>
            <w:sz w:val="18"/>
            <w:szCs w:val="18"/>
            <w:u w:val="single" w:color="auto"/>
            <w:color w:val="0000EE"/>
          </w:rPr>
          <w:t>August 12, 2021</w:t>
        </w:r>
        <w:r>
          <w:rPr>
            <w:rFonts w:ascii="Arial" w:cs="Arial" w:eastAsia="Arial" w:hAnsi="Arial"/>
            <w:sz w:val="18"/>
            <w:szCs w:val="18"/>
            <w:color w:val="auto"/>
          </w:rPr>
          <w:t xml:space="preserve">, </w:t>
        </w:r>
        <w:r>
          <w:rPr>
            <w:rFonts w:ascii="Arial" w:cs="Arial" w:eastAsia="Arial" w:hAnsi="Arial"/>
            <w:sz w:val="18"/>
            <w:szCs w:val="18"/>
            <w:u w:val="single" w:color="auto"/>
            <w:color w:val="0000EE"/>
          </w:rPr>
          <w:t>November 17, 2021</w:t>
        </w:r>
        <w:r>
          <w:rPr>
            <w:rFonts w:ascii="Arial" w:cs="Arial" w:eastAsia="Arial" w:hAnsi="Arial"/>
            <w:sz w:val="18"/>
            <w:szCs w:val="18"/>
            <w:color w:val="auto"/>
          </w:rPr>
          <w:t xml:space="preserve">, </w:t>
        </w:r>
        <w:r>
          <w:rPr>
            <w:rFonts w:ascii="Arial" w:cs="Arial" w:eastAsia="Arial" w:hAnsi="Arial"/>
            <w:sz w:val="18"/>
            <w:szCs w:val="18"/>
            <w:u w:val="single" w:color="auto"/>
            <w:color w:val="0000EE"/>
          </w:rPr>
          <w:t>December</w:t>
        </w:r>
      </w:hyperlink>
      <w:r>
        <w:rPr>
          <w:rFonts w:ascii="Arial" w:cs="Arial" w:eastAsia="Arial" w:hAnsi="Arial"/>
          <w:sz w:val="18"/>
          <w:szCs w:val="18"/>
          <w:color w:val="auto"/>
        </w:rPr>
        <w:t xml:space="preserve"> </w:t>
      </w:r>
      <w:hyperlink r:id="rId36">
        <w:r>
          <w:rPr>
            <w:rFonts w:ascii="Arial" w:cs="Arial" w:eastAsia="Arial" w:hAnsi="Arial"/>
            <w:sz w:val="18"/>
            <w:szCs w:val="18"/>
            <w:u w:val="single" w:color="auto"/>
            <w:color w:val="0000EE"/>
          </w:rPr>
          <w:t>6, 2021</w:t>
        </w:r>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37">
        <w:r>
          <w:rPr>
            <w:rFonts w:ascii="Arial" w:cs="Arial" w:eastAsia="Arial" w:hAnsi="Arial"/>
            <w:sz w:val="18"/>
            <w:szCs w:val="18"/>
            <w:u w:val="single" w:color="auto"/>
            <w:color w:val="0000EE"/>
          </w:rPr>
          <w:t>January 4</w:t>
        </w:r>
      </w:hyperlink>
      <w:hyperlink r:id="rId36">
        <w:r>
          <w:rPr>
            <w:rFonts w:ascii="Arial" w:cs="Arial" w:eastAsia="Arial" w:hAnsi="Arial"/>
            <w:sz w:val="18"/>
            <w:szCs w:val="18"/>
            <w:color w:val="000000"/>
          </w:rPr>
          <w:t>, 2022 and</w:t>
        </w:r>
        <w:r>
          <w:rPr>
            <w:rFonts w:ascii="Arial" w:cs="Arial" w:eastAsia="Arial" w:hAnsi="Arial"/>
            <w:sz w:val="18"/>
            <w:szCs w:val="18"/>
            <w:color w:val="0000EE"/>
          </w:rPr>
          <w:t xml:space="preserve"> </w:t>
        </w:r>
      </w:hyperlink>
      <w:hyperlink r:id="rId38">
        <w:r>
          <w:rPr>
            <w:rFonts w:ascii="Arial" w:cs="Arial" w:eastAsia="Arial" w:hAnsi="Arial"/>
            <w:sz w:val="18"/>
            <w:szCs w:val="18"/>
            <w:u w:val="single" w:color="auto"/>
            <w:color w:val="0000EE"/>
          </w:rPr>
          <w:t xml:space="preserve">January 10, 2022 </w:t>
        </w:r>
      </w:hyperlink>
      <w:hyperlink r:id="rId36">
        <w:r>
          <w:rPr>
            <w:rFonts w:ascii="Arial" w:cs="Arial" w:eastAsia="Arial" w:hAnsi="Arial"/>
            <w:sz w:val="18"/>
            <w:szCs w:val="18"/>
            <w:color w:val="000000"/>
          </w:rPr>
          <w:t>(other than Item 2.02); and</w:t>
        </w:r>
      </w:hyperlink>
    </w:p>
    <w:p>
      <w:pPr>
        <w:spacing w:after="0" w:line="89" w:lineRule="exact"/>
        <w:rPr>
          <w:rFonts w:ascii="Arial" w:cs="Arial" w:eastAsia="Arial" w:hAnsi="Arial"/>
          <w:sz w:val="18"/>
          <w:szCs w:val="18"/>
          <w:color w:val="0000EE"/>
        </w:rPr>
      </w:pPr>
    </w:p>
    <w:p>
      <w:pPr>
        <w:ind w:left="1080" w:right="300" w:hanging="424"/>
        <w:spacing w:after="0" w:line="259"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The description of our common stock contained in our registration statement on </w:t>
      </w:r>
      <w:hyperlink r:id="rId39">
        <w:r>
          <w:rPr>
            <w:rFonts w:ascii="Arial" w:cs="Arial" w:eastAsia="Arial" w:hAnsi="Arial"/>
            <w:sz w:val="18"/>
            <w:szCs w:val="18"/>
            <w:u w:val="single" w:color="auto"/>
            <w:color w:val="0000EE"/>
          </w:rPr>
          <w:t>Form 8-A</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filed on July 12, 2019, as the description therein has been updated and superseded by the description of our capital stock contained in </w:t>
      </w:r>
      <w:hyperlink r:id="rId40">
        <w:r>
          <w:rPr>
            <w:rFonts w:ascii="Arial" w:cs="Arial" w:eastAsia="Arial" w:hAnsi="Arial"/>
            <w:sz w:val="18"/>
            <w:szCs w:val="18"/>
            <w:u w:val="single" w:color="auto"/>
            <w:color w:val="0000EE"/>
          </w:rPr>
          <w:t>Exhibit 4.2</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our Annual Report on Form 10-K for the fiscal year ended December 31, 2020, and including any amendments and reports filed for the purpose of updating such description.</w:t>
      </w:r>
    </w:p>
    <w:p>
      <w:pPr>
        <w:spacing w:after="0" w:line="119" w:lineRule="exact"/>
        <w:rPr>
          <w:rFonts w:ascii="Arial" w:cs="Arial" w:eastAsia="Arial" w:hAnsi="Arial"/>
          <w:sz w:val="18"/>
          <w:szCs w:val="18"/>
          <w:color w:val="auto"/>
        </w:rPr>
      </w:pPr>
    </w:p>
    <w:p>
      <w:pPr>
        <w:jc w:val="center"/>
        <w:ind w:right="-1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00"/>
          </w:cols>
          <w:pgMar w:left="320" w:top="459" w:right="4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You may request a copy of these filings, at no cost, by writing or calling us at the following address or telephone number:</w:t>
      </w:r>
    </w:p>
    <w:p>
      <w:pPr>
        <w:spacing w:after="0" w:line="248"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Fulcrum Therapeutics, Inc.</w:t>
      </w:r>
    </w:p>
    <w:p>
      <w:pPr>
        <w:spacing w:after="0" w:line="23"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26 Landsdowne Street</w:t>
      </w:r>
    </w:p>
    <w:p>
      <w:pPr>
        <w:spacing w:after="0" w:line="9"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Cambridge, Massachusetts 02139</w:t>
      </w:r>
    </w:p>
    <w:p>
      <w:pPr>
        <w:spacing w:after="0" w:line="9"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Attn: Investor Relations</w:t>
      </w:r>
    </w:p>
    <w:p>
      <w:pPr>
        <w:spacing w:after="0" w:line="9"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(617) 651-8851</w:t>
      </w:r>
    </w:p>
    <w:p>
      <w:pPr>
        <w:spacing w:after="0" w:line="14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139"/>
          </w:cols>
          <w:pgMar w:left="320" w:top="459" w:right="1440"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0"/>
        <w:spacing w:after="0"/>
        <w:rPr>
          <w:sz w:val="20"/>
          <w:szCs w:val="20"/>
          <w:color w:val="auto"/>
        </w:rPr>
      </w:pPr>
      <w:r>
        <w:rPr>
          <w:rFonts w:ascii="Arial" w:cs="Arial" w:eastAsia="Arial" w:hAnsi="Arial"/>
          <w:sz w:val="18"/>
          <w:szCs w:val="18"/>
          <w:b w:val="1"/>
          <w:bCs w:val="1"/>
          <w:color w:val="auto"/>
        </w:rPr>
        <w:t>CAUTIONARY NOTE REGARDING FORWARD-LOOKING STATEMENTS AND INDUSTRY DATA</w:t>
      </w:r>
    </w:p>
    <w:p>
      <w:pPr>
        <w:spacing w:after="0" w:line="229" w:lineRule="exact"/>
        <w:rPr>
          <w:sz w:val="20"/>
          <w:szCs w:val="20"/>
          <w:color w:val="auto"/>
        </w:rPr>
      </w:pPr>
    </w:p>
    <w:p>
      <w:pPr>
        <w:ind w:left="120" w:right="140"/>
        <w:spacing w:after="0" w:line="273" w:lineRule="auto"/>
        <w:rPr>
          <w:sz w:val="20"/>
          <w:szCs w:val="20"/>
          <w:color w:val="auto"/>
        </w:rPr>
      </w:pPr>
      <w:r>
        <w:rPr>
          <w:rFonts w:ascii="Arial" w:cs="Arial" w:eastAsia="Arial" w:hAnsi="Arial"/>
          <w:sz w:val="17"/>
          <w:szCs w:val="17"/>
          <w:color w:val="auto"/>
        </w:rPr>
        <w:t>This prospectus and the documents incorporated by reference in this prospectus include “forward-looking statements” within the meaning of Section 27A of the Securities Act and Section 21E of the Exchange Act. All statements, other than statements of historical fact, contained or incorporated by reference in this prospectus, including statements regarding our strategy, future operations, future financial position, future revenue, projected costs, prospects, plans and objectives of management, are forward-looking statements. The words “anticipate,” “believe,” “estimate,” “expect,” “intend,” “may,” “might,” “plan,” “predict,” “project,” “target,” “potential,” “would,” “could,” “should,” “continue” and similar expressions are intended to identify forward-looking statements, although not all forward-looking statements contain these identifying words.</w:t>
      </w:r>
    </w:p>
    <w:p>
      <w:pPr>
        <w:spacing w:after="0" w:line="178" w:lineRule="exact"/>
        <w:rPr>
          <w:sz w:val="20"/>
          <w:szCs w:val="20"/>
          <w:color w:val="auto"/>
        </w:rPr>
      </w:pPr>
    </w:p>
    <w:p>
      <w:pPr>
        <w:ind w:left="120" w:right="20"/>
        <w:spacing w:after="0" w:line="254" w:lineRule="auto"/>
        <w:rPr>
          <w:sz w:val="20"/>
          <w:szCs w:val="20"/>
          <w:color w:val="auto"/>
        </w:rPr>
      </w:pPr>
      <w:r>
        <w:rPr>
          <w:rFonts w:ascii="Arial" w:cs="Arial" w:eastAsia="Arial" w:hAnsi="Arial"/>
          <w:sz w:val="18"/>
          <w:szCs w:val="18"/>
          <w:color w:val="auto"/>
        </w:rPr>
        <w:t>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We have included important factors in the cautionary statements included, or incorporated by reference, in this prospectus, particularly in the “Risk Factors” section, that we believe could cause actual results or events to differ materially from the forward-looking statements that we make. You should also carefully review the risk factors and cautionary statements described in the other documents we file from time to time with the SEC, specifically our most recent Annual Report on Form 10-K, our Quarterly Reports on Form 10-Q and our Current Reports on Form 8-K. Our forward-looking statements do not reflect the potential impact of any future acquisitions, mergers, dispositions, joint ventures or investments we may make.</w:t>
      </w:r>
    </w:p>
    <w:p>
      <w:pPr>
        <w:spacing w:after="0" w:line="192" w:lineRule="exact"/>
        <w:rPr>
          <w:sz w:val="20"/>
          <w:szCs w:val="20"/>
          <w:color w:val="auto"/>
        </w:rPr>
      </w:pPr>
    </w:p>
    <w:p>
      <w:pPr>
        <w:ind w:left="120" w:right="60"/>
        <w:spacing w:after="0" w:line="301" w:lineRule="auto"/>
        <w:rPr>
          <w:sz w:val="20"/>
          <w:szCs w:val="20"/>
          <w:color w:val="auto"/>
        </w:rPr>
      </w:pPr>
      <w:r>
        <w:rPr>
          <w:rFonts w:ascii="Arial" w:cs="Arial" w:eastAsia="Arial" w:hAnsi="Arial"/>
          <w:sz w:val="16"/>
          <w:szCs w:val="16"/>
          <w:color w:val="auto"/>
        </w:rPr>
        <w:t>You should read this prospectus, the documents incorporated by reference in this prospectus and the documents that we have filed as exhibits to the registration statement of which this prospectus is a part completely and with the understanding that our actual future results may be materially different from what we expect. The forward-looking statements contained in this prospectus and incorporated by reference herein are made as of the date hereof, and we do not assume any obligation to update any forward-looking statements except as required by applicable law.</w:t>
      </w:r>
    </w:p>
    <w:p>
      <w:pPr>
        <w:spacing w:after="0" w:line="157"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This prospectus includes or incorporates by reference certain statistical and other industry and market data that we obtained from industry publications and research, surveys and studies conducted by third parties as well as our own estimates of potential market opportunities. Industry publications and third-party research, surveys and studies generally indicate that their information has been obtained from sources believed to be reliable, although they do not guarantee the accuracy or completeness of such information. Our estimates of the potential market opportunities for our product candidates include several key assumptions based on our industry knowledge, industry publications, third-party research and other surveys, which may be based on a small sample size and may fail to accurately reflect market opportunities. While we believe that our internal assumptions are reasonable, no independent source has verified such assumptions.</w:t>
      </w:r>
    </w:p>
    <w:p>
      <w:pPr>
        <w:spacing w:after="0" w:line="11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80"/>
          </w:cols>
          <w:pgMar w:left="320" w:top="459" w:right="4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ABOUT FULCRUM THERAPEUTICS, INC.</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120" w:right="20"/>
        <w:spacing w:after="0" w:line="290" w:lineRule="auto"/>
        <w:rPr>
          <w:sz w:val="20"/>
          <w:szCs w:val="20"/>
          <w:color w:val="auto"/>
        </w:rPr>
      </w:pPr>
      <w:r>
        <w:rPr>
          <w:rFonts w:ascii="Arial" w:cs="Arial" w:eastAsia="Arial" w:hAnsi="Arial"/>
          <w:sz w:val="16"/>
          <w:szCs w:val="16"/>
          <w:color w:val="auto"/>
        </w:rPr>
        <w:t>We are a clinical-stage biopharmaceutical company focused on improving the lives of patients with genetically defined rare diseases in areas of high unmet medical need. Our most advanced clinical product candidate, losmamipod, is in development to treat the root cause of facioscapulohumeral muscular dystrophy, or FSHD. Our other clinical product candidate is FTX-6058, which is being developed for the treatment of certain hemoglobinopathies, including sickle cell disease, or SCD, and ß-thalassemia. We expect to initiate FSHD: REACH, a randomized, double-blind, placebo-controlled, multi-national Phase 3 clinical trial of losmapimod, our product candidate for FSHD, in the second quarter of 2022. We initiated a Phase 1b clinical trial of FTX-6058 in people with SCD in the fourth quarter of 2021, and we expect to report initial data from that Phase 1b trial in the second quarter of 2022. Additionally, we submitted an investigational new drug application, or IND, in the fourth quarter of 2021 for FTX-6058 in other select hemoglobinopathies, including ß-thalassemia, and expect to initiate a Phase 1b study in the second quarter of 2022.</w:t>
      </w:r>
    </w:p>
    <w:p>
      <w:pPr>
        <w:spacing w:after="0" w:line="165" w:lineRule="exact"/>
        <w:rPr>
          <w:sz w:val="20"/>
          <w:szCs w:val="20"/>
          <w:color w:val="auto"/>
        </w:rPr>
      </w:pPr>
    </w:p>
    <w:p>
      <w:pPr>
        <w:ind w:left="120" w:right="20"/>
        <w:spacing w:after="0" w:line="291" w:lineRule="auto"/>
        <w:rPr>
          <w:sz w:val="20"/>
          <w:szCs w:val="20"/>
          <w:color w:val="auto"/>
        </w:rPr>
      </w:pPr>
      <w:r>
        <w:rPr>
          <w:rFonts w:ascii="Arial" w:cs="Arial" w:eastAsia="Arial" w:hAnsi="Arial"/>
          <w:sz w:val="16"/>
          <w:szCs w:val="16"/>
          <w:color w:val="auto"/>
        </w:rPr>
        <w:t>We have developed a proprietary product engine, FulcrumSeek, that we employ to systematically identify and validate cellular drug targets that can potentially modulate gene expression to treat known root causes of genetically defined diseases. Our product engine integrates patient-derived tissue and disease-relevant cell models that we interrogate using our pharmacologically diverse and highly annotated small-molecule compound library and customized CRISPR and RNAi libraries. These screens generate tens of millions of data points and high-content imaging. We then apply computational biology and analytics to identify targets with specificity and selectivity accompanied by a comprehensive data set that significantly accelerates development. This approach led to the identification of both losmamipod for FSHD and FTX-6058 for hemoglobinopathies, as well as a robust discovery pipeline. We expect to nominate our next development candidate this year to support our fourth IND by the end of the first quarter of 2023.</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We were incorporated under the laws of the State of Delaware on August 18, 2015 under the name Fulcrum Therapeutics, Inc. Our principal executive offices are located at 26 Landsdowne Street, Cambridge, Massachusetts 02139, and our telephone number is (617) 651-8851. Our website address is http://www.fulcrumtx.com. The information contained on, or that can be accessed through, our website is not a part of this prospectus. We have included our website address in this prospectus solely as an inactive textual reference.</w:t>
      </w:r>
    </w:p>
    <w:p>
      <w:pPr>
        <w:spacing w:after="0" w:line="187" w:lineRule="exact"/>
        <w:rPr>
          <w:sz w:val="20"/>
          <w:szCs w:val="20"/>
          <w:color w:val="auto"/>
        </w:rPr>
      </w:pPr>
    </w:p>
    <w:p>
      <w:pPr>
        <w:ind w:left="120" w:right="80"/>
        <w:spacing w:after="0" w:line="301" w:lineRule="auto"/>
        <w:rPr>
          <w:sz w:val="20"/>
          <w:szCs w:val="20"/>
          <w:color w:val="auto"/>
        </w:rPr>
      </w:pPr>
      <w:r>
        <w:rPr>
          <w:rFonts w:ascii="Arial" w:cs="Arial" w:eastAsia="Arial" w:hAnsi="Arial"/>
          <w:sz w:val="16"/>
          <w:szCs w:val="16"/>
          <w:color w:val="auto"/>
        </w:rPr>
        <w:t xml:space="preserve">We own or have rights, or have applied for, to trademarks, service marks and trade names that we use in connection with the operation of our business, including our corporate name, logos and website names. Other trademarks, service marks and trade names appearing in this prospectus are the property of their respective owners. Solely for convenience, some of the trademarks, service marks and trade names referred to in this prospectus are listed without the </w:t>
      </w:r>
      <w:r>
        <w:rPr>
          <w:rFonts w:ascii="Arial" w:cs="Arial" w:eastAsia="Arial" w:hAnsi="Arial"/>
          <w:sz w:val="13"/>
          <w:szCs w:val="13"/>
          <w:color w:val="auto"/>
        </w:rPr>
        <w:t>®</w:t>
      </w:r>
      <w:r>
        <w:rPr>
          <w:rFonts w:ascii="Arial" w:cs="Arial" w:eastAsia="Arial" w:hAnsi="Arial"/>
          <w:sz w:val="16"/>
          <w:szCs w:val="16"/>
          <w:color w:val="auto"/>
        </w:rPr>
        <w:t xml:space="preserve"> and </w:t>
      </w:r>
      <w:r>
        <w:rPr>
          <w:rFonts w:ascii="Arial" w:cs="Arial" w:eastAsia="Arial" w:hAnsi="Arial"/>
          <w:sz w:val="13"/>
          <w:szCs w:val="13"/>
          <w:color w:val="auto"/>
        </w:rPr>
        <w:t>™</w:t>
      </w:r>
      <w:r>
        <w:rPr>
          <w:rFonts w:ascii="Arial" w:cs="Arial" w:eastAsia="Arial" w:hAnsi="Arial"/>
          <w:sz w:val="16"/>
          <w:szCs w:val="16"/>
          <w:color w:val="auto"/>
        </w:rPr>
        <w:t xml:space="preserve"> symbols, but we will assert, to the fullest extent under applicable law, our rights to our trademarks, service marks and trade names.</w:t>
      </w:r>
    </w:p>
    <w:p>
      <w:pPr>
        <w:spacing w:after="0" w:line="9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20"/>
          </w:cols>
          <w:pgMar w:left="320" w:top="459" w:right="4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We intend to use the net proceeds from the sale of any securities offered under this prospectus for general corporate purposes unless otherwise indicated in the applicable prospectus supplement. General corporate purposes may include working capital and capital expenditures, research and development expenses, including clinical trial costs, general and administrative expenses, potential acquisition of, or investment in, companies, technologies, products or assets that complement our business, and repayment and refinancing of debt. We have not determined the amount of net proceeds to be used specifically for such purposes. As a result, management will retain broad discretion over the allocation of the net proceeds of any offering.</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20"/>
          </w:cols>
          <w:pgMar w:left="320" w:top="459" w:right="4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DEBT SECURITIES</w:t>
      </w:r>
    </w:p>
    <w:p>
      <w:pPr>
        <w:spacing w:after="0" w:line="229"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We may offer debt securities which may be senior or subordinated. We refer to the senior debt securities and the subordinated debt securities collectively as debt securities. The following description summarizes the general terms and provisions of the debt securities. We will describe the specific terms of the debt securities and the extent, if any, to which the general provisions summarized below apply to any series of debt securities in the prospectus supplement relating to the series and any applicable free writing prospectus that we authorize to be delivered. When we refer to “the Company,” “we,” “our,” and “us” in this section, we mean Fulcrum Therapeutics, Inc. excluding, unless the context otherwise requires or as otherwise expressly stated, our subsidiary.</w:t>
      </w:r>
    </w:p>
    <w:p>
      <w:pPr>
        <w:spacing w:after="0" w:line="192" w:lineRule="exact"/>
        <w:rPr>
          <w:sz w:val="20"/>
          <w:szCs w:val="20"/>
          <w:color w:val="auto"/>
        </w:rPr>
      </w:pPr>
    </w:p>
    <w:p>
      <w:pPr>
        <w:ind w:left="120" w:right="120"/>
        <w:spacing w:after="0" w:line="288" w:lineRule="auto"/>
        <w:rPr>
          <w:sz w:val="20"/>
          <w:szCs w:val="20"/>
          <w:color w:val="auto"/>
        </w:rPr>
      </w:pPr>
      <w:r>
        <w:rPr>
          <w:rFonts w:ascii="Arial" w:cs="Arial" w:eastAsia="Arial" w:hAnsi="Arial"/>
          <w:sz w:val="16"/>
          <w:szCs w:val="16"/>
          <w:color w:val="auto"/>
        </w:rPr>
        <w:t>We may issue senior debt securities from time to time, in one or more series under a senior indenture to be entered into between us and a senior trustee to be named in a prospectus supplement, which we refer to as the senior trustee. We may issue subordinated debt securities from time to time, in one or more series under a subordinated indenture to be entered into between us and a subordinated trustee to be named in a prospectus supplement, which we refer to as the subordinated trustee. The forms of senior indenture and subordinated indenture are filed as exhibits to the registration statement of which this prospectus forms a part. The senior indenture and the subordinated indenture are referred to individually as an indenture and together as the indentures and the senior trustee and the subordinated trustee are referred to individually as a trustee and together as the trustees. This section summarizes some of the provisions of the indentures and is qualified in its entirety by the specific text of the indentures, including definitions of terms used in the indentures. Wherever we refer to particular sections of, or defined terms in, the indentures, those sections or defined terms are incorporated by reference in this prospectus or the applicable prospectus supplement. You should review the indentures that are filed as exhibits to the registration statement of which this prospectus forms a part for additional information.</w:t>
      </w:r>
    </w:p>
    <w:p>
      <w:pPr>
        <w:spacing w:after="0" w:line="168"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Neither indenture will limit the amount of debt securities that we may issue. The applicable indenture will provide that debt securities may be issued up to an aggregate principal amount authorized from time to time by us and may be payable in any currency or currency unit designated by us or in amounts determined by reference to an index.</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120" w:right="120"/>
        <w:spacing w:after="0" w:line="275" w:lineRule="auto"/>
        <w:rPr>
          <w:sz w:val="20"/>
          <w:szCs w:val="20"/>
          <w:color w:val="auto"/>
        </w:rPr>
      </w:pPr>
      <w:r>
        <w:rPr>
          <w:rFonts w:ascii="Arial" w:cs="Arial" w:eastAsia="Arial" w:hAnsi="Arial"/>
          <w:sz w:val="17"/>
          <w:szCs w:val="17"/>
          <w:color w:val="auto"/>
        </w:rPr>
        <w:t>The senior debt securities will constitute our unsecured and unsubordinated general obligations and will rank equally in right of payment with our other unsecured and unsubordinated obligations. The subordinated debt securities will constitute our unsecured and subordinated general obligations and will be junior in right of payment to our senior indebtedness (including senior debt securities), as described under the heading “—Certain Terms of the Subordinated Debt Securities—Subordination.” The debt securities will be structurally subordinated to all existing and future indebtedness and other liabilities of our subsidiary unless such subsidiary expressly guarantee such debt securities.</w:t>
      </w:r>
    </w:p>
    <w:p>
      <w:pPr>
        <w:spacing w:after="0" w:line="176"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The debt securities will be our unsecured obligations. Any secured debt or other secured obligations will be effectively senior to the debt securities to the extent of the value of the assets securing such debt or other obligations. Unless otherwise indicated in the applicable prospectus supplement, the debt securities will not be guaranteed by our subsidiary.</w:t>
      </w:r>
    </w:p>
    <w:p>
      <w:pPr>
        <w:spacing w:after="0" w:line="184"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color w:val="auto"/>
        </w:rPr>
        <w:t>The applicable prospectus supplement and/or free writing prospectus will include any additional or different terms of the debt securities of any series being offered, including the following terms:</w:t>
      </w:r>
    </w:p>
    <w:p>
      <w:pPr>
        <w:spacing w:after="0" w:line="76" w:lineRule="exact"/>
        <w:rPr>
          <w:sz w:val="20"/>
          <w:szCs w:val="20"/>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title and type of the debt securities;</w:t>
      </w:r>
    </w:p>
    <w:p>
      <w:pPr>
        <w:spacing w:after="0" w:line="130"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whether the debt securities will be senior or subordinated debt securities, and, with respect to any subordinated debt securities the terms on which they are subordinated;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initial aggregate principal amount of the debt securities;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40"/>
          </w:cols>
          <w:pgMar w:left="320" w:top="459" w:right="4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price or prices at which we will sell the debt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maturity date or dates of the debt securities and the right, if any, to extend such date or dates;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rate or rates, if any, at which the debt securities will bear interest, or the method of determining such rate or rates;</w:t>
      </w:r>
    </w:p>
    <w:p>
      <w:pPr>
        <w:spacing w:after="0" w:line="130"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date or dates from which such interest will accrue, the interest payment dates on which such interest will be payable or the method of determination of such dates;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right, if any, to extend the interest payment periods and the duration of that extension;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manner of paying principal and interest and the place or places where principal and interest will be payable;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denominations of the debt securities if other than $1,000 or multiples of $1,000;</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provisions for a sinking fund, purchase fund or other analogous fund, if 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redemption dates, prices, obligations and restrictions on the debt securities;</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currency, currencies or currency units in which the debt securities will be denominated and the currency, currencies or currency units in which principal and interest, if any, on the debt securities may be payable;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conversion or exchange features of the debt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whether the debt securities will be subject to the defeasance provisions in the indenture;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7"/>
          <w:szCs w:val="17"/>
          <w:color w:val="auto"/>
        </w:rPr>
      </w:pPr>
      <w:r>
        <w:rPr>
          <w:rFonts w:ascii="Arial" w:cs="Arial" w:eastAsia="Arial" w:hAnsi="Arial"/>
          <w:sz w:val="17"/>
          <w:szCs w:val="17"/>
          <w:color w:val="auto"/>
        </w:rPr>
        <w:t>whether the debt securities will be issued in definitive or global form or in definitive form only upon satisfaction of certain conditions;</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whether the debt securities will be guaranteed as to payment or performance;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special tax implications of the debt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events of defaults or covenants in addition to or in lieu of those set forth in the indenture;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other material terms of the debt securities.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When we refer to “principal” in this section with reference to the debt securities, we are also referring to “premium, if any.”</w:t>
      </w:r>
    </w:p>
    <w:p>
      <w:pPr>
        <w:spacing w:after="0" w:line="225"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We may from time to time, without notice to or the consent of the holders of any series of debt securities, create and issue further debt securities of any such series ranking equally with the debt securities of such series in all respects (or in all respects other than (1) the payment of interest accruing prior to the issue date of such further debt securities or (2) the first payment of interest following the issue date of such further debt securities). Such further debt securities may be consolidated and form a single series with the debt securities of such series and have the same terms as to status, redemption or otherwise as the debt securities of such series.</w:t>
      </w:r>
    </w:p>
    <w:p>
      <w:pPr>
        <w:spacing w:after="0" w:line="188" w:lineRule="exact"/>
        <w:rPr>
          <w:sz w:val="20"/>
          <w:szCs w:val="20"/>
          <w:color w:val="auto"/>
        </w:rPr>
      </w:pPr>
    </w:p>
    <w:p>
      <w:pPr>
        <w:jc w:val="both"/>
        <w:ind w:left="120" w:right="80"/>
        <w:spacing w:after="0" w:line="311" w:lineRule="auto"/>
        <w:rPr>
          <w:sz w:val="20"/>
          <w:szCs w:val="20"/>
          <w:color w:val="auto"/>
        </w:rPr>
      </w:pPr>
      <w:r>
        <w:rPr>
          <w:rFonts w:ascii="Arial" w:cs="Arial" w:eastAsia="Arial" w:hAnsi="Arial"/>
          <w:sz w:val="16"/>
          <w:szCs w:val="16"/>
          <w:color w:val="auto"/>
        </w:rPr>
        <w:t>You may present debt securities for exchange and you may present debt securities for transfer in the manner, at the places and subject to the restrictions set forth in the debt securities and the applicable prospectus supplement. We will provide you those services without charge, although you may have to pay any tax or other governmental charge payable in connection with any exchange or transfer, as set forth in the indenture.</w:t>
      </w:r>
    </w:p>
    <w:p>
      <w:pPr>
        <w:spacing w:after="0" w:line="149"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Debt securities may bear interest at a fixed rate or a floating rate. Debt securities bearing no interest or interest at a rate that at the time of issuance is below the prevailing market rate (original issue discount securities) may be sold at a discount below their stated principal amount. U.S. federal income tax considerations applicable to any such discounted debt securities or to certain debt securities issued at par which are treated as having been issued at a discount for U.S. federal income tax purposes will be described in the applicable prospectus supplement.</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00"/>
          </w:cols>
          <w:pgMar w:left="320" w:top="459" w:right="4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72" w:lineRule="auto"/>
        <w:rPr>
          <w:sz w:val="20"/>
          <w:szCs w:val="20"/>
          <w:color w:val="auto"/>
        </w:rPr>
      </w:pPr>
      <w:r>
        <w:rPr>
          <w:rFonts w:ascii="Arial" w:cs="Arial" w:eastAsia="Arial" w:hAnsi="Arial"/>
          <w:sz w:val="17"/>
          <w:szCs w:val="17"/>
          <w:color w:val="auto"/>
        </w:rPr>
        <w:t>We may issue debt securities with the principal amount payable on any principal payment date, or the amount of interest payable on any interest payment date, to be determined by reference to one or more currency exchange rates, securities or baskets of securities, commodity prices or indices. You may receive a payment of principal on any principal payment date, or a payment of interest on any interest payment date, that is greater than or less than the amount of principal or interest otherwise payable on such dates, depending on the value on such dates of the applicable currency, security or basket of securities, commodity or index. Information as to the methods for determining the amount of principal or interest payable on any date, the currencies, securities or baskets of securities, commodities or indices to which the amount payable on such date is linked and certain related tax considerations will be set forth in the applicable prospectus supplement.</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Certain Terms of the Senior Debt Securities</w:t>
      </w:r>
    </w:p>
    <w:p>
      <w:pPr>
        <w:spacing w:after="0" w:line="121"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i w:val="1"/>
          <w:iCs w:val="1"/>
          <w:color w:val="auto"/>
        </w:rPr>
        <w:t xml:space="preserve">Covenants. </w:t>
      </w:r>
      <w:r>
        <w:rPr>
          <w:rFonts w:ascii="Arial" w:cs="Arial" w:eastAsia="Arial" w:hAnsi="Arial"/>
          <w:sz w:val="18"/>
          <w:szCs w:val="18"/>
          <w:color w:val="auto"/>
        </w:rPr>
        <w:t>Unless we indicate otherwise in a prospectus supplement with respect to a particular series of senior debt securities, the senior debt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will not contain any financial or restrictive covenants, including covenants restricting either us or our subsidiary from incurring, issuing, assuming or guaranteeing any indebtedness secured by a lien on any of our or our subsidiary’s property or capital stock, or restricting either us or our subsidiary from entering into sale and leaseback transactions.</w:t>
      </w:r>
    </w:p>
    <w:p>
      <w:pPr>
        <w:spacing w:after="0" w:line="187" w:lineRule="exact"/>
        <w:rPr>
          <w:sz w:val="20"/>
          <w:szCs w:val="20"/>
          <w:color w:val="auto"/>
        </w:rPr>
      </w:pPr>
    </w:p>
    <w:p>
      <w:pPr>
        <w:ind w:left="120" w:right="380"/>
        <w:spacing w:after="0" w:line="286" w:lineRule="auto"/>
        <w:rPr>
          <w:sz w:val="20"/>
          <w:szCs w:val="20"/>
          <w:color w:val="auto"/>
        </w:rPr>
      </w:pPr>
      <w:r>
        <w:rPr>
          <w:rFonts w:ascii="Arial" w:cs="Arial" w:eastAsia="Arial" w:hAnsi="Arial"/>
          <w:sz w:val="17"/>
          <w:szCs w:val="17"/>
          <w:i w:val="1"/>
          <w:iCs w:val="1"/>
          <w:color w:val="auto"/>
        </w:rPr>
        <w:t xml:space="preserve">Consolidation, Merger and Sale of Assets. </w:t>
      </w:r>
      <w:r>
        <w:rPr>
          <w:rFonts w:ascii="Arial" w:cs="Arial" w:eastAsia="Arial" w:hAnsi="Arial"/>
          <w:sz w:val="17"/>
          <w:szCs w:val="17"/>
          <w:color w:val="auto"/>
        </w:rPr>
        <w:t>Unless we indicate otherwise in a prospectus supplement with respect to a particular series of senior debt</w:t>
      </w:r>
      <w:r>
        <w:rPr>
          <w:rFonts w:ascii="Arial" w:cs="Arial" w:eastAsia="Arial" w:hAnsi="Arial"/>
          <w:sz w:val="17"/>
          <w:szCs w:val="17"/>
          <w:i w:val="1"/>
          <w:iCs w:val="1"/>
          <w:color w:val="auto"/>
        </w:rPr>
        <w:t xml:space="preserve"> </w:t>
      </w:r>
      <w:r>
        <w:rPr>
          <w:rFonts w:ascii="Arial" w:cs="Arial" w:eastAsia="Arial" w:hAnsi="Arial"/>
          <w:sz w:val="17"/>
          <w:szCs w:val="17"/>
          <w:color w:val="auto"/>
        </w:rPr>
        <w:t>securities, we may not consolidate with or merge into any other person, in a transaction in which we are not the surviving corporation, or convey, transfer or lease our properties and assets substantially as an entirety to any person, in either case, unless:</w:t>
      </w:r>
    </w:p>
    <w:p>
      <w:pPr>
        <w:spacing w:after="0" w:line="71" w:lineRule="exact"/>
        <w:rPr>
          <w:sz w:val="20"/>
          <w:szCs w:val="20"/>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successor entity, if any, is a U.S. corporation, limited liability company, partnership or trust;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successor entity assumes our obligations on the senior debt securities and under the senior indenture;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immediately after giving effect to the transaction, no default or event of default shall have occurred and be continuing; and</w:t>
      </w:r>
    </w:p>
    <w:p>
      <w:pPr>
        <w:spacing w:after="0" w:line="130" w:lineRule="exact"/>
        <w:rPr>
          <w:rFonts w:ascii="Arial" w:cs="Arial" w:eastAsia="Arial" w:hAnsi="Arial"/>
          <w:sz w:val="18"/>
          <w:szCs w:val="18"/>
          <w:color w:val="auto"/>
        </w:rPr>
      </w:pPr>
    </w:p>
    <w:p>
      <w:pPr>
        <w:ind w:left="1080" w:hanging="424"/>
        <w:spacing w:after="0" w:line="259"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have delivered to the senior trustee an officer’s certificate and an opinion of counsel, each stating that the consolidation, merger, conveyance, transfer or lease and, if a supplemental indenture is required in connection with such transaction, such supplemental indenture, comply with the senior indenture and all conditions precedent provided for in the senior indenture relating to such transaction have been complied with.</w:t>
      </w:r>
    </w:p>
    <w:p>
      <w:pPr>
        <w:spacing w:after="0" w:line="187"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The restrictions described in the bullets above do not apply (1) to our consolidation with or merging into one of our affiliates, if our board of directors determines in good faith that the purpose of the consolidation or merger is principally to change our state of incorporation or our form of organization to another form or (2) if we merge with or into a single direct or indirect wholly-owned subsidiary of ours.</w:t>
      </w:r>
    </w:p>
    <w:p>
      <w:pPr>
        <w:spacing w:after="0" w:line="184"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The surviving business entity will succeed to, and be substituted for, us under the senior indenture and the senior debt securities and, except in the case of a lease, we shall be released from all obligations under the senior indenture and the senior debt securities.</w:t>
      </w:r>
    </w:p>
    <w:p>
      <w:pPr>
        <w:spacing w:after="0" w:line="170" w:lineRule="exact"/>
        <w:rPr>
          <w:sz w:val="20"/>
          <w:szCs w:val="20"/>
          <w:color w:val="auto"/>
        </w:rPr>
      </w:pPr>
    </w:p>
    <w:p>
      <w:pPr>
        <w:jc w:val="both"/>
        <w:ind w:left="120" w:right="120"/>
        <w:spacing w:after="0" w:line="311" w:lineRule="auto"/>
        <w:rPr>
          <w:sz w:val="20"/>
          <w:szCs w:val="20"/>
          <w:color w:val="auto"/>
        </w:rPr>
      </w:pPr>
      <w:r>
        <w:rPr>
          <w:rFonts w:ascii="Arial" w:cs="Arial" w:eastAsia="Arial" w:hAnsi="Arial"/>
          <w:sz w:val="16"/>
          <w:szCs w:val="16"/>
          <w:i w:val="1"/>
          <w:iCs w:val="1"/>
          <w:color w:val="auto"/>
        </w:rPr>
        <w:t xml:space="preserve">No Protection in the Event of a Change in Control. </w:t>
      </w:r>
      <w:r>
        <w:rPr>
          <w:rFonts w:ascii="Arial" w:cs="Arial" w:eastAsia="Arial" w:hAnsi="Arial"/>
          <w:sz w:val="16"/>
          <w:szCs w:val="16"/>
          <w:color w:val="auto"/>
        </w:rPr>
        <w:t>Unless we indicate otherwise in a prospectus supplement with respect to a particular series of senior</w:t>
      </w:r>
      <w:r>
        <w:rPr>
          <w:rFonts w:ascii="Arial" w:cs="Arial" w:eastAsia="Arial" w:hAnsi="Arial"/>
          <w:sz w:val="16"/>
          <w:szCs w:val="16"/>
          <w:i w:val="1"/>
          <w:iCs w:val="1"/>
          <w:color w:val="auto"/>
        </w:rPr>
        <w:t xml:space="preserve"> </w:t>
      </w:r>
      <w:r>
        <w:rPr>
          <w:rFonts w:ascii="Arial" w:cs="Arial" w:eastAsia="Arial" w:hAnsi="Arial"/>
          <w:sz w:val="16"/>
          <w:szCs w:val="16"/>
          <w:color w:val="auto"/>
        </w:rPr>
        <w:t>debt securities, the senior debt securities will not contain any provisions that may afford holders of the senior debt securities protection in the event we have a change in control or in the event of a highly leveraged transaction (whether or not such transaction results in a change in control).</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40"/>
          </w:cols>
          <w:pgMar w:left="320" w:top="459" w:right="4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i w:val="1"/>
          <w:iCs w:val="1"/>
          <w:color w:val="auto"/>
        </w:rPr>
        <w:t xml:space="preserve">Events of Default. </w:t>
      </w:r>
      <w:r>
        <w:rPr>
          <w:rFonts w:ascii="Arial" w:cs="Arial" w:eastAsia="Arial" w:hAnsi="Arial"/>
          <w:sz w:val="18"/>
          <w:szCs w:val="18"/>
          <w:color w:val="auto"/>
        </w:rPr>
        <w:t>Unless we indicate otherwise in a prospectus supplement with respect to a particular series of senior debt securities, the following are</w:t>
      </w:r>
      <w:r>
        <w:rPr>
          <w:rFonts w:ascii="Arial" w:cs="Arial" w:eastAsia="Arial" w:hAnsi="Arial"/>
          <w:sz w:val="18"/>
          <w:szCs w:val="18"/>
          <w:i w:val="1"/>
          <w:iCs w:val="1"/>
          <w:color w:val="auto"/>
        </w:rPr>
        <w:t xml:space="preserve"> </w:t>
      </w:r>
      <w:r>
        <w:rPr>
          <w:rFonts w:ascii="Arial" w:cs="Arial" w:eastAsia="Arial" w:hAnsi="Arial"/>
          <w:sz w:val="18"/>
          <w:szCs w:val="18"/>
          <w:color w:val="auto"/>
        </w:rPr>
        <w:t>events of default under the senior indenture with respect to senior debt securities of each series:</w:t>
      </w:r>
    </w:p>
    <w:p>
      <w:pPr>
        <w:spacing w:after="0" w:line="76" w:lineRule="exact"/>
        <w:rPr>
          <w:sz w:val="20"/>
          <w:szCs w:val="20"/>
          <w:color w:val="auto"/>
        </w:rPr>
      </w:pPr>
    </w:p>
    <w:p>
      <w:pPr>
        <w:ind w:left="1080" w:hanging="424"/>
        <w:spacing w:after="0" w:line="277"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failure to pay interest on any senior debt securities of such series when due and payable, if that default continues for a period of 30 days (or such other period as may be specified for such series);</w:t>
      </w:r>
    </w:p>
    <w:p>
      <w:pPr>
        <w:spacing w:after="0" w:line="75" w:lineRule="exact"/>
        <w:rPr>
          <w:rFonts w:ascii="Arial" w:cs="Arial" w:eastAsia="Arial" w:hAnsi="Arial"/>
          <w:sz w:val="18"/>
          <w:szCs w:val="18"/>
          <w:color w:val="auto"/>
        </w:rPr>
      </w:pPr>
    </w:p>
    <w:p>
      <w:pPr>
        <w:ind w:left="1080" w:right="640" w:hanging="424"/>
        <w:spacing w:after="0" w:line="342" w:lineRule="auto"/>
        <w:tabs>
          <w:tab w:leader="none" w:pos="1080" w:val="left"/>
        </w:tabs>
        <w:numPr>
          <w:ilvl w:val="0"/>
          <w:numId w:val="6"/>
        </w:numPr>
        <w:rPr>
          <w:rFonts w:ascii="Arial" w:cs="Arial" w:eastAsia="Arial" w:hAnsi="Arial"/>
          <w:sz w:val="16"/>
          <w:szCs w:val="16"/>
          <w:color w:val="auto"/>
        </w:rPr>
      </w:pPr>
      <w:r>
        <w:rPr>
          <w:rFonts w:ascii="Arial" w:cs="Arial" w:eastAsia="Arial" w:hAnsi="Arial"/>
          <w:sz w:val="16"/>
          <w:szCs w:val="16"/>
          <w:color w:val="auto"/>
        </w:rPr>
        <w:t>failure to pay principal on the senior debt securities of such series when due and payable whether at maturity, upon redemption, by declaration or otherwise (and, if specified for such series, the continuance of such failure for a specified period);</w:t>
      </w:r>
    </w:p>
    <w:p>
      <w:pPr>
        <w:spacing w:after="0" w:line="29" w:lineRule="exact"/>
        <w:rPr>
          <w:rFonts w:ascii="Arial" w:cs="Arial" w:eastAsia="Arial" w:hAnsi="Arial"/>
          <w:sz w:val="16"/>
          <w:szCs w:val="16"/>
          <w:color w:val="auto"/>
        </w:rPr>
      </w:pPr>
    </w:p>
    <w:p>
      <w:pPr>
        <w:ind w:left="1080" w:right="20" w:hanging="424"/>
        <w:spacing w:after="0" w:line="259"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default in the performance of or breach of any of our covenants or agreements in the senior indenture applicable to senior debt securities of such series, other than a covenant breach which is specifically dealt with elsewhere in the senior indenture, and that default or breach continues for a period of 90 days after we receive written notice from the trustee or from the holders of 25% or more in aggregate principal amount of the senior debt securities of such series;</w:t>
      </w:r>
    </w:p>
    <w:p>
      <w:pPr>
        <w:spacing w:after="0" w:line="92"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certain events of bankruptcy or insolvency, whether or not voluntary;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6"/>
          <w:szCs w:val="16"/>
          <w:color w:val="auto"/>
        </w:rPr>
      </w:pPr>
      <w:r>
        <w:rPr>
          <w:rFonts w:ascii="Arial" w:cs="Arial" w:eastAsia="Arial" w:hAnsi="Arial"/>
          <w:sz w:val="16"/>
          <w:szCs w:val="16"/>
          <w:color w:val="auto"/>
        </w:rPr>
        <w:t>any other event of default provided for in such series of senior debt securities as may be specified in the applicable prospectus supplement.</w:t>
      </w:r>
    </w:p>
    <w:p>
      <w:pPr>
        <w:spacing w:after="0" w:line="24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default by us under any other debt, including any other series of debt securities, is not a default under the senior indenture.</w:t>
      </w:r>
    </w:p>
    <w:p>
      <w:pPr>
        <w:spacing w:after="0" w:line="225" w:lineRule="exact"/>
        <w:rPr>
          <w:sz w:val="20"/>
          <w:szCs w:val="20"/>
          <w:color w:val="auto"/>
        </w:rPr>
      </w:pPr>
    </w:p>
    <w:p>
      <w:pPr>
        <w:ind w:left="120" w:right="60"/>
        <w:spacing w:after="0" w:line="296" w:lineRule="auto"/>
        <w:rPr>
          <w:sz w:val="20"/>
          <w:szCs w:val="20"/>
          <w:color w:val="auto"/>
        </w:rPr>
      </w:pPr>
      <w:r>
        <w:rPr>
          <w:rFonts w:ascii="Arial" w:cs="Arial" w:eastAsia="Arial" w:hAnsi="Arial"/>
          <w:sz w:val="16"/>
          <w:szCs w:val="16"/>
          <w:color w:val="auto"/>
        </w:rPr>
        <w:t>If an event of default other than an event of default specified in the fourth bullet point above occurs with respect to a series of senior debt securities and is continuing under the senior indenture, then, and in each such case, either the trustee or the holders of not less than 25% in aggregate principal amount of such series then outstanding under the senior indenture (each such series voting as a separate class) by written notice to us and to the trustee, if such notice is given by the holders, may, and the trustee at the request of such holders shall, declare the principal amount of and accrued interest on such series of senior debt securities to be immediately due and payable, and upon this declaration, the same shall become immediately due and payable.</w:t>
      </w:r>
    </w:p>
    <w:p>
      <w:pPr>
        <w:spacing w:after="0" w:line="161" w:lineRule="exact"/>
        <w:rPr>
          <w:sz w:val="20"/>
          <w:szCs w:val="20"/>
          <w:color w:val="auto"/>
        </w:rPr>
      </w:pPr>
    </w:p>
    <w:p>
      <w:pPr>
        <w:ind w:left="120" w:right="420"/>
        <w:spacing w:after="0" w:line="277" w:lineRule="auto"/>
        <w:rPr>
          <w:sz w:val="20"/>
          <w:szCs w:val="20"/>
          <w:color w:val="auto"/>
        </w:rPr>
      </w:pPr>
      <w:r>
        <w:rPr>
          <w:rFonts w:ascii="Arial" w:cs="Arial" w:eastAsia="Arial" w:hAnsi="Arial"/>
          <w:sz w:val="18"/>
          <w:szCs w:val="18"/>
          <w:color w:val="auto"/>
        </w:rPr>
        <w:t>If an event of default specified in the fourth bullet point above occurs and is continuing, the entire principal amount of and accrued interest on each series of senior debt securities then outstanding shall automatically become immediately due and payable.</w:t>
      </w:r>
    </w:p>
    <w:p>
      <w:pPr>
        <w:spacing w:after="0" w:line="170"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Unless otherwise specified in the prospectus supplement relating to a series of senior debt securities originally issued at a discount, the amount due upon acceleration shall include only the original issue price of the senior debt securities, the amount of original issue discount accrued to the date of acceleration and accrued interest, if any.</w:t>
      </w:r>
    </w:p>
    <w:p>
      <w:pPr>
        <w:spacing w:after="0" w:line="184" w:lineRule="exact"/>
        <w:rPr>
          <w:sz w:val="20"/>
          <w:szCs w:val="20"/>
          <w:color w:val="auto"/>
        </w:rPr>
      </w:pPr>
    </w:p>
    <w:p>
      <w:pPr>
        <w:ind w:left="120" w:right="40"/>
        <w:spacing w:after="0" w:line="270" w:lineRule="auto"/>
        <w:rPr>
          <w:sz w:val="20"/>
          <w:szCs w:val="20"/>
          <w:color w:val="auto"/>
        </w:rPr>
      </w:pPr>
      <w:r>
        <w:rPr>
          <w:rFonts w:ascii="Arial" w:cs="Arial" w:eastAsia="Arial" w:hAnsi="Arial"/>
          <w:sz w:val="17"/>
          <w:szCs w:val="17"/>
          <w:color w:val="auto"/>
        </w:rPr>
        <w:t>Upon certain conditions, declarations of acceleration may be rescinded and annulled and past defaults may be waived by the holders of a majority in aggregate principal amount of all the senior debt securities of such series affected by the default, each series voting as a separate class. Furthermore, subject to various provisions in the senior indenture, the holders of a majority in aggregate principal amount of a series of senior debt securities, by notice to the trustee, may waive a continuing default or event of default with respect to such senior debt securities and its consequences, except a default in the payment of principal of or interest on such senior debt securities (other than any such default in payment resulting solely from an acceleration of the senior debt securities) or in respect of a covenant or provision of the senior indenture which cannot be modified or amended without the consent of the holders of each such senior debt security. Upon any such waiver, such default shall cease to exist, and any event of default with respect to such senior debt securities shall be deemed to have been cured, for every purpose of the senior indenture; but no such waiver shall extend to any subsequent or other default or event of default or impair any right consequent thereto.</w:t>
      </w:r>
    </w:p>
    <w:p>
      <w:pPr>
        <w:spacing w:after="0" w:line="11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20"/>
          </w:cols>
          <w:pgMar w:left="320" w:top="459" w:right="4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93" w:lineRule="auto"/>
        <w:rPr>
          <w:sz w:val="20"/>
          <w:szCs w:val="20"/>
          <w:color w:val="auto"/>
        </w:rPr>
      </w:pPr>
      <w:r>
        <w:rPr>
          <w:rFonts w:ascii="Arial" w:cs="Arial" w:eastAsia="Arial" w:hAnsi="Arial"/>
          <w:sz w:val="16"/>
          <w:szCs w:val="16"/>
          <w:color w:val="auto"/>
        </w:rPr>
        <w:t>The holders of a majority in aggregate principal amount of a series of senior debt securities may direct the time, method and place of conducting any proceeding for any remedy available to the trustee or exercising any trust or power conferred on the trustee with respect to such senior debt securities. However, the trustee may refuse to follow any direction that conflicts with law or the senior indenture, that may involve the trustee in personal liability or that the trustee determines in good faith may be unduly prejudicial to the rights of holders of such series of senior debt securities not joining in the giving of such direction and may take any other action it deems proper that is not inconsistent with any such direction received from holders of such series of senior debt securities. A holder may not pursue any remedy with respect to the senior indenture or any series of senior debt securities unless:</w:t>
      </w:r>
    </w:p>
    <w:p>
      <w:pPr>
        <w:spacing w:after="0" w:line="70" w:lineRule="exact"/>
        <w:rPr>
          <w:sz w:val="20"/>
          <w:szCs w:val="20"/>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holder gives the trustee written notice of a continuing event of default;</w:t>
      </w:r>
    </w:p>
    <w:p>
      <w:pPr>
        <w:spacing w:after="0" w:line="130" w:lineRule="exact"/>
        <w:rPr>
          <w:rFonts w:ascii="Arial" w:cs="Arial" w:eastAsia="Arial" w:hAnsi="Arial"/>
          <w:sz w:val="18"/>
          <w:szCs w:val="18"/>
          <w:color w:val="auto"/>
        </w:rPr>
      </w:pPr>
    </w:p>
    <w:p>
      <w:pPr>
        <w:ind w:left="1080" w:right="260" w:hanging="424"/>
        <w:spacing w:after="0" w:line="27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holders of at least 25% in aggregate principal amount of such series of senior debt securities make a written request to the trustee to pursue the remedy in respect of such event of default;</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requesting holder or holders offer the trustee indemnity satisfactory to the trustee against any costs, liability or expense;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trustee does not comply with the request within 60 days after receipt of the request and the offer of indemnity; and</w:t>
      </w:r>
    </w:p>
    <w:p>
      <w:pPr>
        <w:spacing w:after="0" w:line="130" w:lineRule="exact"/>
        <w:rPr>
          <w:rFonts w:ascii="Arial" w:cs="Arial" w:eastAsia="Arial" w:hAnsi="Arial"/>
          <w:sz w:val="18"/>
          <w:szCs w:val="18"/>
          <w:color w:val="auto"/>
        </w:rPr>
      </w:pPr>
    </w:p>
    <w:p>
      <w:pPr>
        <w:ind w:left="1080" w:right="140" w:hanging="424"/>
        <w:spacing w:after="0" w:line="27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during such 60-day period, the holders of a majority in aggregate principal amount of such series of senior debt securities do not give the trustee a direction that is inconsistent with the request.</w:t>
      </w:r>
    </w:p>
    <w:p>
      <w:pPr>
        <w:spacing w:after="0" w:line="170"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These limitations, however, do not apply to the right of any holder of a senior debt security of any affected series to receive payment of the principal of and interest on such senior debt security in accordance with the terms of such debt security, or to bring suit for the enforcement of any such payment in accordance with the terms of such debt security, on or after the due date for the senior debt securities, which right shall not be impaired or affected without the consent of the holder.</w:t>
      </w:r>
    </w:p>
    <w:p>
      <w:pPr>
        <w:spacing w:after="0" w:line="187"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The senior indenture requires certain of our officers to certify, on or before a fixed date in each year in which any senior debt security is outstanding, as to their knowledge of our compliance with all covenants, agreements and conditions under the senior indenture.</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Satisfaction and Discharge</w:t>
      </w:r>
      <w:r>
        <w:rPr>
          <w:rFonts w:ascii="Arial" w:cs="Arial" w:eastAsia="Arial" w:hAnsi="Arial"/>
          <w:sz w:val="18"/>
          <w:szCs w:val="18"/>
          <w:color w:val="auto"/>
        </w:rPr>
        <w:t>. We can satisfy and discharge our obligations to holders of any series of debt securities if:</w:t>
      </w:r>
    </w:p>
    <w:p>
      <w:pPr>
        <w:spacing w:after="0" w:line="131" w:lineRule="exact"/>
        <w:rPr>
          <w:sz w:val="20"/>
          <w:szCs w:val="20"/>
          <w:color w:val="auto"/>
        </w:rPr>
      </w:pPr>
    </w:p>
    <w:p>
      <w:pPr>
        <w:ind w:left="1080" w:right="100" w:hanging="424"/>
        <w:spacing w:after="0" w:line="277"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have paid or caused to be paid the principal of and interest on all senior debt securities of such series (with certain limited exceptions) when due and payable; or</w:t>
      </w:r>
    </w:p>
    <w:p>
      <w:pPr>
        <w:spacing w:after="0" w:line="75"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deliver to the senior trustee for cancellation all senior debt securities of such series theretofore authenticated under the senior indenture (with certain limited exceptions); or</w:t>
      </w:r>
    </w:p>
    <w:p>
      <w:pPr>
        <w:spacing w:after="0" w:line="75" w:lineRule="exact"/>
        <w:rPr>
          <w:rFonts w:ascii="Arial" w:cs="Arial" w:eastAsia="Arial" w:hAnsi="Arial"/>
          <w:sz w:val="18"/>
          <w:szCs w:val="18"/>
          <w:color w:val="auto"/>
        </w:rPr>
      </w:pPr>
    </w:p>
    <w:p>
      <w:pPr>
        <w:ind w:left="1080" w:hanging="424"/>
        <w:spacing w:after="0" w:line="275" w:lineRule="auto"/>
        <w:tabs>
          <w:tab w:leader="none" w:pos="1080" w:val="left"/>
        </w:tabs>
        <w:numPr>
          <w:ilvl w:val="0"/>
          <w:numId w:val="8"/>
        </w:numPr>
        <w:rPr>
          <w:rFonts w:ascii="Arial" w:cs="Arial" w:eastAsia="Arial" w:hAnsi="Arial"/>
          <w:sz w:val="17"/>
          <w:szCs w:val="17"/>
          <w:color w:val="auto"/>
        </w:rPr>
      </w:pPr>
      <w:r>
        <w:rPr>
          <w:rFonts w:ascii="Arial" w:cs="Arial" w:eastAsia="Arial" w:hAnsi="Arial"/>
          <w:sz w:val="17"/>
          <w:szCs w:val="17"/>
          <w:color w:val="auto"/>
        </w:rPr>
        <w:t>all senior debt securities of such series have become due and payable or will become due and payable within one year (or are to be called for redemption within one year under arrangements satisfactory to the senior trustee) and we deposit in trust an amount of cash or a combination of cash and U.S. government or U.S. government agency obligations (or in the case of senior debt securities denominated in a foreign currency, foreign government securities or foreign government agency securities) sufficient to make interest, principal and any other payments on the debt securities of that series on their various due dates;</w:t>
      </w:r>
    </w:p>
    <w:p>
      <w:pPr>
        <w:spacing w:after="0" w:line="176" w:lineRule="exact"/>
        <w:rPr>
          <w:sz w:val="20"/>
          <w:szCs w:val="20"/>
          <w:color w:val="auto"/>
        </w:rPr>
      </w:pPr>
    </w:p>
    <w:p>
      <w:pPr>
        <w:ind w:left="120" w:right="380"/>
        <w:spacing w:after="0" w:line="342" w:lineRule="auto"/>
        <w:rPr>
          <w:sz w:val="20"/>
          <w:szCs w:val="20"/>
          <w:color w:val="auto"/>
        </w:rPr>
      </w:pPr>
      <w:r>
        <w:rPr>
          <w:rFonts w:ascii="Arial" w:cs="Arial" w:eastAsia="Arial" w:hAnsi="Arial"/>
          <w:sz w:val="16"/>
          <w:szCs w:val="16"/>
          <w:color w:val="auto"/>
        </w:rPr>
        <w:t>and if, in any such case, we also pay or cause to be paid all other sums payable under the senior indenture, as and when the same shall be due and payable and we deliver to the senior trustee an officer’s certificate and an opinion of counsel, each stating that these conditions have been satisfied.</w:t>
      </w:r>
    </w:p>
    <w:p>
      <w:pPr>
        <w:spacing w:after="0" w:line="124"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Under current U.S. federal income tax law, the deposit and our legal release from the debt securities would be treated as though we took back your debt securities and gave you your share of the cash and debt securities or</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80"/>
          </w:cols>
          <w:pgMar w:left="320" w:top="459" w:right="49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40"/>
        <w:spacing w:after="0" w:line="263" w:lineRule="auto"/>
        <w:rPr>
          <w:sz w:val="20"/>
          <w:szCs w:val="20"/>
          <w:color w:val="auto"/>
        </w:rPr>
      </w:pPr>
      <w:r>
        <w:rPr>
          <w:rFonts w:ascii="Arial" w:cs="Arial" w:eastAsia="Arial" w:hAnsi="Arial"/>
          <w:sz w:val="18"/>
          <w:szCs w:val="18"/>
          <w:color w:val="auto"/>
        </w:rPr>
        <w:t>bonds deposited in trust. In that event, you could recognize gain or loss on the debt securities you give back to us. Purchasers of the debt securities should consult their own advisers with respect to the tax consequences to them of such deposit and discharge, including the applicability and effect of tax laws other than the U.S. federal income tax law.</w:t>
      </w:r>
    </w:p>
    <w:p>
      <w:pPr>
        <w:spacing w:after="0" w:line="184"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i w:val="1"/>
          <w:iCs w:val="1"/>
          <w:color w:val="auto"/>
        </w:rPr>
        <w:t xml:space="preserve">Defeasance. </w:t>
      </w:r>
      <w:r>
        <w:rPr>
          <w:rFonts w:ascii="Arial" w:cs="Arial" w:eastAsia="Arial" w:hAnsi="Arial"/>
          <w:sz w:val="18"/>
          <w:szCs w:val="18"/>
          <w:color w:val="auto"/>
        </w:rPr>
        <w:t>Unless the applicable prospectus supplement provides otherwise, the following discussion of legal defeasance and covenant defeasance will</w:t>
      </w:r>
      <w:r>
        <w:rPr>
          <w:rFonts w:ascii="Arial" w:cs="Arial" w:eastAsia="Arial" w:hAnsi="Arial"/>
          <w:sz w:val="18"/>
          <w:szCs w:val="18"/>
          <w:i w:val="1"/>
          <w:iCs w:val="1"/>
          <w:color w:val="auto"/>
        </w:rPr>
        <w:t xml:space="preserve"> </w:t>
      </w:r>
      <w:r>
        <w:rPr>
          <w:rFonts w:ascii="Arial" w:cs="Arial" w:eastAsia="Arial" w:hAnsi="Arial"/>
          <w:sz w:val="18"/>
          <w:szCs w:val="18"/>
          <w:color w:val="auto"/>
        </w:rPr>
        <w:t>apply to any series of debt securities issued under the indentures.</w:t>
      </w:r>
    </w:p>
    <w:p>
      <w:pPr>
        <w:spacing w:after="0" w:line="170" w:lineRule="exact"/>
        <w:rPr>
          <w:sz w:val="20"/>
          <w:szCs w:val="20"/>
          <w:color w:val="auto"/>
        </w:rPr>
      </w:pPr>
    </w:p>
    <w:p>
      <w:pPr>
        <w:ind w:left="120" w:right="940"/>
        <w:spacing w:after="0" w:line="277" w:lineRule="auto"/>
        <w:rPr>
          <w:sz w:val="20"/>
          <w:szCs w:val="20"/>
          <w:color w:val="auto"/>
        </w:rPr>
      </w:pPr>
      <w:r>
        <w:rPr>
          <w:rFonts w:ascii="Arial" w:cs="Arial" w:eastAsia="Arial" w:hAnsi="Arial"/>
          <w:sz w:val="18"/>
          <w:szCs w:val="18"/>
          <w:i w:val="1"/>
          <w:iCs w:val="1"/>
          <w:color w:val="auto"/>
        </w:rPr>
        <w:t>Legal Defeasance</w:t>
      </w:r>
      <w:r>
        <w:rPr>
          <w:rFonts w:ascii="Arial" w:cs="Arial" w:eastAsia="Arial" w:hAnsi="Arial"/>
          <w:sz w:val="18"/>
          <w:szCs w:val="18"/>
          <w:color w:val="auto"/>
        </w:rPr>
        <w:t>. We can legally release ourselves from any payment or other obligations on the debt securities of any series (called “legal</w:t>
      </w:r>
      <w:r>
        <w:rPr>
          <w:rFonts w:ascii="Arial" w:cs="Arial" w:eastAsia="Arial" w:hAnsi="Arial"/>
          <w:sz w:val="18"/>
          <w:szCs w:val="18"/>
          <w:i w:val="1"/>
          <w:iCs w:val="1"/>
          <w:color w:val="auto"/>
        </w:rPr>
        <w:t xml:space="preserve"> </w:t>
      </w:r>
      <w:r>
        <w:rPr>
          <w:rFonts w:ascii="Arial" w:cs="Arial" w:eastAsia="Arial" w:hAnsi="Arial"/>
          <w:sz w:val="18"/>
          <w:szCs w:val="18"/>
          <w:color w:val="auto"/>
        </w:rPr>
        <w:t>defeasance”) if certain conditions are met, including the following:</w:t>
      </w:r>
    </w:p>
    <w:p>
      <w:pPr>
        <w:spacing w:after="0" w:line="76" w:lineRule="exact"/>
        <w:rPr>
          <w:sz w:val="20"/>
          <w:szCs w:val="20"/>
          <w:color w:val="auto"/>
        </w:rPr>
      </w:pPr>
    </w:p>
    <w:p>
      <w:pPr>
        <w:ind w:left="1080" w:right="20" w:hanging="424"/>
        <w:spacing w:after="0" w:line="259"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deposit in trust for your benefit and the benefit of all other direct holders of the debt securities of the same series cash or a combination of cash and U.S. government or U.S. government agency obligations (or, in the case of senior debt securities denominated in a foreign currency, foreign government or foreign government agency obligations) that will generate enough cash to make interest, principal and any other payments on the debt securities of that series on their various due dates.</w:t>
      </w:r>
    </w:p>
    <w:p>
      <w:pPr>
        <w:spacing w:after="0" w:line="92" w:lineRule="exact"/>
        <w:rPr>
          <w:rFonts w:ascii="Arial" w:cs="Arial" w:eastAsia="Arial" w:hAnsi="Arial"/>
          <w:sz w:val="18"/>
          <w:szCs w:val="18"/>
          <w:color w:val="auto"/>
        </w:rPr>
      </w:pPr>
    </w:p>
    <w:p>
      <w:pPr>
        <w:ind w:left="1080" w:right="180" w:hanging="424"/>
        <w:spacing w:after="0" w:line="275" w:lineRule="auto"/>
        <w:tabs>
          <w:tab w:leader="none" w:pos="108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There is a change in current U.S. federal income tax law or an IRS ruling that lets us make the above deposit without causing you to be taxed on the debt securities any differently than if we did not make the deposit and instead repaid the debt securities ourselves when due. Under current U.S. federal income tax law, the deposit and our legal release from the debt securities would be treated as though we took back your debt securities and gave you your share of the cash and debt securities or bonds deposited in trust. In that event, you could recognize gain or loss on the debt securities you give back to us.</w:t>
      </w:r>
    </w:p>
    <w:p>
      <w:pPr>
        <w:spacing w:after="0" w:line="81" w:lineRule="exact"/>
        <w:rPr>
          <w:rFonts w:ascii="Arial" w:cs="Arial" w:eastAsia="Arial" w:hAnsi="Arial"/>
          <w:sz w:val="17"/>
          <w:szCs w:val="17"/>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deliver to the trustee a legal opinion of our counsel confirming the tax law change or ruling described above.</w:t>
      </w:r>
    </w:p>
    <w:p>
      <w:pPr>
        <w:spacing w:after="0" w:line="225"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If we accomplish legal defeasance, as described above, you would have to rely solely on the trust deposit for repayment of the debt securities. You could not look to us for repayment in the event of any shortfall.</w:t>
      </w:r>
    </w:p>
    <w:p>
      <w:pPr>
        <w:spacing w:after="0" w:line="170"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i w:val="1"/>
          <w:iCs w:val="1"/>
          <w:color w:val="auto"/>
        </w:rPr>
        <w:t>Covenant Defeasance</w:t>
      </w:r>
      <w:r>
        <w:rPr>
          <w:rFonts w:ascii="Arial" w:cs="Arial" w:eastAsia="Arial" w:hAnsi="Arial"/>
          <w:sz w:val="18"/>
          <w:szCs w:val="18"/>
          <w:color w:val="auto"/>
        </w:rPr>
        <w:t>. Without any change in current U.S. federal tax law, we can make the same type of deposit described above and be released from</w:t>
      </w:r>
      <w:r>
        <w:rPr>
          <w:rFonts w:ascii="Arial" w:cs="Arial" w:eastAsia="Arial" w:hAnsi="Arial"/>
          <w:sz w:val="18"/>
          <w:szCs w:val="18"/>
          <w:i w:val="1"/>
          <w:iCs w:val="1"/>
          <w:color w:val="auto"/>
        </w:rPr>
        <w:t xml:space="preserve"> </w:t>
      </w:r>
      <w:r>
        <w:rPr>
          <w:rFonts w:ascii="Arial" w:cs="Arial" w:eastAsia="Arial" w:hAnsi="Arial"/>
          <w:sz w:val="18"/>
          <w:szCs w:val="18"/>
          <w:color w:val="auto"/>
        </w:rPr>
        <w:t>some of the covenants in the debt securities (called “covenant defeasance”). In that event, you would lose the protection of those covenants but would gain the protection of having money and securities set aside in trust to repay the debt securities. In order to achieve covenant defeasance, we must do the following (among other things):</w:t>
      </w:r>
    </w:p>
    <w:p>
      <w:pPr>
        <w:spacing w:after="0" w:line="92" w:lineRule="exact"/>
        <w:rPr>
          <w:sz w:val="20"/>
          <w:szCs w:val="20"/>
          <w:color w:val="auto"/>
        </w:rPr>
      </w:pPr>
    </w:p>
    <w:p>
      <w:pPr>
        <w:ind w:left="1080" w:right="20" w:hanging="424"/>
        <w:spacing w:after="0" w:line="259"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deposit in trust for your benefit and the benefit of all other direct holders of the debt securities of the same series cash or a combination of cash and U.S. government or U.S. government agency obligations (or, in the case of senior debt securities denominated in a foreign currency, foreign government or foreign government agency obligations) that will generate enough cash to make interest, principal and any other payments on the debt securities of that series on their various due dates; and</w:t>
      </w:r>
    </w:p>
    <w:p>
      <w:pPr>
        <w:spacing w:after="0" w:line="92" w:lineRule="exact"/>
        <w:rPr>
          <w:rFonts w:ascii="Arial" w:cs="Arial" w:eastAsia="Arial" w:hAnsi="Arial"/>
          <w:sz w:val="18"/>
          <w:szCs w:val="18"/>
          <w:color w:val="auto"/>
        </w:rPr>
      </w:pPr>
    </w:p>
    <w:p>
      <w:pPr>
        <w:jc w:val="both"/>
        <w:ind w:left="1080" w:right="300" w:hanging="424"/>
        <w:spacing w:after="0" w:line="263"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deliver to the trustee a legal opinion of our counsel confirming that under current U.S. federal income tax law we may make the above deposit without causing you to be taxed on the debt securities any differently than if we did not make the deposit and instead repaid the debt securities ourselves when due.</w:t>
      </w:r>
    </w:p>
    <w:p>
      <w:pPr>
        <w:spacing w:after="0" w:line="184" w:lineRule="exact"/>
        <w:rPr>
          <w:sz w:val="20"/>
          <w:szCs w:val="20"/>
          <w:color w:val="auto"/>
        </w:rPr>
      </w:pPr>
    </w:p>
    <w:p>
      <w:pPr>
        <w:ind w:left="120" w:right="60"/>
        <w:spacing w:after="0" w:line="286" w:lineRule="auto"/>
        <w:rPr>
          <w:sz w:val="20"/>
          <w:szCs w:val="20"/>
          <w:color w:val="auto"/>
        </w:rPr>
      </w:pPr>
      <w:r>
        <w:rPr>
          <w:rFonts w:ascii="Arial" w:cs="Arial" w:eastAsia="Arial" w:hAnsi="Arial"/>
          <w:sz w:val="17"/>
          <w:szCs w:val="17"/>
          <w:color w:val="auto"/>
        </w:rPr>
        <w:t>If we accomplish covenant defeasance, you could still look to us for repayment of the debt securities if there were a shortfall in the trust deposit. In fact, if one of the events of default occurred (such as our bankruptcy) and the debt securities become immediately due and payable, there may be such a shortfall. Depending on the events causing the default, you may not be able to obtain payment of the shortfall.</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20"/>
          </w:cols>
          <w:pgMar w:left="320" w:top="459" w:right="4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60"/>
        <w:spacing w:after="0" w:line="277" w:lineRule="auto"/>
        <w:rPr>
          <w:sz w:val="20"/>
          <w:szCs w:val="20"/>
          <w:color w:val="auto"/>
        </w:rPr>
      </w:pPr>
      <w:r>
        <w:rPr>
          <w:rFonts w:ascii="Arial" w:cs="Arial" w:eastAsia="Arial" w:hAnsi="Arial"/>
          <w:sz w:val="18"/>
          <w:szCs w:val="18"/>
          <w:i w:val="1"/>
          <w:iCs w:val="1"/>
          <w:color w:val="auto"/>
        </w:rPr>
        <w:t xml:space="preserve">Modification and Waiver. </w:t>
      </w:r>
      <w:r>
        <w:rPr>
          <w:rFonts w:ascii="Arial" w:cs="Arial" w:eastAsia="Arial" w:hAnsi="Arial"/>
          <w:sz w:val="18"/>
          <w:szCs w:val="18"/>
          <w:color w:val="auto"/>
        </w:rPr>
        <w:t>We and the trustee may amend or supplement the senior indenture or the senior debt securities of any series without the</w:t>
      </w:r>
      <w:r>
        <w:rPr>
          <w:rFonts w:ascii="Arial" w:cs="Arial" w:eastAsia="Arial" w:hAnsi="Arial"/>
          <w:sz w:val="18"/>
          <w:szCs w:val="18"/>
          <w:i w:val="1"/>
          <w:iCs w:val="1"/>
          <w:color w:val="auto"/>
        </w:rPr>
        <w:t xml:space="preserve"> </w:t>
      </w:r>
      <w:r>
        <w:rPr>
          <w:rFonts w:ascii="Arial" w:cs="Arial" w:eastAsia="Arial" w:hAnsi="Arial"/>
          <w:sz w:val="18"/>
          <w:szCs w:val="18"/>
          <w:color w:val="auto"/>
        </w:rPr>
        <w:t>consent of any holder:</w:t>
      </w:r>
    </w:p>
    <w:p>
      <w:pPr>
        <w:spacing w:after="0" w:line="76" w:lineRule="exact"/>
        <w:rPr>
          <w:sz w:val="20"/>
          <w:szCs w:val="20"/>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convey, transfer, assign, mortgage or pledge any assets as security for the senior debt securities of one or more series;</w:t>
      </w:r>
    </w:p>
    <w:p>
      <w:pPr>
        <w:spacing w:after="0" w:line="130" w:lineRule="exact"/>
        <w:rPr>
          <w:rFonts w:ascii="Arial" w:cs="Arial" w:eastAsia="Arial" w:hAnsi="Arial"/>
          <w:sz w:val="18"/>
          <w:szCs w:val="18"/>
          <w:color w:val="auto"/>
        </w:rPr>
      </w:pPr>
    </w:p>
    <w:p>
      <w:pPr>
        <w:ind w:left="1080" w:right="180" w:hanging="424"/>
        <w:spacing w:after="0" w:line="263"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evidence the succession of a corporation, limited liability company, partnership or trust to us, and the assumption by such successor of our covenants, agreements and obligations under the senior indenture or to otherwise comply with the covenant relating to mergers, consolidations and sales of assets;</w:t>
      </w:r>
    </w:p>
    <w:p>
      <w:pPr>
        <w:spacing w:after="0" w:line="89" w:lineRule="exact"/>
        <w:rPr>
          <w:rFonts w:ascii="Arial" w:cs="Arial" w:eastAsia="Arial" w:hAnsi="Arial"/>
          <w:sz w:val="18"/>
          <w:szCs w:val="18"/>
          <w:color w:val="auto"/>
        </w:rPr>
      </w:pPr>
    </w:p>
    <w:p>
      <w:pPr>
        <w:ind w:left="1080" w:right="720" w:hanging="424"/>
        <w:spacing w:after="0" w:line="277"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comply with the requirements of the SEC in order to effect or maintain the qualification of the senior indenture under the Trust Indenture Act of 1939, as amended (the “Trust Indenture Act”);</w:t>
      </w:r>
    </w:p>
    <w:p>
      <w:pPr>
        <w:spacing w:after="0" w:line="75" w:lineRule="exact"/>
        <w:rPr>
          <w:rFonts w:ascii="Arial" w:cs="Arial" w:eastAsia="Arial" w:hAnsi="Arial"/>
          <w:sz w:val="18"/>
          <w:szCs w:val="18"/>
          <w:color w:val="auto"/>
        </w:rPr>
      </w:pPr>
    </w:p>
    <w:p>
      <w:pPr>
        <w:ind w:left="1080" w:right="20" w:hanging="424"/>
        <w:spacing w:after="0" w:line="263"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add to our covenants such new covenants, restrictions, conditions or provisions for the protection of the holders, and to make the occurrence, or the occurrence and continuance, of a default in any such additional covenants, restrictions, conditions or provisions an event of default;</w:t>
      </w:r>
    </w:p>
    <w:p>
      <w:pPr>
        <w:spacing w:after="0" w:line="89" w:lineRule="exact"/>
        <w:rPr>
          <w:rFonts w:ascii="Arial" w:cs="Arial" w:eastAsia="Arial" w:hAnsi="Arial"/>
          <w:sz w:val="18"/>
          <w:szCs w:val="18"/>
          <w:color w:val="auto"/>
        </w:rPr>
      </w:pPr>
    </w:p>
    <w:p>
      <w:pPr>
        <w:ind w:left="1080" w:right="140" w:hanging="424"/>
        <w:spacing w:after="0" w:line="263"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cure any ambiguity, defect or inconsistency in the senior indenture or in any supplemental indenture or to conform the senior indenture or the senior debt securities to the description of senior debt securities of such series set forth in this prospectus or any applicable prospectus supplement;</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provide for or add guarantors with respect to the senior debt securities of any series;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establish the form or forms or terms of the senior debt securities as permitted by the senior indenture;</w:t>
      </w:r>
    </w:p>
    <w:p>
      <w:pPr>
        <w:spacing w:after="0" w:line="130" w:lineRule="exact"/>
        <w:rPr>
          <w:rFonts w:ascii="Arial" w:cs="Arial" w:eastAsia="Arial" w:hAnsi="Arial"/>
          <w:sz w:val="18"/>
          <w:szCs w:val="18"/>
          <w:color w:val="auto"/>
        </w:rPr>
      </w:pPr>
    </w:p>
    <w:p>
      <w:pPr>
        <w:ind w:left="1080" w:right="220" w:hanging="424"/>
        <w:spacing w:after="0" w:line="342" w:lineRule="auto"/>
        <w:tabs>
          <w:tab w:leader="none" w:pos="10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to evidence and provide for the acceptance of appointment under the senior indenture by a successor trustee, or to make such changes as shall be necessary to provide for or facilitate the administration of the trusts in the senior indenture by more than one trustee;</w:t>
      </w:r>
    </w:p>
    <w:p>
      <w:pPr>
        <w:spacing w:after="0" w:line="29" w:lineRule="exact"/>
        <w:rPr>
          <w:rFonts w:ascii="Arial" w:cs="Arial" w:eastAsia="Arial" w:hAnsi="Arial"/>
          <w:sz w:val="16"/>
          <w:szCs w:val="16"/>
          <w:color w:val="auto"/>
        </w:rPr>
      </w:pPr>
    </w:p>
    <w:p>
      <w:pPr>
        <w:ind w:left="1080" w:right="180" w:hanging="424"/>
        <w:spacing w:after="0" w:line="257"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add to, change or eliminate any of the provisions of the senior indenture in respect of one or more series of senior debt securities, provided that any such addition, change or elimination shall (a) neither (1) apply to any senior debt security of any series created prior to the execution of such supplemental indenture and entitled to the benefit of such provision nor (2) modify the rights of the holder of any such senior debt security with respect to such provision or (b) become effective only when there is no senior debt security described in clause (a)(1) outstanding;</w:t>
      </w:r>
    </w:p>
    <w:p>
      <w:pPr>
        <w:spacing w:after="0" w:line="93"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to make any change to the senior debt securities of any series so long as no senior debt securities of such series are outstanding; or</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make any change that does not adversely affect the rights of any holder in any material respect.</w:t>
      </w:r>
    </w:p>
    <w:p>
      <w:pPr>
        <w:spacing w:after="0" w:line="225"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Other amendments and modifications of the senior indenture or the senior debt securities issued may be made, and our compliance with any provision of the senior indenture with respect to any series of senior debt securities may be waived, with the consent of the holders of a majority of the aggregate principal amount of the outstanding senior debt securities of each series affected by the amendment or modification (voting as separate series); provided, however, that each affected holder must consent to any modification, amendment or waiver that:</w:t>
      </w:r>
    </w:p>
    <w:p>
      <w:pPr>
        <w:spacing w:after="0" w:line="77" w:lineRule="exact"/>
        <w:rPr>
          <w:sz w:val="20"/>
          <w:szCs w:val="20"/>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extends the final maturity of any senior debt securities of such series;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reduces the principal amount of any senior debt securities of such series;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reduces the rate, or extends the time for payment of, interest on any senior debt securities of such series;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reduces the amount payable upon the redemption of any senior debt securities of such series;</w:t>
      </w:r>
    </w:p>
    <w:p>
      <w:pPr>
        <w:spacing w:after="0" w:line="130" w:lineRule="exact"/>
        <w:rPr>
          <w:rFonts w:ascii="Arial" w:cs="Arial" w:eastAsia="Arial" w:hAnsi="Arial"/>
          <w:sz w:val="18"/>
          <w:szCs w:val="18"/>
          <w:color w:val="auto"/>
        </w:rPr>
      </w:pPr>
    </w:p>
    <w:p>
      <w:pPr>
        <w:ind w:left="5540" w:right="2640" w:hanging="4884"/>
        <w:spacing w:after="0" w:line="449" w:lineRule="auto"/>
        <w:tabs>
          <w:tab w:leader="none" w:pos="1094"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the currency of payment of principal of or interest on any senior debt securities of such series; 14</w:t>
      </w:r>
    </w:p>
    <w:p>
      <w:pPr>
        <w:sectPr>
          <w:pgSz w:w="11900" w:h="16838" w:orient="portrait"/>
          <w:cols w:equalWidth="0" w:num="1">
            <w:col w:w="11120"/>
          </w:cols>
          <w:pgMar w:left="320" w:top="459" w:right="4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700" w:hanging="424"/>
        <w:spacing w:after="0" w:line="277"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reduces the principal amount of original issue discount securities payable upon acceleration of maturity or the amount provable in bankruptcy;</w:t>
      </w:r>
    </w:p>
    <w:p>
      <w:pPr>
        <w:spacing w:after="0" w:line="75"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waives a continuing default in the payment of principal of or interest on the senior debt securities (other than any such default in payment resulting solely from an acceleration of the senior debt securities);</w:t>
      </w:r>
    </w:p>
    <w:p>
      <w:pPr>
        <w:spacing w:after="0" w:line="75" w:lineRule="exact"/>
        <w:rPr>
          <w:rFonts w:ascii="Arial" w:cs="Arial" w:eastAsia="Arial" w:hAnsi="Arial"/>
          <w:sz w:val="18"/>
          <w:szCs w:val="18"/>
          <w:color w:val="auto"/>
        </w:rPr>
      </w:pPr>
    </w:p>
    <w:p>
      <w:pPr>
        <w:ind w:left="1080" w:right="240" w:hanging="424"/>
        <w:spacing w:after="0" w:line="308" w:lineRule="auto"/>
        <w:tabs>
          <w:tab w:leader="none" w:pos="10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changes the provisions relating to the waiver of past defaults or impairs the right of holders to receive payment or to institute suit for the enforcement of any payment or conversion of any senior debt securities of such series on or after the due date therefor;</w:t>
      </w:r>
    </w:p>
    <w:p>
      <w:pPr>
        <w:spacing w:after="0" w:line="51" w:lineRule="exact"/>
        <w:rPr>
          <w:rFonts w:ascii="Arial" w:cs="Arial" w:eastAsia="Arial" w:hAnsi="Arial"/>
          <w:sz w:val="17"/>
          <w:szCs w:val="17"/>
          <w:color w:val="auto"/>
        </w:rPr>
      </w:pPr>
    </w:p>
    <w:p>
      <w:pPr>
        <w:ind w:left="1080" w:right="240" w:hanging="424"/>
        <w:spacing w:after="0" w:line="263"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modifies any of the provisions of these restrictions on amendments and modifications, except to increase any required percentage or to provide that certain other provisions cannot be modified or waived without the consent of the holder of each senior debt security of such series affected by the modification;</w:t>
      </w:r>
    </w:p>
    <w:p>
      <w:pPr>
        <w:spacing w:after="0" w:line="89"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adversely affects the right to convert or exchange senior debt securities into common stock, other securities or property in accordance with the terms of the senior debt securities; or</w:t>
      </w:r>
    </w:p>
    <w:p>
      <w:pPr>
        <w:spacing w:after="0" w:line="75" w:lineRule="exact"/>
        <w:rPr>
          <w:rFonts w:ascii="Arial" w:cs="Arial" w:eastAsia="Arial" w:hAnsi="Arial"/>
          <w:sz w:val="18"/>
          <w:szCs w:val="18"/>
          <w:color w:val="auto"/>
        </w:rPr>
      </w:pPr>
    </w:p>
    <w:p>
      <w:pPr>
        <w:ind w:left="1080" w:right="400" w:hanging="424"/>
        <w:spacing w:after="0" w:line="277"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reduces the above-stated percentage of outstanding senior debt securities of such series whose holders must consent to a supplemental indenture or modifies or amends or waives certain provisions of or defaults under the senior indenture.</w:t>
      </w:r>
    </w:p>
    <w:p>
      <w:pPr>
        <w:spacing w:after="0" w:line="170"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It shall not be necessary for the holders to approve the particular form of any proposed amendment, supplement or waiver, but it shall be sufficient if the holders’ consent approves the substance thereof. After an amendment, supplement or waiver of the senior indenture in accordance with the provisions described in this section becomes effective, the trustee must give to the holders affected thereby certain notice briefly describing the amendment, supplement or waiver. Any failure by the trustee to give such notice, or any defect therein, shall not, however, in any way impair or affect the validity of any such amendment, supplemental indenture or waiver.</w:t>
      </w:r>
    </w:p>
    <w:p>
      <w:pPr>
        <w:spacing w:after="0" w:line="188" w:lineRule="exact"/>
        <w:rPr>
          <w:sz w:val="20"/>
          <w:szCs w:val="20"/>
          <w:color w:val="auto"/>
        </w:rPr>
      </w:pPr>
    </w:p>
    <w:p>
      <w:pPr>
        <w:ind w:left="120" w:right="20"/>
        <w:spacing w:after="0" w:line="254" w:lineRule="auto"/>
        <w:rPr>
          <w:sz w:val="20"/>
          <w:szCs w:val="20"/>
          <w:color w:val="auto"/>
        </w:rPr>
      </w:pPr>
      <w:r>
        <w:rPr>
          <w:rFonts w:ascii="Arial" w:cs="Arial" w:eastAsia="Arial" w:hAnsi="Arial"/>
          <w:sz w:val="18"/>
          <w:szCs w:val="18"/>
          <w:i w:val="1"/>
          <w:iCs w:val="1"/>
          <w:color w:val="auto"/>
        </w:rPr>
        <w:t xml:space="preserve">Notice of Redemption. </w:t>
      </w:r>
      <w:r>
        <w:rPr>
          <w:rFonts w:ascii="Arial" w:cs="Arial" w:eastAsia="Arial" w:hAnsi="Arial"/>
          <w:sz w:val="18"/>
          <w:szCs w:val="18"/>
          <w:color w:val="auto"/>
        </w:rPr>
        <w:t>Notice of any redemption of senior debt securities will be mailed at least 10 days but not more than 60 days before the</w:t>
      </w:r>
      <w:r>
        <w:rPr>
          <w:rFonts w:ascii="Arial" w:cs="Arial" w:eastAsia="Arial" w:hAnsi="Arial"/>
          <w:sz w:val="18"/>
          <w:szCs w:val="18"/>
          <w:i w:val="1"/>
          <w:iCs w:val="1"/>
          <w:color w:val="auto"/>
        </w:rPr>
        <w:t xml:space="preserve"> </w:t>
      </w:r>
      <w:r>
        <w:rPr>
          <w:rFonts w:ascii="Arial" w:cs="Arial" w:eastAsia="Arial" w:hAnsi="Arial"/>
          <w:sz w:val="18"/>
          <w:szCs w:val="18"/>
          <w:color w:val="auto"/>
        </w:rPr>
        <w:t>redemption date to each holder of senior debt securities of a series to be redeemed. Any notice may, at our discretion, be subject to the satisfaction or waiver of one or more conditions precedent. In that case, such notice shall state the nature of such condition precedent. If we elect to redeem a portion but not all of such senior debt securities, the trustee will select the senior debt securities to be redeemed in a method determined manner that complies with applicable legal and stock exchange requirements, if any. Interest on such debt securities or portions of senior debt securities will cease to accrue on and after the date fixed for redemption, unless we default in the payment of such redemption price and accrued interest with respect to any such senior debt security or portion thereof.</w:t>
      </w:r>
    </w:p>
    <w:p>
      <w:pPr>
        <w:spacing w:after="0" w:line="195" w:lineRule="exact"/>
        <w:rPr>
          <w:sz w:val="20"/>
          <w:szCs w:val="20"/>
          <w:color w:val="auto"/>
        </w:rPr>
      </w:pPr>
    </w:p>
    <w:p>
      <w:pPr>
        <w:jc w:val="both"/>
        <w:ind w:left="120" w:right="220"/>
        <w:spacing w:after="0" w:line="263" w:lineRule="auto"/>
        <w:rPr>
          <w:sz w:val="20"/>
          <w:szCs w:val="20"/>
          <w:color w:val="auto"/>
        </w:rPr>
      </w:pPr>
      <w:r>
        <w:rPr>
          <w:rFonts w:ascii="Arial" w:cs="Arial" w:eastAsia="Arial" w:hAnsi="Arial"/>
          <w:sz w:val="18"/>
          <w:szCs w:val="18"/>
          <w:color w:val="auto"/>
        </w:rPr>
        <w:t>If any date of redemption of any senior debt security is not a business day, then payment of principal and interest may be made on the next succeeding business day with the same force and effect as if made on the nominal date of redemption and no interest will accrue for the period after such nominal date.</w:t>
      </w:r>
    </w:p>
    <w:p>
      <w:pPr>
        <w:spacing w:after="0" w:line="184"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i w:val="1"/>
          <w:iCs w:val="1"/>
          <w:color w:val="auto"/>
        </w:rPr>
        <w:t xml:space="preserve">Conversion Rights. </w:t>
      </w:r>
      <w:r>
        <w:rPr>
          <w:rFonts w:ascii="Arial" w:cs="Arial" w:eastAsia="Arial" w:hAnsi="Arial"/>
          <w:sz w:val="16"/>
          <w:szCs w:val="16"/>
          <w:color w:val="auto"/>
        </w:rPr>
        <w:t>We will describe the terms upon which senior debt securities may be convertible into our common stock or other securities in a</w:t>
      </w:r>
      <w:r>
        <w:rPr>
          <w:rFonts w:ascii="Arial" w:cs="Arial" w:eastAsia="Arial" w:hAnsi="Arial"/>
          <w:sz w:val="16"/>
          <w:szCs w:val="16"/>
          <w:i w:val="1"/>
          <w:iCs w:val="1"/>
          <w:color w:val="auto"/>
        </w:rPr>
        <w:t xml:space="preserve"> </w:t>
      </w:r>
      <w:r>
        <w:rPr>
          <w:rFonts w:ascii="Arial" w:cs="Arial" w:eastAsia="Arial" w:hAnsi="Arial"/>
          <w:sz w:val="16"/>
          <w:szCs w:val="16"/>
          <w:color w:val="auto"/>
        </w:rPr>
        <w:t>prospectus supplement. These terms will include the type of securities the senior debt securities are convertible into, the conversion price or manner of calculation thereof, the conversion period, provisions as to whether conversion will be at our option or the option of the holders, the events requiring an adjustment of the conversion price and provisions affecting conversion in the event of the redemption of the senior debt securities and any restrictions on conversion. They may also include provisions adjusting the number of shares of our common stock or other securities issuable upon conversion.</w:t>
      </w:r>
    </w:p>
    <w:p>
      <w:pPr>
        <w:spacing w:after="0" w:line="161" w:lineRule="exact"/>
        <w:rPr>
          <w:sz w:val="20"/>
          <w:szCs w:val="20"/>
          <w:color w:val="auto"/>
        </w:rPr>
      </w:pPr>
    </w:p>
    <w:p>
      <w:pPr>
        <w:ind w:left="120" w:right="500"/>
        <w:spacing w:after="0" w:line="277" w:lineRule="auto"/>
        <w:rPr>
          <w:sz w:val="20"/>
          <w:szCs w:val="20"/>
          <w:color w:val="auto"/>
        </w:rPr>
      </w:pPr>
      <w:r>
        <w:rPr>
          <w:rFonts w:ascii="Arial" w:cs="Arial" w:eastAsia="Arial" w:hAnsi="Arial"/>
          <w:sz w:val="18"/>
          <w:szCs w:val="18"/>
          <w:i w:val="1"/>
          <w:iCs w:val="1"/>
          <w:color w:val="auto"/>
        </w:rPr>
        <w:t xml:space="preserve">No Personal Liability of Incorporators, Stockholders, Officers or Directors. </w:t>
      </w:r>
      <w:r>
        <w:rPr>
          <w:rFonts w:ascii="Arial" w:cs="Arial" w:eastAsia="Arial" w:hAnsi="Arial"/>
          <w:sz w:val="18"/>
          <w:szCs w:val="18"/>
          <w:color w:val="auto"/>
        </w:rPr>
        <w:t>The senior indenture provides that no recourse shall be had under any</w:t>
      </w:r>
      <w:r>
        <w:rPr>
          <w:rFonts w:ascii="Arial" w:cs="Arial" w:eastAsia="Arial" w:hAnsi="Arial"/>
          <w:sz w:val="18"/>
          <w:szCs w:val="18"/>
          <w:i w:val="1"/>
          <w:iCs w:val="1"/>
          <w:color w:val="auto"/>
        </w:rPr>
        <w:t xml:space="preserve"> </w:t>
      </w:r>
      <w:r>
        <w:rPr>
          <w:rFonts w:ascii="Arial" w:cs="Arial" w:eastAsia="Arial" w:hAnsi="Arial"/>
          <w:sz w:val="18"/>
          <w:szCs w:val="18"/>
          <w:color w:val="auto"/>
        </w:rPr>
        <w:t>obligation, covenant or agreement of ours in the senior indenture or any</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40"/>
          </w:cols>
          <w:pgMar w:left="320" w:top="459" w:right="4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60"/>
        <w:spacing w:after="0" w:line="259" w:lineRule="auto"/>
        <w:rPr>
          <w:sz w:val="20"/>
          <w:szCs w:val="20"/>
          <w:color w:val="auto"/>
        </w:rPr>
      </w:pPr>
      <w:r>
        <w:rPr>
          <w:rFonts w:ascii="Arial" w:cs="Arial" w:eastAsia="Arial" w:hAnsi="Arial"/>
          <w:sz w:val="18"/>
          <w:szCs w:val="18"/>
          <w:color w:val="auto"/>
        </w:rPr>
        <w:t>supplemental indenture, or in any of the senior debt securities or because of the creation of any indebtedness represented thereby, against any of our incorporators, stockholders, officers or directors, past, present or future, or of any predecessor or successor entity thereof under any law, statute or constitutional provision or by the enforcement of any assessment or by any legal or equitable proceeding or otherwise. Each holder, by accepting the senior debt securities, waives and releases all such liability.</w:t>
      </w:r>
    </w:p>
    <w:p>
      <w:pPr>
        <w:spacing w:after="0" w:line="187"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i w:val="1"/>
          <w:iCs w:val="1"/>
          <w:color w:val="auto"/>
        </w:rPr>
        <w:t xml:space="preserve">Concerning the Trustee. </w:t>
      </w:r>
      <w:r>
        <w:rPr>
          <w:rFonts w:ascii="Arial" w:cs="Arial" w:eastAsia="Arial" w:hAnsi="Arial"/>
          <w:sz w:val="18"/>
          <w:szCs w:val="18"/>
          <w:color w:val="auto"/>
        </w:rPr>
        <w:t>The senior indenture provides that, except during the continuance of an event of default, the trustee will not be liable except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performance of such duties as are specifically set forth in the senior indenture. If an event of default has occurred and is continuing, the trustee will exercise such rights and powers vested in it under the senior indenture and will use the same degree of care and skill in its exercise as a prudent person would exercise under the circumstances in the conduct of such person’s own affairs.</w:t>
      </w:r>
    </w:p>
    <w:p>
      <w:pPr>
        <w:spacing w:after="0" w:line="187" w:lineRule="exact"/>
        <w:rPr>
          <w:sz w:val="20"/>
          <w:szCs w:val="20"/>
          <w:color w:val="auto"/>
        </w:rPr>
      </w:pPr>
    </w:p>
    <w:p>
      <w:pPr>
        <w:ind w:left="120" w:right="140"/>
        <w:spacing w:after="0" w:line="279" w:lineRule="auto"/>
        <w:rPr>
          <w:sz w:val="20"/>
          <w:szCs w:val="20"/>
          <w:color w:val="auto"/>
        </w:rPr>
      </w:pPr>
      <w:r>
        <w:rPr>
          <w:rFonts w:ascii="Arial" w:cs="Arial" w:eastAsia="Arial" w:hAnsi="Arial"/>
          <w:sz w:val="17"/>
          <w:szCs w:val="17"/>
          <w:color w:val="auto"/>
        </w:rPr>
        <w:t>The senior indenture and the provisions of the Trust Indenture Act incorporated by reference therein contain limitations on the rights of the trustee thereunder, should it become a creditor of ours or our subsidiary, to obtain payment of claims in certain cases or to realize on certain property received by it in respect of any such claims, as security or otherwise. The trustee is permitted to engage in other transactions, provided that if it acquires any conflicting interest (as defined in the Trust Indenture Act), it must eliminate such conflict or resign.</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may have normal banking relationships with the senior trustee in the ordinary course of business.</w:t>
      </w:r>
    </w:p>
    <w:p>
      <w:pPr>
        <w:spacing w:after="0" w:line="225"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i w:val="1"/>
          <w:iCs w:val="1"/>
          <w:color w:val="auto"/>
        </w:rPr>
        <w:t xml:space="preserve">Unclaimed Funds. </w:t>
      </w:r>
      <w:r>
        <w:rPr>
          <w:rFonts w:ascii="Arial" w:cs="Arial" w:eastAsia="Arial" w:hAnsi="Arial"/>
          <w:sz w:val="18"/>
          <w:szCs w:val="18"/>
          <w:color w:val="auto"/>
        </w:rPr>
        <w:t>All funds deposited with the trustee or any paying agent for the payment of principal, premium, interest or additional amounts in</w:t>
      </w:r>
      <w:r>
        <w:rPr>
          <w:rFonts w:ascii="Arial" w:cs="Arial" w:eastAsia="Arial" w:hAnsi="Arial"/>
          <w:sz w:val="18"/>
          <w:szCs w:val="18"/>
          <w:i w:val="1"/>
          <w:iCs w:val="1"/>
          <w:color w:val="auto"/>
        </w:rPr>
        <w:t xml:space="preserve"> </w:t>
      </w:r>
      <w:r>
        <w:rPr>
          <w:rFonts w:ascii="Arial" w:cs="Arial" w:eastAsia="Arial" w:hAnsi="Arial"/>
          <w:sz w:val="18"/>
          <w:szCs w:val="18"/>
          <w:color w:val="auto"/>
        </w:rPr>
        <w:t>respect of the senior debt securities that remain unclaimed for two years after the date upon which such amounts became due and payable will be repaid to us. Thereafter, any right of any holder of senior debt securities to such funds shall be enforceable only against us, and the trustee and paying agents will have no liability therefor.</w:t>
      </w:r>
    </w:p>
    <w:p>
      <w:pPr>
        <w:spacing w:after="0" w:line="187"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i w:val="1"/>
          <w:iCs w:val="1"/>
          <w:color w:val="auto"/>
        </w:rPr>
        <w:t xml:space="preserve">Governing Law. </w:t>
      </w:r>
      <w:r>
        <w:rPr>
          <w:rFonts w:ascii="Arial" w:cs="Arial" w:eastAsia="Arial" w:hAnsi="Arial"/>
          <w:sz w:val="18"/>
          <w:szCs w:val="18"/>
          <w:color w:val="auto"/>
        </w:rPr>
        <w:t>The senior indenture and the senior debt securities will be governed by, and construed in accordance with, the internal laws of the State</w:t>
      </w:r>
      <w:r>
        <w:rPr>
          <w:rFonts w:ascii="Arial" w:cs="Arial" w:eastAsia="Arial" w:hAnsi="Arial"/>
          <w:sz w:val="18"/>
          <w:szCs w:val="18"/>
          <w:i w:val="1"/>
          <w:iCs w:val="1"/>
          <w:color w:val="auto"/>
        </w:rPr>
        <w:t xml:space="preserve"> </w:t>
      </w:r>
      <w:r>
        <w:rPr>
          <w:rFonts w:ascii="Arial" w:cs="Arial" w:eastAsia="Arial" w:hAnsi="Arial"/>
          <w:sz w:val="18"/>
          <w:szCs w:val="18"/>
          <w:color w:val="auto"/>
        </w:rPr>
        <w:t>of New York.</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Certain Terms of the Subordinated Debt Securities</w:t>
      </w:r>
    </w:p>
    <w:p>
      <w:pPr>
        <w:spacing w:after="0" w:line="121"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Other than the terms of the subordinated indenture and subordinated debt securities relating to subordination or otherwise as described in the prospectus supplement relating to a particular series of subordinated debt securities, the terms of the subordinated indenture and subordinated debt securities are identical in all material respects to the terms of the senior indenture and senior debt securities.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Additional or different subordination terms may be specified in the prospectus supplement applicable to a particular series.</w:t>
      </w:r>
    </w:p>
    <w:p>
      <w:pPr>
        <w:spacing w:after="0" w:line="225"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i w:val="1"/>
          <w:iCs w:val="1"/>
          <w:color w:val="auto"/>
        </w:rPr>
        <w:t xml:space="preserve">Subordination. </w:t>
      </w:r>
      <w:r>
        <w:rPr>
          <w:rFonts w:ascii="Arial" w:cs="Arial" w:eastAsia="Arial" w:hAnsi="Arial"/>
          <w:sz w:val="16"/>
          <w:szCs w:val="16"/>
          <w:color w:val="auto"/>
        </w:rPr>
        <w:t>The indebtedness evidenced by the subordinated debt securities is subordinate to the prior payment in full of all of our senior</w:t>
      </w:r>
      <w:r>
        <w:rPr>
          <w:rFonts w:ascii="Arial" w:cs="Arial" w:eastAsia="Arial" w:hAnsi="Arial"/>
          <w:sz w:val="16"/>
          <w:szCs w:val="16"/>
          <w:i w:val="1"/>
          <w:iCs w:val="1"/>
          <w:color w:val="auto"/>
        </w:rPr>
        <w:t xml:space="preserve"> </w:t>
      </w:r>
      <w:r>
        <w:rPr>
          <w:rFonts w:ascii="Arial" w:cs="Arial" w:eastAsia="Arial" w:hAnsi="Arial"/>
          <w:sz w:val="16"/>
          <w:szCs w:val="16"/>
          <w:color w:val="auto"/>
        </w:rPr>
        <w:t>indebtedness, as defined in the subordinated indenture. During the continuance beyond any applicable grace period of any default in the payment of principal, premium, interest or any other payment due on any of our senior indebtedness, we may not make any payment of principal of or interest on the subordinated debt securities (except for certain sinking fund payments). In addition, upon any payment or distribution of our assets upon any dissolution, winding-up, liquidation or reorganization, the payment of the principal of and interest on the subordinated debt securities will be subordinated to the extent provided in the subordinated indenture in right of payment to the prior payment in full of all our senior indebtedness. Because of this subordination, if we dissolve or otherwise liquidate, holders of our subordinated debt securities may receive less, ratably, than holders of our senior indebtedness. The subordination provisions do not prevent the occurrence of an event of default under the subordinated indenture.</w:t>
      </w:r>
    </w:p>
    <w:p>
      <w:pPr>
        <w:spacing w:after="0" w:line="9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80"/>
          </w:cols>
          <w:pgMar w:left="320" w:top="459" w:right="49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342" w:lineRule="auto"/>
        <w:rPr>
          <w:sz w:val="20"/>
          <w:szCs w:val="20"/>
          <w:color w:val="auto"/>
        </w:rPr>
      </w:pPr>
      <w:r>
        <w:rPr>
          <w:rFonts w:ascii="Arial" w:cs="Arial" w:eastAsia="Arial" w:hAnsi="Arial"/>
          <w:sz w:val="16"/>
          <w:szCs w:val="16"/>
          <w:color w:val="auto"/>
        </w:rPr>
        <w:t>The term “senior indebtedness” of a person means with respect to such person the principal of, premium, if any, interest on, and any other payment due pursuant to any of the following, whether outstanding on the date of the subordinated indenture or incurred by that person in the future:</w:t>
      </w:r>
    </w:p>
    <w:p>
      <w:pPr>
        <w:spacing w:after="0" w:line="29" w:lineRule="exact"/>
        <w:rPr>
          <w:sz w:val="20"/>
          <w:szCs w:val="20"/>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all of the indebtedness of that person for money borrowed;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all of the indebtedness of that person evidenced by notes, debentures, bonds or other securities sold by that person for money;</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all of the lease obligations that are capitalized on the books of that person in accordance with generally accepted accounting principles;</w:t>
      </w:r>
    </w:p>
    <w:p>
      <w:pPr>
        <w:spacing w:after="0" w:line="153" w:lineRule="exact"/>
        <w:rPr>
          <w:rFonts w:ascii="Arial" w:cs="Arial" w:eastAsia="Arial" w:hAnsi="Arial"/>
          <w:sz w:val="16"/>
          <w:szCs w:val="16"/>
          <w:color w:val="auto"/>
        </w:rPr>
      </w:pPr>
    </w:p>
    <w:p>
      <w:pPr>
        <w:ind w:left="1080" w:right="20" w:hanging="424"/>
        <w:spacing w:after="0" w:line="263"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all indebtedness of others of the kinds described in the first two bullet points above and all lease obligations of others of the kind described in the third bullet point above that the person, in any manner, assumes or guarantees or that the person in effect guarantees through an agreement to purchase, whether that agreement is contingent or otherwise; and</w:t>
      </w:r>
    </w:p>
    <w:p>
      <w:pPr>
        <w:spacing w:after="0" w:line="89" w:lineRule="exact"/>
        <w:rPr>
          <w:rFonts w:ascii="Arial" w:cs="Arial" w:eastAsia="Arial" w:hAnsi="Arial"/>
          <w:sz w:val="18"/>
          <w:szCs w:val="18"/>
          <w:color w:val="auto"/>
        </w:rPr>
      </w:pPr>
    </w:p>
    <w:p>
      <w:pPr>
        <w:ind w:left="1080" w:right="560" w:hanging="424"/>
        <w:spacing w:after="0" w:line="277"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all renewals, extensions or refundings of indebtedness of the kinds described in the first, second or fourth bullet point above and all renewals or extensions of leases of the kinds described in the third or fourth bullet point above;</w:t>
      </w:r>
    </w:p>
    <w:p>
      <w:pPr>
        <w:spacing w:after="0" w:line="170" w:lineRule="exact"/>
        <w:rPr>
          <w:sz w:val="20"/>
          <w:szCs w:val="20"/>
          <w:color w:val="auto"/>
        </w:rPr>
      </w:pPr>
    </w:p>
    <w:p>
      <w:pPr>
        <w:ind w:left="120"/>
        <w:spacing w:after="0" w:line="286" w:lineRule="auto"/>
        <w:rPr>
          <w:sz w:val="20"/>
          <w:szCs w:val="20"/>
          <w:color w:val="auto"/>
        </w:rPr>
      </w:pPr>
      <w:r>
        <w:rPr>
          <w:rFonts w:ascii="Arial" w:cs="Arial" w:eastAsia="Arial" w:hAnsi="Arial"/>
          <w:sz w:val="17"/>
          <w:szCs w:val="17"/>
          <w:color w:val="auto"/>
        </w:rPr>
        <w:t>unless, in the case of any particular indebtedness, renewal, extension or refunding, the instrument creating or evidencing it or the assumption or guarantee relating to it expressly provides that such indebtedness, renewal, extension or refunding is not superior in right of payment to the subordinated debt securities. Our senior debt securities constitute senior indebtedness for purposes of the subordinated indenture.</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00"/>
          </w:cols>
          <w:pgMar w:left="320" w:top="459" w:right="4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The following description of our capital stock and provisions of our certificate of incorporation and bylaws are summaries. You should also refer to the restated certificate of incorporation and the amended and restated bylaws, which are filed as exhibits to the registration statement of which this prospectus is part.</w:t>
      </w:r>
    </w:p>
    <w:p>
      <w:pPr>
        <w:spacing w:after="0" w:line="184"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color w:val="auto"/>
        </w:rPr>
        <w:t>Our authorized capital stock consists of 200,000,000 shares of our common stock, par value $0.001 per share, and 5,000,000 shares of our preferred stock, par value $0.001 per share, all of which preferred stock is undesignated.</w:t>
      </w:r>
    </w:p>
    <w:p>
      <w:pPr>
        <w:spacing w:after="0" w:line="170"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color w:val="auto"/>
        </w:rPr>
        <w:t>As of December 31, 2021, we had issued and outstanding 40,636,398 shares of our common stock held by 33 stockholders of record (not including beneficial owners whose shares are held in “nominee” or “street” name), including 10,174 shares of unvested restricted stock subject to repurchase by us.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left="120" w:right="20"/>
        <w:spacing w:after="0" w:line="272" w:lineRule="auto"/>
        <w:rPr>
          <w:sz w:val="20"/>
          <w:szCs w:val="20"/>
          <w:color w:val="auto"/>
        </w:rPr>
      </w:pPr>
      <w:r>
        <w:rPr>
          <w:rFonts w:ascii="Arial" w:cs="Arial" w:eastAsia="Arial" w:hAnsi="Arial"/>
          <w:sz w:val="17"/>
          <w:szCs w:val="17"/>
          <w:color w:val="auto"/>
        </w:rPr>
        <w:t>Holders of our common stock are entitled to one vote for each share held on all matters submitted to a vote of stockholders and do not have cumulative voting rights. Each election of directors by our stockholders will be determined by a plurality of the votes cast by the stockholders entitled to vote on the election. Any matters other than the election of directors to be voted upon by the stockholders at a meeting are decided by the vote of the holders of shares of stock having a majority in voting power of the votes cast by the holders of all of the shares of stock present or represented at the meeting and voting affirmatively or negatively on such matter, except when a different vote is required by law, our certificate of incorporation or our bylaws. Holders of common stock are entitled to receive proportionately any dividends as may be declared by our board of directors, subject to any preferential dividend or other rights of any outstanding preferred stock.</w:t>
      </w:r>
    </w:p>
    <w:p>
      <w:pPr>
        <w:spacing w:after="0" w:line="177"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In the event of our liquidation, dissolution or winding up, the holders of our common stock are entitled to receive proportionately all assets available for distribution to stockholders after the payment of all debts and other liabilities and subject to any preferential or other rights of any outstanding preferred stock. Holders of our common stock have no preemptive, subscription, redemption or conversion rights. The rights, preferences and privileges of holders of our common stock are subject to and may be adversely affected by the rights of the holders of shares of any series of our preferred stock that we may designate and issue in the future.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We are authorized to issue “blank check” preferred stock, which may be issued in one or more series upon authorization of our board of directors. Our board of directors is authorized to fix the designations, powers, preferences and the relative, participating, optional or other special rights and any qualifications, limitations and restrictions of the shares of each series of preferred stock. The authorized shares of our preferred stock are available for issuance without further action by our stockholders, unless such action is required by applicable law or the rules of any stock exchange on which our securities may be listed. If the approval of our stockholders is not required for the issuance of shares of our preferred stock, our board may determine not to seek stockholder approval. The specific terms of any series of preferred stock offered pursuant to this prospectus will be described in the prospectus supplement relating to that series of preferred stock.</w:t>
      </w:r>
    </w:p>
    <w:p>
      <w:pPr>
        <w:spacing w:after="0" w:line="177" w:lineRule="exact"/>
        <w:rPr>
          <w:sz w:val="20"/>
          <w:szCs w:val="20"/>
          <w:color w:val="auto"/>
        </w:rPr>
      </w:pPr>
    </w:p>
    <w:p>
      <w:pPr>
        <w:ind w:left="120" w:right="20"/>
        <w:spacing w:after="0" w:line="296" w:lineRule="auto"/>
        <w:rPr>
          <w:sz w:val="20"/>
          <w:szCs w:val="20"/>
          <w:color w:val="auto"/>
        </w:rPr>
      </w:pPr>
      <w:r>
        <w:rPr>
          <w:rFonts w:ascii="Arial" w:cs="Arial" w:eastAsia="Arial" w:hAnsi="Arial"/>
          <w:sz w:val="16"/>
          <w:szCs w:val="16"/>
          <w:color w:val="auto"/>
        </w:rPr>
        <w:t>A series of our preferred stock could, depending on the terms of such series, impede the completion of a merger, tender offer or other takeover attempt. Our board of directors will make any determination to issue preferred shares based upon its judgment as to the best interests of our stockholders. Our directors, in so acting, could issue preferred stock having terms that could discourage an acquisition attempt through which an acquirer may be able to change the composition of our board of directors, including a tender offer or other transaction that some, or a majority, of our stockholders might believe to be in their best interests or in which stockholders might receive a premium for their stock over the then-current market price of the stock.</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20"/>
          </w:cols>
          <w:pgMar w:left="320" w:top="459" w:right="4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80"/>
        <w:spacing w:after="0" w:line="342" w:lineRule="auto"/>
        <w:rPr>
          <w:sz w:val="20"/>
          <w:szCs w:val="20"/>
          <w:color w:val="auto"/>
        </w:rPr>
      </w:pPr>
      <w:r>
        <w:rPr>
          <w:rFonts w:ascii="Arial" w:cs="Arial" w:eastAsia="Arial" w:hAnsi="Arial"/>
          <w:sz w:val="16"/>
          <w:szCs w:val="16"/>
          <w:color w:val="auto"/>
        </w:rPr>
        <w:t>The preferred stock has the terms described below unless otherwise provided in the prospectus supplement relating to a particular series of preferred stock. You should read the prospectus supplement relating to the particular series of preferred stock being offered for specific terms, including:</w:t>
      </w:r>
    </w:p>
    <w:p>
      <w:pPr>
        <w:spacing w:after="0" w:line="29" w:lineRule="exact"/>
        <w:rPr>
          <w:sz w:val="20"/>
          <w:szCs w:val="20"/>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designation and stated value per share of the preferred stock and the number of shares offered;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amount of liquidation preference per share;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price at which the preferred stock will be issued;</w:t>
      </w:r>
    </w:p>
    <w:p>
      <w:pPr>
        <w:spacing w:after="0" w:line="130" w:lineRule="exact"/>
        <w:rPr>
          <w:rFonts w:ascii="Arial" w:cs="Arial" w:eastAsia="Arial" w:hAnsi="Arial"/>
          <w:sz w:val="18"/>
          <w:szCs w:val="18"/>
          <w:color w:val="auto"/>
        </w:rPr>
      </w:pPr>
    </w:p>
    <w:p>
      <w:pPr>
        <w:ind w:left="1080" w:right="720" w:hanging="424"/>
        <w:spacing w:after="0" w:line="308" w:lineRule="auto"/>
        <w:tabs>
          <w:tab w:leader="none" w:pos="10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dividend rate, or method of calculation of dividends, the dates on which dividends will be payable, whether dividends will be cumulative or noncumulative and, if cumulative, the dates from which dividends will commence to accumulate;</w:t>
      </w:r>
    </w:p>
    <w:p>
      <w:pPr>
        <w:spacing w:after="0" w:line="51" w:lineRule="exact"/>
        <w:rPr>
          <w:rFonts w:ascii="Arial" w:cs="Arial" w:eastAsia="Arial" w:hAnsi="Arial"/>
          <w:sz w:val="17"/>
          <w:szCs w:val="17"/>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redemption or sinking fund provisions;</w:t>
      </w:r>
    </w:p>
    <w:p>
      <w:pPr>
        <w:spacing w:after="0" w:line="130"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other than the currency of the United States, the currency or currencies including composite currencies in which the preferred stock is denominated and/or in which payments will or may be payable;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conversion provisions;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whether we have elected to offer depositary shares as described under “Description of Depositary Shares;”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other rights, preferences, privileges, limitations and restrictions on the preferred stock.</w:t>
      </w:r>
    </w:p>
    <w:p>
      <w:pPr>
        <w:spacing w:after="0" w:line="225"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color w:val="auto"/>
        </w:rPr>
        <w:t>The preferred stock will, when issued, be fully paid and non-assessable. Unless otherwise specified in the prospectus supplement, each series of preferred stock will rank equally as to dividends and liquidation rights in all respects with each other series of preferred stock. The rights of holders of shares of each series of preferred stock will be subordinate to those of our general creditors.</w:t>
      </w:r>
    </w:p>
    <w:p>
      <w:pPr>
        <w:spacing w:after="0" w:line="184"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As described under “Description of Depositary Shares,” we may, at our option, with respect to any series of preferred stock, elect to offer fractional interests in shares of preferred stock, and provide for the issuance of depositary receipts representing depositary shares, each of which will represent a fractional interest in a share of the series of preferred stock. The fractional interest will be specified in the prospectus supplement relating to a particular series of preferred stock.</w:t>
      </w:r>
    </w:p>
    <w:p>
      <w:pPr>
        <w:spacing w:after="0" w:line="187"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i w:val="1"/>
          <w:iCs w:val="1"/>
          <w:color w:val="auto"/>
        </w:rPr>
        <w:t>Rank</w:t>
      </w:r>
      <w:r>
        <w:rPr>
          <w:rFonts w:ascii="Arial" w:cs="Arial" w:eastAsia="Arial" w:hAnsi="Arial"/>
          <w:sz w:val="18"/>
          <w:szCs w:val="18"/>
          <w:color w:val="auto"/>
        </w:rPr>
        <w:t>. Unless otherwise specified in the prospectus supplement, the preferred stock will, with respect to dividend rights and rights upon our liquidation,</w:t>
      </w:r>
      <w:r>
        <w:rPr>
          <w:rFonts w:ascii="Arial" w:cs="Arial" w:eastAsia="Arial" w:hAnsi="Arial"/>
          <w:sz w:val="18"/>
          <w:szCs w:val="18"/>
          <w:i w:val="1"/>
          <w:iCs w:val="1"/>
          <w:color w:val="auto"/>
        </w:rPr>
        <w:t xml:space="preserve"> </w:t>
      </w:r>
      <w:r>
        <w:rPr>
          <w:rFonts w:ascii="Arial" w:cs="Arial" w:eastAsia="Arial" w:hAnsi="Arial"/>
          <w:sz w:val="18"/>
          <w:szCs w:val="18"/>
          <w:color w:val="auto"/>
        </w:rPr>
        <w:t>dissolution or winding up of our affairs, rank:</w:t>
      </w:r>
    </w:p>
    <w:p>
      <w:pPr>
        <w:spacing w:after="0" w:line="76" w:lineRule="exact"/>
        <w:rPr>
          <w:sz w:val="20"/>
          <w:szCs w:val="20"/>
          <w:color w:val="auto"/>
        </w:rPr>
      </w:pPr>
    </w:p>
    <w:p>
      <w:pPr>
        <w:ind w:left="1080" w:hanging="424"/>
        <w:spacing w:after="0" w:line="277"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senior to our common stock and to all equity securities ranking junior to such preferred stock with respect to dividend rights or rights upon our liquidation, dissolution or winding up of our affairs;</w:t>
      </w:r>
    </w:p>
    <w:p>
      <w:pPr>
        <w:spacing w:after="0" w:line="75" w:lineRule="exact"/>
        <w:rPr>
          <w:rFonts w:ascii="Arial" w:cs="Arial" w:eastAsia="Arial" w:hAnsi="Arial"/>
          <w:sz w:val="18"/>
          <w:szCs w:val="18"/>
          <w:color w:val="auto"/>
        </w:rPr>
      </w:pPr>
    </w:p>
    <w:p>
      <w:pPr>
        <w:ind w:left="1080" w:right="140" w:hanging="424"/>
        <w:spacing w:after="0" w:line="308" w:lineRule="auto"/>
        <w:tabs>
          <w:tab w:leader="none" w:pos="10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on a parity with all equity securities issued by us, the terms of which specifically provide that such equity securities rank on a parity with the preferred stock with respect to dividend rights or rights upon our liquidation, dissolution or winding up of our affairs; and</w:t>
      </w:r>
    </w:p>
    <w:p>
      <w:pPr>
        <w:spacing w:after="0" w:line="51" w:lineRule="exact"/>
        <w:rPr>
          <w:rFonts w:ascii="Arial" w:cs="Arial" w:eastAsia="Arial" w:hAnsi="Arial"/>
          <w:sz w:val="17"/>
          <w:szCs w:val="17"/>
          <w:color w:val="auto"/>
        </w:rPr>
      </w:pPr>
    </w:p>
    <w:p>
      <w:pPr>
        <w:ind w:left="1080" w:right="200" w:hanging="424"/>
        <w:spacing w:after="0" w:line="277"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junior to all equity securities issued by us, the terms of which specifically provide that such equity securities rank senior to the preferred stock with respect to dividend rights or rights upon our liquidation, dissolution or winding up of our affairs.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term “equity securities” does not include convertible debt securities.</w:t>
      </w:r>
    </w:p>
    <w:p>
      <w:pPr>
        <w:spacing w:after="0" w:line="225"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i w:val="1"/>
          <w:iCs w:val="1"/>
          <w:color w:val="auto"/>
        </w:rPr>
        <w:t>Dividends</w:t>
      </w:r>
      <w:r>
        <w:rPr>
          <w:rFonts w:ascii="Arial" w:cs="Arial" w:eastAsia="Arial" w:hAnsi="Arial"/>
          <w:sz w:val="18"/>
          <w:szCs w:val="18"/>
          <w:color w:val="auto"/>
        </w:rPr>
        <w:t>. Holders of the preferred stock of each series will be entitled to receive, when, as and if declared by our board of directors, cash dividends at</w:t>
      </w:r>
      <w:r>
        <w:rPr>
          <w:rFonts w:ascii="Arial" w:cs="Arial" w:eastAsia="Arial" w:hAnsi="Arial"/>
          <w:sz w:val="18"/>
          <w:szCs w:val="18"/>
          <w:i w:val="1"/>
          <w:iCs w:val="1"/>
          <w:color w:val="auto"/>
        </w:rPr>
        <w:t xml:space="preserve"> </w:t>
      </w:r>
      <w:r>
        <w:rPr>
          <w:rFonts w:ascii="Arial" w:cs="Arial" w:eastAsia="Arial" w:hAnsi="Arial"/>
          <w:sz w:val="18"/>
          <w:szCs w:val="18"/>
          <w:color w:val="auto"/>
        </w:rPr>
        <w:t>such rates and on such dates described in the prospectus supplement.</w:t>
      </w:r>
    </w:p>
    <w:p>
      <w:pPr>
        <w:spacing w:after="0" w:line="170"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Different series of preferred stock may be entitled to dividends at different rates or based on different methods of calculation. The dividend rate may be fixed or variable or both. Dividends will be payable to the holders of</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80"/>
          </w:cols>
          <w:pgMar w:left="320" w:top="459" w:right="49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record as they appear on our stock books on record dates fixed by our board of directors, as specified in the applicable prospectus supplement.</w:t>
      </w:r>
    </w:p>
    <w:p>
      <w:pPr>
        <w:spacing w:after="0" w:line="237" w:lineRule="exact"/>
        <w:rPr>
          <w:sz w:val="20"/>
          <w:szCs w:val="20"/>
          <w:color w:val="auto"/>
        </w:rPr>
      </w:pPr>
    </w:p>
    <w:p>
      <w:pPr>
        <w:ind w:left="120" w:right="180"/>
        <w:spacing w:after="0" w:line="255" w:lineRule="auto"/>
        <w:rPr>
          <w:sz w:val="20"/>
          <w:szCs w:val="20"/>
          <w:color w:val="auto"/>
        </w:rPr>
      </w:pPr>
      <w:r>
        <w:rPr>
          <w:rFonts w:ascii="Arial" w:cs="Arial" w:eastAsia="Arial" w:hAnsi="Arial"/>
          <w:sz w:val="18"/>
          <w:szCs w:val="18"/>
          <w:color w:val="auto"/>
        </w:rPr>
        <w:t>Dividends on any series of preferred stock may be cumulative or noncumulative, as described in the applicable prospectus supplement. If our board of directors does not declare a dividend payable on a dividend payment date on any series of noncumulative preferred stock, then the holders of that noncumulative preferred stock will have no right to receive a dividend for that dividend payment date, and we will have no obligation to pay the dividend accrued for that period, whether or not dividends on that series are declared payable on any future dividend payment dates. Dividends on any series of cumulative preferred stock will accrue from the date we initially issue shares of such series or such other date specified in the applicable prospectus supplement.</w:t>
      </w:r>
    </w:p>
    <w:p>
      <w:pPr>
        <w:spacing w:after="0" w:line="192" w:lineRule="exact"/>
        <w:rPr>
          <w:sz w:val="20"/>
          <w:szCs w:val="20"/>
          <w:color w:val="auto"/>
        </w:rPr>
      </w:pPr>
    </w:p>
    <w:p>
      <w:pPr>
        <w:jc w:val="both"/>
        <w:ind w:left="120" w:right="120"/>
        <w:spacing w:after="0" w:line="342" w:lineRule="auto"/>
        <w:rPr>
          <w:sz w:val="20"/>
          <w:szCs w:val="20"/>
          <w:color w:val="auto"/>
        </w:rPr>
      </w:pPr>
      <w:r>
        <w:rPr>
          <w:rFonts w:ascii="Arial" w:cs="Arial" w:eastAsia="Arial" w:hAnsi="Arial"/>
          <w:sz w:val="16"/>
          <w:szCs w:val="16"/>
          <w:color w:val="auto"/>
        </w:rPr>
        <w:t>No dividends may be declared or paid or funds set apart for the payment of any dividends on any parity securities unless full dividends have been paid or set apart for payment on the preferred stock. If full dividends are not paid, the preferred stock will share dividends pro rata with the parity securities.</w:t>
      </w:r>
    </w:p>
    <w:p>
      <w:pPr>
        <w:spacing w:after="0" w:line="124"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color w:val="auto"/>
        </w:rPr>
        <w:t>No dividends may be declared or paid or funds set apart for the payment of dividends on any junior securities unless full dividends for all dividend periods terminating on or prior to the date of the declaration or payment will have been paid or declared and a sum sufficient for the payment set apart for payment on the preferred stock.</w:t>
      </w:r>
    </w:p>
    <w:p>
      <w:pPr>
        <w:spacing w:after="0" w:line="184"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i w:val="1"/>
          <w:iCs w:val="1"/>
          <w:color w:val="auto"/>
        </w:rPr>
        <w:t>Liquidation Preference</w:t>
      </w:r>
      <w:r>
        <w:rPr>
          <w:rFonts w:ascii="Arial" w:cs="Arial" w:eastAsia="Arial" w:hAnsi="Arial"/>
          <w:sz w:val="16"/>
          <w:szCs w:val="16"/>
          <w:color w:val="auto"/>
        </w:rPr>
        <w:t>. Upon any voluntary or involuntary liquidation, dissolution or winding up of our affairs, then, before we make any distribution or</w:t>
      </w:r>
      <w:r>
        <w:rPr>
          <w:rFonts w:ascii="Arial" w:cs="Arial" w:eastAsia="Arial" w:hAnsi="Arial"/>
          <w:sz w:val="16"/>
          <w:szCs w:val="16"/>
          <w:i w:val="1"/>
          <w:iCs w:val="1"/>
          <w:color w:val="auto"/>
        </w:rPr>
        <w:t xml:space="preserve"> </w:t>
      </w:r>
      <w:r>
        <w:rPr>
          <w:rFonts w:ascii="Arial" w:cs="Arial" w:eastAsia="Arial" w:hAnsi="Arial"/>
          <w:sz w:val="16"/>
          <w:szCs w:val="16"/>
          <w:color w:val="auto"/>
        </w:rPr>
        <w:t>payment to the holders of any common stock or any other class or series of our capital stock ranking junior to the preferred stock in the distribution of assets upon any liquidation, dissolution or winding up of our affairs, the holders of each series of preferred stock shall be entitled to receive out of assets legally available for distribution to stockholders, liquidating distributions in the amount of the liquidation preference per share set forth in the prospectus supplement, plus any accrued and unpaid dividends thereon. Such dividends will not include any accumulation in respect of unpaid noncumulative dividends for prior dividend periods. Unless otherwise specified in the prospectus supplement, after payment of the full amount of their liquidating distributions, the holders of preferred stock will have no right or claim to any of our remaining assets. Upon any such voluntary or involuntary liquidation, dissolution or winding up, if our available assets are insufficient to pay the amount of the liquidating distributions on all outstanding preferred stock and the corresponding amounts payable on all other classes or series of our capital stock ranking on parity with the preferred stock and all other such classes or series of shares of capital stock ranking on parity with the preferred stock in the distribution of assets, then the holders of the preferred stock and all other such classes or series of capital stock ranking on parity with the preferred stock will share ratably in any such distribution of assets in proportion to the full liquidating distributions to which they would otherwise be entitled.</w:t>
      </w:r>
    </w:p>
    <w:p>
      <w:pPr>
        <w:spacing w:after="0" w:line="168" w:lineRule="exact"/>
        <w:rPr>
          <w:sz w:val="20"/>
          <w:szCs w:val="20"/>
          <w:color w:val="auto"/>
        </w:rPr>
      </w:pPr>
    </w:p>
    <w:p>
      <w:pPr>
        <w:ind w:left="120" w:right="100"/>
        <w:spacing w:after="0" w:line="257" w:lineRule="auto"/>
        <w:rPr>
          <w:sz w:val="20"/>
          <w:szCs w:val="20"/>
          <w:color w:val="auto"/>
        </w:rPr>
      </w:pPr>
      <w:r>
        <w:rPr>
          <w:rFonts w:ascii="Arial" w:cs="Arial" w:eastAsia="Arial" w:hAnsi="Arial"/>
          <w:sz w:val="18"/>
          <w:szCs w:val="18"/>
          <w:color w:val="auto"/>
        </w:rPr>
        <w:t>Upon any such liquidation, dissolution or winding up and if we have made liquidating distributions in full to all holders of preferred stock, we will distribute our remaining assets among the holders of any other classes or series of capital stock ranking junior to the preferred stock according to their respective rights and preferences and, in each case, according to their respective number of shares. For such purposes, our consolidation or merger with or into any other corporation, trust or entity, or the sale, lease or conveyance of all or substantially all of our property or assets will not be deemed to constitute a liquidation, dissolution or winding up of our affairs.</w:t>
      </w:r>
    </w:p>
    <w:p>
      <w:pPr>
        <w:spacing w:after="0" w:line="188" w:lineRule="exact"/>
        <w:rPr>
          <w:sz w:val="20"/>
          <w:szCs w:val="20"/>
          <w:color w:val="auto"/>
        </w:rPr>
      </w:pPr>
    </w:p>
    <w:p>
      <w:pPr>
        <w:ind w:left="120" w:right="200"/>
        <w:spacing w:after="0" w:line="342" w:lineRule="auto"/>
        <w:rPr>
          <w:sz w:val="20"/>
          <w:szCs w:val="20"/>
          <w:color w:val="auto"/>
        </w:rPr>
      </w:pPr>
      <w:r>
        <w:rPr>
          <w:rFonts w:ascii="Arial" w:cs="Arial" w:eastAsia="Arial" w:hAnsi="Arial"/>
          <w:sz w:val="16"/>
          <w:szCs w:val="16"/>
          <w:i w:val="1"/>
          <w:iCs w:val="1"/>
          <w:color w:val="auto"/>
        </w:rPr>
        <w:t>Redemption</w:t>
      </w:r>
      <w:r>
        <w:rPr>
          <w:rFonts w:ascii="Arial" w:cs="Arial" w:eastAsia="Arial" w:hAnsi="Arial"/>
          <w:sz w:val="16"/>
          <w:szCs w:val="16"/>
          <w:color w:val="auto"/>
        </w:rPr>
        <w:t>. If so provided in the applicable prospectus supplement, the preferred stock will be subject to mandatory redemption or redemption at our</w:t>
      </w:r>
      <w:r>
        <w:rPr>
          <w:rFonts w:ascii="Arial" w:cs="Arial" w:eastAsia="Arial" w:hAnsi="Arial"/>
          <w:sz w:val="16"/>
          <w:szCs w:val="16"/>
          <w:i w:val="1"/>
          <w:iCs w:val="1"/>
          <w:color w:val="auto"/>
        </w:rPr>
        <w:t xml:space="preserve"> </w:t>
      </w:r>
      <w:r>
        <w:rPr>
          <w:rFonts w:ascii="Arial" w:cs="Arial" w:eastAsia="Arial" w:hAnsi="Arial"/>
          <w:sz w:val="16"/>
          <w:szCs w:val="16"/>
          <w:color w:val="auto"/>
        </w:rPr>
        <w:t>option, as a whole or in part, in each case upon the terms, at the times and at the redemption prices set forth in such prospectus supplement.</w:t>
      </w:r>
    </w:p>
    <w:p>
      <w:pPr>
        <w:spacing w:after="0" w:line="124" w:lineRule="exact"/>
        <w:rPr>
          <w:sz w:val="20"/>
          <w:szCs w:val="20"/>
          <w:color w:val="auto"/>
        </w:rPr>
      </w:pPr>
    </w:p>
    <w:p>
      <w:pPr>
        <w:ind w:left="120" w:right="40"/>
        <w:spacing w:after="0" w:line="279" w:lineRule="auto"/>
        <w:rPr>
          <w:sz w:val="20"/>
          <w:szCs w:val="20"/>
          <w:color w:val="auto"/>
        </w:rPr>
      </w:pPr>
      <w:r>
        <w:rPr>
          <w:rFonts w:ascii="Arial" w:cs="Arial" w:eastAsia="Arial" w:hAnsi="Arial"/>
          <w:sz w:val="17"/>
          <w:szCs w:val="17"/>
          <w:color w:val="auto"/>
        </w:rPr>
        <w:t>The prospectus supplement relating to a series of preferred stock that is subject to mandatory redemption will specify the number of shares of preferred stock that shall be redeemed by us in each year commencing after a date to be specified, at a redemption price per share to be specified, together with an amount equal to all accrued and unpaid dividends thereon to the date of redemption. Unless the shares have a cumulative dividend, such accrued dividends will not include any accumulation in respect of unpaid dividends for prior dividend periods.</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20"/>
          </w:cols>
          <w:pgMar w:left="320" w:top="459" w:right="4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55" w:lineRule="auto"/>
        <w:rPr>
          <w:sz w:val="20"/>
          <w:szCs w:val="20"/>
          <w:color w:val="auto"/>
        </w:rPr>
      </w:pPr>
      <w:r>
        <w:rPr>
          <w:rFonts w:ascii="Arial" w:cs="Arial" w:eastAsia="Arial" w:hAnsi="Arial"/>
          <w:sz w:val="18"/>
          <w:szCs w:val="18"/>
          <w:color w:val="auto"/>
        </w:rPr>
        <w:t>We may pay the redemption price in cash or other property, as specified in the applicable prospectus supplement. If the redemption price for preferred stock of any series is payable only from the net proceeds of the issuance of shares of our capital stock, the terms of such preferred stock may provide that, if no such shares of our capital stock shall have been issued or to the extent the net proceeds from any issuance are insufficient to pay in full the aggregate redemption price then due, such preferred stock shall automatically and mandatorily be converted into the applicable shares of our capital stock pursuant to conversion provisions specified in the applicable prospectus supplement. Notwithstanding the foregoing, we will not redeem any preferred stock of a series unless:</w:t>
      </w:r>
    </w:p>
    <w:p>
      <w:pPr>
        <w:spacing w:after="0" w:line="98" w:lineRule="exact"/>
        <w:rPr>
          <w:sz w:val="20"/>
          <w:szCs w:val="20"/>
          <w:color w:val="auto"/>
        </w:rPr>
      </w:pPr>
    </w:p>
    <w:p>
      <w:pPr>
        <w:ind w:left="1080" w:right="140" w:hanging="424"/>
        <w:spacing w:after="0" w:line="342" w:lineRule="auto"/>
        <w:tabs>
          <w:tab w:leader="none" w:pos="10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if that series of preferred stock has a cumulative dividend, we have declared and paid or contemporaneously declare and pay or set aside funds to pay full cumulative dividends on the preferred stock for all past dividend periods and the then current dividend period; or</w:t>
      </w:r>
    </w:p>
    <w:p>
      <w:pPr>
        <w:spacing w:after="0" w:line="29" w:lineRule="exact"/>
        <w:rPr>
          <w:rFonts w:ascii="Arial" w:cs="Arial" w:eastAsia="Arial" w:hAnsi="Arial"/>
          <w:sz w:val="16"/>
          <w:szCs w:val="16"/>
          <w:color w:val="auto"/>
        </w:rPr>
      </w:pPr>
    </w:p>
    <w:p>
      <w:pPr>
        <w:ind w:left="1080" w:hanging="424"/>
        <w:spacing w:after="0" w:line="277"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if such series of preferred stock does not have a cumulative dividend, we have declared and paid or contemporaneously declare and pay or set aside funds to pay full dividends for the then current dividend period.</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addition, we will not acquire any preferred stock of a series unless:</w:t>
      </w:r>
    </w:p>
    <w:p>
      <w:pPr>
        <w:spacing w:after="0" w:line="131" w:lineRule="exact"/>
        <w:rPr>
          <w:sz w:val="20"/>
          <w:szCs w:val="20"/>
          <w:color w:val="auto"/>
        </w:rPr>
      </w:pPr>
    </w:p>
    <w:p>
      <w:pPr>
        <w:ind w:left="1080" w:right="20" w:hanging="424"/>
        <w:spacing w:after="0" w:line="263"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if that series of preferred stock has a cumulative dividend, we have declared and paid or contemporaneously declare and pay or set aside funds to pay full cumulative dividends on all outstanding shares of such series of preferred stock for all past dividend periods and the then current dividend period; or</w:t>
      </w:r>
    </w:p>
    <w:p>
      <w:pPr>
        <w:spacing w:after="0" w:line="89" w:lineRule="exact"/>
        <w:rPr>
          <w:rFonts w:ascii="Arial" w:cs="Arial" w:eastAsia="Arial" w:hAnsi="Arial"/>
          <w:sz w:val="18"/>
          <w:szCs w:val="18"/>
          <w:color w:val="auto"/>
        </w:rPr>
      </w:pPr>
    </w:p>
    <w:p>
      <w:pPr>
        <w:ind w:left="1080" w:right="60" w:hanging="424"/>
        <w:spacing w:after="0" w:line="308" w:lineRule="auto"/>
        <w:tabs>
          <w:tab w:leader="none" w:pos="10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if that series of preferred stock does not have a cumulative dividend, we have declared and paid or contemporaneously declare and pay or set aside funds to pay full dividends on the preferred stock of such series for the then current dividend period.</w:t>
      </w:r>
    </w:p>
    <w:p>
      <w:pPr>
        <w:spacing w:after="0" w:line="146"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However, at any time we may purchase or acquire preferred stock of that series (1) pursuant to a purchase or exchange offer made on the same terms to holders of all outstanding preferred stock of such series or (2) by conversion into or exchange for shares of our capital stock ranking junior to the preferred stock of such series as to dividends and upon liquidation.</w:t>
      </w:r>
    </w:p>
    <w:p>
      <w:pPr>
        <w:spacing w:after="0" w:line="184" w:lineRule="exact"/>
        <w:rPr>
          <w:sz w:val="20"/>
          <w:szCs w:val="20"/>
          <w:color w:val="auto"/>
        </w:rPr>
      </w:pPr>
    </w:p>
    <w:p>
      <w:pPr>
        <w:ind w:left="120" w:right="140"/>
        <w:spacing w:after="0" w:line="311" w:lineRule="auto"/>
        <w:rPr>
          <w:sz w:val="20"/>
          <w:szCs w:val="20"/>
          <w:color w:val="auto"/>
        </w:rPr>
      </w:pPr>
      <w:r>
        <w:rPr>
          <w:rFonts w:ascii="Arial" w:cs="Arial" w:eastAsia="Arial" w:hAnsi="Arial"/>
          <w:sz w:val="16"/>
          <w:szCs w:val="16"/>
          <w:color w:val="auto"/>
        </w:rPr>
        <w:t>If fewer than all of the outstanding shares of preferred stock of any series are to be redeemed, we will determine the number of shares that may be redeemed pro rata from the holders of record of such shares in proportion to the number of such shares held or for which redemption is requested by such holder or by any other equitable manner that we determine. Such determination will reflect adjustments to avoid redemption of fractional shares.</w:t>
      </w:r>
    </w:p>
    <w:p>
      <w:pPr>
        <w:spacing w:after="0" w:line="149" w:lineRule="exact"/>
        <w:rPr>
          <w:sz w:val="20"/>
          <w:szCs w:val="20"/>
          <w:color w:val="auto"/>
        </w:rPr>
      </w:pPr>
    </w:p>
    <w:p>
      <w:pPr>
        <w:ind w:left="120" w:right="240"/>
        <w:spacing w:after="0" w:line="342" w:lineRule="auto"/>
        <w:rPr>
          <w:sz w:val="20"/>
          <w:szCs w:val="20"/>
          <w:color w:val="auto"/>
        </w:rPr>
      </w:pPr>
      <w:r>
        <w:rPr>
          <w:rFonts w:ascii="Arial" w:cs="Arial" w:eastAsia="Arial" w:hAnsi="Arial"/>
          <w:sz w:val="16"/>
          <w:szCs w:val="16"/>
          <w:color w:val="auto"/>
        </w:rPr>
        <w:t>Unless otherwise specified in the prospectus supplement, we will mail notice of redemption at least 30 days but not more than 60 days before the redemption date to each holder of record of preferred stock to be redeemed at the address shown on our stock transfer books. Each notice shall state:</w:t>
      </w:r>
    </w:p>
    <w:p>
      <w:pPr>
        <w:spacing w:after="0" w:line="29" w:lineRule="exact"/>
        <w:rPr>
          <w:sz w:val="20"/>
          <w:szCs w:val="20"/>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redemption date;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number of shares and series of preferred stock to be redeemed;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redemption price;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place or places where certificates for such preferred stock are to be surrendered for payment of the redemption price;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that dividends on the shares to be redeemed will cease to accrue on such redemption date;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date on which the holder’s conversion rights, if any, as to such shares shall terminate;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specific number of shares to be redeemed from each such holder if fewer than all the shares of any series are to be redeemed.</w:t>
      </w:r>
    </w:p>
    <w:p>
      <w:pPr>
        <w:spacing w:after="0" w:line="169" w:lineRule="exact"/>
        <w:rPr>
          <w:rFonts w:ascii="Arial" w:cs="Arial" w:eastAsia="Arial" w:hAnsi="Arial"/>
          <w:sz w:val="17"/>
          <w:szCs w:val="17"/>
          <w:color w:val="auto"/>
        </w:rPr>
      </w:pPr>
    </w:p>
    <w:p>
      <w:pPr>
        <w:ind w:left="5540"/>
        <w:spacing w:after="0"/>
        <w:rPr>
          <w:rFonts w:ascii="Arial" w:cs="Arial" w:eastAsia="Arial" w:hAnsi="Arial"/>
          <w:sz w:val="17"/>
          <w:szCs w:val="17"/>
          <w:color w:val="auto"/>
        </w:rPr>
      </w:pPr>
      <w:r>
        <w:rPr>
          <w:rFonts w:ascii="Arial" w:cs="Arial" w:eastAsia="Arial" w:hAnsi="Arial"/>
          <w:sz w:val="18"/>
          <w:szCs w:val="18"/>
          <w:color w:val="auto"/>
        </w:rPr>
        <w:t>21</w:t>
      </w:r>
    </w:p>
    <w:p>
      <w:pPr>
        <w:sectPr>
          <w:pgSz w:w="11900" w:h="16838" w:orient="portrait"/>
          <w:cols w:equalWidth="0" w:num="1">
            <w:col w:w="11040"/>
          </w:cols>
          <w:pgMar w:left="320" w:top="459" w:right="5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If notice of redemption has been given and we have set aside the funds necessary for such redemption in trust for the benefit of the holders of any shares called for redemption, then from and after the redemption date, dividends will cease to accrue on such shares, and all rights of the holders of such shares will terminate, except the right to receive the redemption price.</w:t>
      </w:r>
    </w:p>
    <w:p>
      <w:pPr>
        <w:spacing w:after="0" w:line="184" w:lineRule="exact"/>
        <w:rPr>
          <w:sz w:val="20"/>
          <w:szCs w:val="20"/>
          <w:color w:val="auto"/>
        </w:rPr>
      </w:pPr>
    </w:p>
    <w:p>
      <w:pPr>
        <w:ind w:left="120" w:right="700"/>
        <w:spacing w:after="0" w:line="277" w:lineRule="auto"/>
        <w:rPr>
          <w:sz w:val="20"/>
          <w:szCs w:val="20"/>
          <w:color w:val="auto"/>
        </w:rPr>
      </w:pPr>
      <w:r>
        <w:rPr>
          <w:rFonts w:ascii="Arial" w:cs="Arial" w:eastAsia="Arial" w:hAnsi="Arial"/>
          <w:sz w:val="18"/>
          <w:szCs w:val="18"/>
          <w:i w:val="1"/>
          <w:iCs w:val="1"/>
          <w:color w:val="auto"/>
        </w:rPr>
        <w:t>Voting Rights</w:t>
      </w:r>
      <w:r>
        <w:rPr>
          <w:rFonts w:ascii="Arial" w:cs="Arial" w:eastAsia="Arial" w:hAnsi="Arial"/>
          <w:sz w:val="18"/>
          <w:szCs w:val="18"/>
          <w:color w:val="auto"/>
        </w:rPr>
        <w:t>. Holders of preferred stock will not have any voting rights, except as required by law or as indicated in the applicable prospectus</w:t>
      </w:r>
      <w:r>
        <w:rPr>
          <w:rFonts w:ascii="Arial" w:cs="Arial" w:eastAsia="Arial" w:hAnsi="Arial"/>
          <w:sz w:val="18"/>
          <w:szCs w:val="18"/>
          <w:i w:val="1"/>
          <w:iCs w:val="1"/>
          <w:color w:val="auto"/>
        </w:rPr>
        <w:t xml:space="preserve"> </w:t>
      </w:r>
      <w:r>
        <w:rPr>
          <w:rFonts w:ascii="Arial" w:cs="Arial" w:eastAsia="Arial" w:hAnsi="Arial"/>
          <w:sz w:val="18"/>
          <w:szCs w:val="18"/>
          <w:color w:val="auto"/>
        </w:rPr>
        <w:t>supplement.</w:t>
      </w:r>
    </w:p>
    <w:p>
      <w:pPr>
        <w:spacing w:after="0" w:line="170" w:lineRule="exact"/>
        <w:rPr>
          <w:sz w:val="20"/>
          <w:szCs w:val="20"/>
          <w:color w:val="auto"/>
        </w:rPr>
      </w:pPr>
    </w:p>
    <w:p>
      <w:pPr>
        <w:ind w:left="120" w:right="180"/>
        <w:spacing w:after="0" w:line="257" w:lineRule="auto"/>
        <w:rPr>
          <w:sz w:val="20"/>
          <w:szCs w:val="20"/>
          <w:color w:val="auto"/>
        </w:rPr>
      </w:pPr>
      <w:r>
        <w:rPr>
          <w:rFonts w:ascii="Arial" w:cs="Arial" w:eastAsia="Arial" w:hAnsi="Arial"/>
          <w:sz w:val="18"/>
          <w:szCs w:val="18"/>
          <w:color w:val="auto"/>
        </w:rPr>
        <w:t>Unless otherwise provided for under the terms of any series of preferred stock, no consent or vote of the holders of shares of preferred stock or any series thereof shall be required for any amendment to our certificate of incorporation that would increase the number of authorized shares of preferred stock or the number of authorized shares of any series thereof or decrease the number of authorized shares of preferred stock or the number of authorized shares of any series thereof (but not below the number of authorized shares of preferred stock or such series, as the case may be, then outstanding).</w:t>
      </w:r>
    </w:p>
    <w:p>
      <w:pPr>
        <w:spacing w:after="0" w:line="188"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i w:val="1"/>
          <w:iCs w:val="1"/>
          <w:color w:val="auto"/>
        </w:rPr>
        <w:t>Conversion Rights</w:t>
      </w:r>
      <w:r>
        <w:rPr>
          <w:rFonts w:ascii="Arial" w:cs="Arial" w:eastAsia="Arial" w:hAnsi="Arial"/>
          <w:sz w:val="18"/>
          <w:szCs w:val="18"/>
          <w:color w:val="auto"/>
        </w:rPr>
        <w:t>. The terms and conditions, if any, upon which any series of preferred stock is convertible into shares of our common stock will be set</w:t>
      </w:r>
      <w:r>
        <w:rPr>
          <w:rFonts w:ascii="Arial" w:cs="Arial" w:eastAsia="Arial" w:hAnsi="Arial"/>
          <w:sz w:val="18"/>
          <w:szCs w:val="18"/>
          <w:i w:val="1"/>
          <w:iCs w:val="1"/>
          <w:color w:val="auto"/>
        </w:rPr>
        <w:t xml:space="preserve"> </w:t>
      </w:r>
      <w:r>
        <w:rPr>
          <w:rFonts w:ascii="Arial" w:cs="Arial" w:eastAsia="Arial" w:hAnsi="Arial"/>
          <w:sz w:val="18"/>
          <w:szCs w:val="18"/>
          <w:color w:val="auto"/>
        </w:rPr>
        <w:t>forth in the applicable prospectus supplement relating thereto. Such terms will include the number of shares of common stock into which the shares of preferred stock are convertible, the conversion price, rate or manner of calculation thereof, the conversion period, provisions as to whether conversion will be at our option or at the option of the holders of the preferred stock, the events requiring an adjustment of the conversion price and provisions affecting conversion in the event of the redemption.</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Transfer Agent and Registrar</w:t>
      </w:r>
      <w:r>
        <w:rPr>
          <w:rFonts w:ascii="Arial" w:cs="Arial" w:eastAsia="Arial" w:hAnsi="Arial"/>
          <w:sz w:val="17"/>
          <w:szCs w:val="17"/>
          <w:color w:val="auto"/>
        </w:rPr>
        <w:t>. The transfer agent and registrar for the preferred stock will be set forth in the applicable prospectus supplement.</w:t>
      </w:r>
    </w:p>
    <w:p>
      <w:pPr>
        <w:spacing w:after="0" w:line="34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Delaware Anti-Takeover Law and Certain Charter and Bylaw Provisions</w:t>
      </w:r>
    </w:p>
    <w:p>
      <w:pPr>
        <w:spacing w:after="0" w:line="121" w:lineRule="exact"/>
        <w:rPr>
          <w:sz w:val="20"/>
          <w:szCs w:val="20"/>
          <w:color w:val="auto"/>
        </w:rPr>
      </w:pPr>
    </w:p>
    <w:p>
      <w:pPr>
        <w:ind w:left="120" w:right="160"/>
        <w:spacing w:after="0" w:line="301" w:lineRule="auto"/>
        <w:rPr>
          <w:sz w:val="20"/>
          <w:szCs w:val="20"/>
          <w:color w:val="auto"/>
        </w:rPr>
      </w:pPr>
      <w:r>
        <w:rPr>
          <w:rFonts w:ascii="Arial" w:cs="Arial" w:eastAsia="Arial" w:hAnsi="Arial"/>
          <w:sz w:val="16"/>
          <w:szCs w:val="16"/>
          <w:color w:val="auto"/>
        </w:rPr>
        <w:t>Certain provisions of our certificate of incorporation, our bylaws and Delaware law may have the effect of making it more difficult for a third party to acquire, or of discouraging a third party from attempting to acquire, control of us. Such provisions could limit the price that certain investors might be willing to pay in the future for shares of our common stock and may limit the ability of stockholders to remove current management or directors or approve transactions that stockholders may deem to be in their best interest and, therefore, could adversely affect the price of our common stock.</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Delaware Law</w:t>
      </w:r>
    </w:p>
    <w:p>
      <w:pPr>
        <w:spacing w:after="0" w:line="117" w:lineRule="exact"/>
        <w:rPr>
          <w:sz w:val="20"/>
          <w:szCs w:val="20"/>
          <w:color w:val="auto"/>
        </w:rPr>
      </w:pPr>
    </w:p>
    <w:p>
      <w:pPr>
        <w:ind w:left="120" w:right="100"/>
        <w:spacing w:after="0" w:line="271" w:lineRule="auto"/>
        <w:rPr>
          <w:sz w:val="20"/>
          <w:szCs w:val="20"/>
          <w:color w:val="auto"/>
        </w:rPr>
      </w:pPr>
      <w:r>
        <w:rPr>
          <w:rFonts w:ascii="Arial" w:cs="Arial" w:eastAsia="Arial" w:hAnsi="Arial"/>
          <w:sz w:val="17"/>
          <w:szCs w:val="17"/>
          <w:color w:val="auto"/>
        </w:rPr>
        <w:t>We are subject to Section 203 of the Delaware General Corporation Law, or DGCL. Subject to certain exceptions, Section 203 prevents a publicly held Delaware corporation from engaging in a “business combination” with any “interested stockholder” for three years following the date that the person became an interested stockholder, unless either the interested stockholder attained such status with the approval of our board of directors, the business combination is approved by our board of directors and stockholders in a prescribed manner or the interested stockholder acquired at least 85% of our outstanding voting stock in the transaction in which it became an interested stockholder. A “business combination” includes, among other things, a merger or consolidation involving us and the “interested stockholder” and the sale of more than 10% of our assets. In general, an “interested stockholder” is any entity or person beneficially owning 15% or more of our outstanding voting stock and any entity or person affiliated with or controlling or controlled by such entity or person.</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Staggered Board; Removal of Directors</w:t>
      </w:r>
    </w:p>
    <w:p>
      <w:pPr>
        <w:spacing w:after="0" w:line="117" w:lineRule="exact"/>
        <w:rPr>
          <w:sz w:val="20"/>
          <w:szCs w:val="20"/>
          <w:color w:val="auto"/>
        </w:rPr>
      </w:pPr>
    </w:p>
    <w:p>
      <w:pPr>
        <w:ind w:left="120" w:right="240"/>
        <w:spacing w:after="0" w:line="263" w:lineRule="auto"/>
        <w:rPr>
          <w:sz w:val="20"/>
          <w:szCs w:val="20"/>
          <w:color w:val="auto"/>
        </w:rPr>
      </w:pPr>
      <w:r>
        <w:rPr>
          <w:rFonts w:ascii="Arial" w:cs="Arial" w:eastAsia="Arial" w:hAnsi="Arial"/>
          <w:sz w:val="18"/>
          <w:szCs w:val="18"/>
          <w:color w:val="auto"/>
        </w:rPr>
        <w:t>Our certificate of incorporation and our bylaws divide our board of directors into three classes with staggered three-year terms. In addition, our certificate of incorporation and our bylaws provide that directors may be removed only for cause and only by the affirmative vote of the holders of at least 75% of our shares of capital</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80"/>
          </w:cols>
          <w:pgMar w:left="320" w:top="459" w:right="49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stock present in person or by proxy and entitled to vote in an election of directors or class of directors. Under our certificate of incorporation and our bylaws, any vacancy on our board of directors, including a vacancy resulting from an enlargement of our board of directors, may be filled only by vote of a majority of our directors then in office. Furthermore, our certificate of incorporation provides that the authorized number of directors may be changed only by the resolution of our board of directors. The classification of our board of directors and the limitations on the ability of our stockholders to remove directors, change the authorized number of directors and fill vacancies could make it more difficult for a third party to acquire, or discourage a third party from seeking to acquire, control of our company.</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Stockholder Action; Special Meeting of Stockholders; Advance Notice Requirements for Stockholder Proposals and Director Nominations</w:t>
      </w:r>
    </w:p>
    <w:p>
      <w:pPr>
        <w:spacing w:after="0" w:line="140" w:lineRule="exact"/>
        <w:rPr>
          <w:sz w:val="20"/>
          <w:szCs w:val="20"/>
          <w:color w:val="auto"/>
        </w:rPr>
      </w:pPr>
    </w:p>
    <w:p>
      <w:pPr>
        <w:ind w:left="120" w:right="40"/>
        <w:spacing w:after="0" w:line="269" w:lineRule="auto"/>
        <w:rPr>
          <w:sz w:val="20"/>
          <w:szCs w:val="20"/>
          <w:color w:val="auto"/>
        </w:rPr>
      </w:pPr>
      <w:r>
        <w:rPr>
          <w:rFonts w:ascii="Arial" w:cs="Arial" w:eastAsia="Arial" w:hAnsi="Arial"/>
          <w:sz w:val="17"/>
          <w:szCs w:val="17"/>
          <w:color w:val="auto"/>
        </w:rPr>
        <w:t>Our certificate of incorporation and our bylaws provide that any action required or permitted to be taken by our stockholders at an annual meeting or special meeting of stockholders may only be taken if it is properly brought before such meeting and may not be taken by written action in lieu of a meeting. Our certificate of incorporation and our bylaws also provide that, except as otherwise required by law, special meetings of the stockholders can only be called by our board of directors. In addition, our bylaws establish an advance notice procedure for stockholder proposals to be brought before an annual meeting of stockholders, including proposed nominations of candidates for election to our board of directors. Stockholders at an annual meeting may only consider proposals or nominations specified in the notice of meeting or brought before the meeting by or at the direction of our board of directors, or by a stockholder of record on the record date for the meeting who is entitled to vote at the meeting and who has delivered timely written notice in proper form to our secretary of the stockholder’s intention to bring such business before the meeting. These provisions could have the effect of delaying until the next stockholder meeting stockholder actions that are favored by the holders of a majority of our outstanding voting securities. These provisions also could discourage a third party from making a tender offer for our common stock because even if the third party acquired a majority of our outstanding voting stock, it would be able to take action as a stockholder, such as electing new directors or approving a merger, only at a duly called stockholders meeting and not by written consent.</w:t>
      </w:r>
    </w:p>
    <w:p>
      <w:pPr>
        <w:spacing w:after="0" w:line="2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Super-Majority Voting</w:t>
      </w:r>
    </w:p>
    <w:p>
      <w:pPr>
        <w:spacing w:after="0" w:line="117" w:lineRule="exact"/>
        <w:rPr>
          <w:sz w:val="20"/>
          <w:szCs w:val="20"/>
          <w:color w:val="auto"/>
        </w:rPr>
      </w:pPr>
    </w:p>
    <w:p>
      <w:pPr>
        <w:ind w:left="120" w:right="20"/>
        <w:spacing w:after="0" w:line="273" w:lineRule="auto"/>
        <w:rPr>
          <w:sz w:val="20"/>
          <w:szCs w:val="20"/>
          <w:color w:val="auto"/>
        </w:rPr>
      </w:pPr>
      <w:r>
        <w:rPr>
          <w:rFonts w:ascii="Arial" w:cs="Arial" w:eastAsia="Arial" w:hAnsi="Arial"/>
          <w:sz w:val="17"/>
          <w:szCs w:val="17"/>
          <w:color w:val="auto"/>
        </w:rPr>
        <w:t>The DGCL provides generally that the affirmative vote of a majority of the shares entitled to vote on any matter is required to amend a corporation’s certificate of incorporation or bylaws unless a corporation’s certificate of incorporation or bylaws, as the case may be, requires a greater percentage. Our bylaws may be amended or repealed by a majority vote of our board of directors or the affirmative vote of the holders of at least 75% of the votes that all our stockholders would be entitled to cast in any annual election of directors. In addition, the affirmative vote of the holders of at least 75% of the votes that all our stockholders would be entitled to cast in any election of directors is required to amend or repeal or to adopt any provisions inconsistent with any of the provisions of our certificate of incorporation described above.</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Exclusive Forum Selection</w:t>
      </w:r>
    </w:p>
    <w:p>
      <w:pPr>
        <w:spacing w:after="0" w:line="117" w:lineRule="exact"/>
        <w:rPr>
          <w:sz w:val="20"/>
          <w:szCs w:val="20"/>
          <w:color w:val="auto"/>
        </w:rPr>
      </w:pPr>
    </w:p>
    <w:p>
      <w:pPr>
        <w:ind w:left="120" w:right="20"/>
        <w:spacing w:after="0" w:line="271" w:lineRule="auto"/>
        <w:rPr>
          <w:sz w:val="20"/>
          <w:szCs w:val="20"/>
          <w:color w:val="auto"/>
        </w:rPr>
      </w:pPr>
      <w:r>
        <w:rPr>
          <w:rFonts w:ascii="Arial" w:cs="Arial" w:eastAsia="Arial" w:hAnsi="Arial"/>
          <w:sz w:val="17"/>
          <w:szCs w:val="17"/>
          <w:color w:val="auto"/>
        </w:rPr>
        <w:t>Our certificate of incorporation provides that, unless we consent in writing to the selection of an alternative forum, the Court of Chancery of the State of Delaware (or, if the Court of Chancery of the State of Delaware does not have jurisdiction, the federal district court for the District of Delaware) shall be the sole and exclusive forum for (1) any derivative action or proceeding brought on our behalf, (2) any action asserting a claim of breach of a fiduciary duty owed by any of our directors, officers, other employees or stockholders to our company or our stockholders, (3) any action asserting a claim arising pursuant to any provision of the DGCL or as to which the DGCL confers jurisdiction on the Court of Chancery of the State of Delaware or (4) any action asserting a claim arising pursuant to any provision of our certificate of incorporation or bylaws (in each case, as they may be amended from time to time) or governed by the internal affairs doctrine. This exclusive forum provision will not apply to actions arising under the Securities Act or the Exchange Act. Although our certificate</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20"/>
          </w:cols>
          <w:pgMar w:left="320" w:top="459" w:right="4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of incorporation contains the choice of forum provision described above, it is possible that a court could rule that such a provision is inapplicable for a particular claim or action or that such provision is unenforceable.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Investors’ Rights Agreement</w:t>
      </w:r>
    </w:p>
    <w:p>
      <w:pPr>
        <w:spacing w:after="0" w:line="117"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We have entered into an amended and restated investors’ rights agreement dated as of August 24, 2018, or the investors’ rights agreement, with certain holders of our common stock who have the right to require us to register such shares of common stock under the Securities Act under specified circumstances. We refer to the shares with these registration rights as registrable securities. After registration pursuant to these rights, the registrable securities will become freely tradable without restriction under the Securities Act.</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Demand and Form S-3 Registration Rights</w:t>
      </w:r>
    </w:p>
    <w:p>
      <w:pPr>
        <w:spacing w:after="0" w:line="117" w:lineRule="exact"/>
        <w:rPr>
          <w:sz w:val="20"/>
          <w:szCs w:val="20"/>
          <w:color w:val="auto"/>
        </w:rPr>
      </w:pPr>
    </w:p>
    <w:p>
      <w:pPr>
        <w:ind w:left="120" w:right="240"/>
        <w:spacing w:after="0" w:line="259" w:lineRule="auto"/>
        <w:rPr>
          <w:sz w:val="20"/>
          <w:szCs w:val="20"/>
          <w:color w:val="auto"/>
        </w:rPr>
      </w:pPr>
      <w:r>
        <w:rPr>
          <w:rFonts w:ascii="Arial" w:cs="Arial" w:eastAsia="Arial" w:hAnsi="Arial"/>
          <w:sz w:val="18"/>
          <w:szCs w:val="18"/>
          <w:color w:val="auto"/>
        </w:rPr>
        <w:t>Subject to specified limitations set forth in the investors’ rights agreement, at any time, the holders of at least 40% of the then outstanding registrable securities may demand that we register at least 40% of the registrable securities then outstanding under the Securities Act for purposes of a public offering having an aggregate offering price to the public of not less than $5.0 million. We are not obligated to file a registration statement pursuant to this provision on more than two occasions.</w:t>
      </w:r>
    </w:p>
    <w:p>
      <w:pPr>
        <w:spacing w:after="0" w:line="187" w:lineRule="exact"/>
        <w:rPr>
          <w:sz w:val="20"/>
          <w:szCs w:val="20"/>
          <w:color w:val="auto"/>
        </w:rPr>
      </w:pPr>
    </w:p>
    <w:p>
      <w:pPr>
        <w:ind w:left="120" w:right="80"/>
        <w:spacing w:after="0" w:line="301" w:lineRule="auto"/>
        <w:rPr>
          <w:sz w:val="20"/>
          <w:szCs w:val="20"/>
          <w:color w:val="auto"/>
        </w:rPr>
      </w:pPr>
      <w:r>
        <w:rPr>
          <w:rFonts w:ascii="Arial" w:cs="Arial" w:eastAsia="Arial" w:hAnsi="Arial"/>
          <w:sz w:val="16"/>
          <w:szCs w:val="16"/>
          <w:color w:val="auto"/>
        </w:rPr>
        <w:t>In addition, subject to specified limitations set forth in the investors’ rights agreement, at any time after we become eligible to file a registration statement on Form S-3, the holders of at least 25% of the then outstanding registrable securities may request that we register their registrable securities on Form S-3 for purposes of a public offering for which the reasonably anticipated aggregate offering price to the public would be at least $3.0 million. We are not obligated to file a registration statement pursuant to this provision on more than two occasions in any 12-month period.</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Incidental Registration Rights</w:t>
      </w:r>
    </w:p>
    <w:p>
      <w:pPr>
        <w:spacing w:after="0" w:line="117"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If, at any time, we propose to register for our own account (including, for this purpose, a registration effected by us for stockholders who are not holders of registrable securities under the investors’ rights agreement) any of our securities under the Securities Act, the holders of registrable securities will be entitled to notice of the registration and, subject to specified exceptions, have the right to require us to use our commercially reasonable efforts to register all or a portion of the registrable securities then held by them in that registration.</w:t>
      </w:r>
    </w:p>
    <w:p>
      <w:pPr>
        <w:spacing w:after="0" w:line="187"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In the event that any registration in which the holders of registrable securities participate pursuant to our investors’ rights agreement is an underwritten public offering, we have agreed to enter into an underwriting agreement in usual and customary form and use our reasonable best efforts to facilitate such offering.</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Expenses</w:t>
      </w:r>
    </w:p>
    <w:p>
      <w:pPr>
        <w:spacing w:after="0" w:line="117" w:lineRule="exact"/>
        <w:rPr>
          <w:sz w:val="20"/>
          <w:szCs w:val="20"/>
          <w:color w:val="auto"/>
        </w:rPr>
      </w:pPr>
    </w:p>
    <w:p>
      <w:pPr>
        <w:ind w:left="120" w:right="160"/>
        <w:spacing w:after="0" w:line="273" w:lineRule="auto"/>
        <w:rPr>
          <w:sz w:val="20"/>
          <w:szCs w:val="20"/>
          <w:color w:val="auto"/>
        </w:rPr>
      </w:pPr>
      <w:r>
        <w:rPr>
          <w:rFonts w:ascii="Arial" w:cs="Arial" w:eastAsia="Arial" w:hAnsi="Arial"/>
          <w:sz w:val="17"/>
          <w:szCs w:val="17"/>
          <w:color w:val="auto"/>
        </w:rPr>
        <w:t>Pursuant to the investors’ rights agreement, we are required to pay all registration expenses, including all registration and filing fees, exchange listing fees, printing expenses, fees and expenses of one counsel selected by the selling stockholders to represent the selling stockholders, state Blue Sky fees and expenses, and the expense of any special audits incident to or required by any such registration, but excluding underwriting discounts, selling commissions, stock transfer taxes applicable to the sale any registrable securities and the fees and expenses of the selling stockholders’ own counsel (other than the counsel selected to represent all selling stockholders). If a registration is withdrawn at the request of the stockholders initiating the registration, then the stockholders will bear the expenses of the registration.</w:t>
      </w:r>
    </w:p>
    <w:p>
      <w:pPr>
        <w:spacing w:after="0" w:line="178" w:lineRule="exact"/>
        <w:rPr>
          <w:sz w:val="20"/>
          <w:szCs w:val="20"/>
          <w:color w:val="auto"/>
        </w:rPr>
      </w:pPr>
    </w:p>
    <w:p>
      <w:pPr>
        <w:ind w:left="120" w:right="460"/>
        <w:spacing w:after="0" w:line="277" w:lineRule="auto"/>
        <w:rPr>
          <w:sz w:val="20"/>
          <w:szCs w:val="20"/>
          <w:color w:val="auto"/>
        </w:rPr>
      </w:pPr>
      <w:r>
        <w:rPr>
          <w:rFonts w:ascii="Arial" w:cs="Arial" w:eastAsia="Arial" w:hAnsi="Arial"/>
          <w:sz w:val="18"/>
          <w:szCs w:val="18"/>
          <w:color w:val="auto"/>
        </w:rPr>
        <w:t>The investors’ rights agreement contains customary cross-indemnification provisions, pursuant to which we are obligated to indemnify the selling stockholders in the event of material misstatements or omissions in the</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80"/>
          </w:cols>
          <w:pgMar w:left="320" w:top="459" w:right="49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registration statement attributable to us or any violation or alleged violation whether by action or inaction by us under the Securities Act, the Exchange Act, any state securities or Blue Sky law or any rule or regulation promulgated under the Securities Act, the Exchange Act or any state securities or Blue Sky law in connection with such registration statement or the qualification or compliance of the offering, and they are obligated to indemnify us for material misstatements or omissions in the registration statement attributable to them.</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Transfer Agent and Registrar</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transfer agent and registrar for our common stock is Computershare Trust Company, N.A.</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Nasdaq Global Market</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common stock is listed on the Nasdaq Global Market under the symbol “FULC.”</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00"/>
          </w:cols>
          <w:pgMar w:left="320" w:top="459" w:right="4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DESCRIPTION OF DEPOSITARY SHARES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We may, at our option, elect to offer fractional shares of preferred stock, which we call depositary shares, rather than full shares of preferred stock. If we do, we will issue to the public receipts, called depositary receipts, for depositary shares, each of which will represent a fraction, to be described in the applicable prospectus supplement, of a share of a particular series of preferred stock. Unless otherwise provided in the prospectus supplement, each owner of a depositary share will be entitled, in proportion to the applicable fractional interest in a share of preferred stock represented by the depositary share, to all the rights and preferences of the preferred stock represented by the depositary share. Those rights include dividend, voting, redemption, conversion and liquidation rights.</w:t>
      </w:r>
    </w:p>
    <w:p>
      <w:pPr>
        <w:spacing w:after="0" w:line="192" w:lineRule="exact"/>
        <w:rPr>
          <w:sz w:val="20"/>
          <w:szCs w:val="20"/>
          <w:color w:val="auto"/>
        </w:rPr>
      </w:pPr>
    </w:p>
    <w:p>
      <w:pPr>
        <w:jc w:val="both"/>
        <w:ind w:left="120" w:right="40"/>
        <w:spacing w:after="0" w:line="263" w:lineRule="auto"/>
        <w:rPr>
          <w:sz w:val="20"/>
          <w:szCs w:val="20"/>
          <w:color w:val="auto"/>
        </w:rPr>
      </w:pPr>
      <w:r>
        <w:rPr>
          <w:rFonts w:ascii="Arial" w:cs="Arial" w:eastAsia="Arial" w:hAnsi="Arial"/>
          <w:sz w:val="18"/>
          <w:szCs w:val="18"/>
          <w:color w:val="auto"/>
        </w:rPr>
        <w:t>The shares of preferred stock underlying the depositary shares will be deposited with a bank or trust company selected by us to act as depositary under a deposit agreement between us, the depositary and the holders of the depositary receipts. The depositary will be the transfer agent, registrar and dividend disbursing agent for the depositary shares.</w:t>
      </w:r>
    </w:p>
    <w:p>
      <w:pPr>
        <w:spacing w:after="0" w:line="184" w:lineRule="exact"/>
        <w:rPr>
          <w:sz w:val="20"/>
          <w:szCs w:val="20"/>
          <w:color w:val="auto"/>
        </w:rPr>
      </w:pPr>
    </w:p>
    <w:p>
      <w:pPr>
        <w:ind w:left="120" w:right="220"/>
        <w:spacing w:after="0" w:line="263" w:lineRule="auto"/>
        <w:rPr>
          <w:sz w:val="20"/>
          <w:szCs w:val="20"/>
          <w:color w:val="auto"/>
        </w:rPr>
      </w:pPr>
      <w:r>
        <w:rPr>
          <w:rFonts w:ascii="Arial" w:cs="Arial" w:eastAsia="Arial" w:hAnsi="Arial"/>
          <w:sz w:val="18"/>
          <w:szCs w:val="18"/>
          <w:color w:val="auto"/>
        </w:rPr>
        <w:t>The depositary shares will be evidenced by depositary receipts issued pursuant to the deposit agreement. Holders of depositary receipts agree to be bound by the deposit agreement, which requires holders to take certain actions such as filing proof of residence with and paying certain charges to the depositary.</w:t>
      </w:r>
    </w:p>
    <w:p>
      <w:pPr>
        <w:spacing w:after="0" w:line="184"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The summary of terms of the depositary shares contained in this prospectus is not a complete description of the terms of the depositary shares. You should refer to the form of the deposit agreement, our certificate of incorporation and the certificate of designation for the applicable series of preferred stock that are, or will be, filed with the SEC.</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Dividends and Other Distributions</w:t>
      </w:r>
    </w:p>
    <w:p>
      <w:pPr>
        <w:spacing w:after="0" w:line="121" w:lineRule="exact"/>
        <w:rPr>
          <w:sz w:val="20"/>
          <w:szCs w:val="20"/>
          <w:color w:val="auto"/>
        </w:rPr>
      </w:pPr>
    </w:p>
    <w:p>
      <w:pPr>
        <w:jc w:val="both"/>
        <w:ind w:left="120" w:right="200"/>
        <w:spacing w:after="0" w:line="286" w:lineRule="auto"/>
        <w:rPr>
          <w:sz w:val="20"/>
          <w:szCs w:val="20"/>
          <w:color w:val="auto"/>
        </w:rPr>
      </w:pPr>
      <w:r>
        <w:rPr>
          <w:rFonts w:ascii="Arial" w:cs="Arial" w:eastAsia="Arial" w:hAnsi="Arial"/>
          <w:sz w:val="17"/>
          <w:szCs w:val="17"/>
          <w:color w:val="auto"/>
        </w:rPr>
        <w:t>The depositary will distribute all cash dividends or other cash distributions, if any, received in respect of the preferred stock underlying the depositary shares to the record holders of depositary shares in proportion to the numbers of depositary shares owned by those holders on the relevant record date. The relevant record date for depositary shares will be the same date as the record date for the underlying preferred stock.</w:t>
      </w:r>
    </w:p>
    <w:p>
      <w:pPr>
        <w:spacing w:after="0" w:line="165" w:lineRule="exact"/>
        <w:rPr>
          <w:sz w:val="20"/>
          <w:szCs w:val="20"/>
          <w:color w:val="auto"/>
        </w:rPr>
      </w:pPr>
    </w:p>
    <w:p>
      <w:pPr>
        <w:ind w:left="120" w:right="80"/>
        <w:spacing w:after="0" w:line="286" w:lineRule="auto"/>
        <w:rPr>
          <w:sz w:val="20"/>
          <w:szCs w:val="20"/>
          <w:color w:val="auto"/>
        </w:rPr>
      </w:pPr>
      <w:r>
        <w:rPr>
          <w:rFonts w:ascii="Arial" w:cs="Arial" w:eastAsia="Arial" w:hAnsi="Arial"/>
          <w:sz w:val="17"/>
          <w:szCs w:val="17"/>
          <w:color w:val="auto"/>
        </w:rPr>
        <w:t>If there is a distribution other than in cash, the depositary will distribute property (including securities) received by it to the record holders of depositary shares, unless the depositary determines that it is not feasible to make the distribution. If this occurs, the depositary may, with our approval, adopt another method for the distribution, including selling the property and distributing the net proceeds from the sale to the holders.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Liquidation Preference</w:t>
      </w:r>
    </w:p>
    <w:p>
      <w:pPr>
        <w:spacing w:after="0" w:line="121"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auto"/>
        </w:rPr>
        <w:t>If a series of preferred stock underlying the depositary shares has a liquidation preference, in the event of the voluntary or involuntary liquidation, dissolution or winding up of us, holders of depositary shares will be entitled to receive the fraction of the liquidation preference accorded each share of the applicable series of preferred stock, as set forth in the applicable prospectus supplement.</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Withdrawal of Stock</w:t>
      </w:r>
    </w:p>
    <w:p>
      <w:pPr>
        <w:spacing w:after="0" w:line="121" w:lineRule="exact"/>
        <w:rPr>
          <w:sz w:val="20"/>
          <w:szCs w:val="20"/>
          <w:color w:val="auto"/>
        </w:rPr>
      </w:pPr>
    </w:p>
    <w:p>
      <w:pPr>
        <w:jc w:val="both"/>
        <w:ind w:left="120"/>
        <w:spacing w:after="0" w:line="311" w:lineRule="auto"/>
        <w:rPr>
          <w:sz w:val="20"/>
          <w:szCs w:val="20"/>
          <w:color w:val="auto"/>
        </w:rPr>
      </w:pPr>
      <w:r>
        <w:rPr>
          <w:rFonts w:ascii="Arial" w:cs="Arial" w:eastAsia="Arial" w:hAnsi="Arial"/>
          <w:sz w:val="16"/>
          <w:szCs w:val="16"/>
          <w:color w:val="auto"/>
        </w:rPr>
        <w:t>Unless the related depositary shares have been previously called for redemption, upon surrender of the depositary receipts at the office of the depositary, the holder of the depositary shares will be entitled to delivery, at the office of the depositary to or upon his or her order, of the number of whole shares of the preferred stock and any money or other property represented by the depositary shares. If the depositary receipts delivered by the holder evidence</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20"/>
          </w:cols>
          <w:pgMar w:left="320" w:top="459" w:right="4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a number of depositary shares in excess of the number of depositary shares representing the number of whole shares of preferred stock to be withdrawn, the depositary will deliver to the holder at the same time a new depositary receipt evidencing the excess number of depositary shares. In no event will the depositary deliver fractional shares of preferred stock upon surrender of depositary receipts. Holders of preferred stock thus withdrawn may not thereafter deposit those shares under the deposit agreement or receive depositary receipts evidencing depositary shares therefor.</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Redemption of Depositary Shares</w:t>
      </w:r>
    </w:p>
    <w:p>
      <w:pPr>
        <w:spacing w:after="0" w:line="121" w:lineRule="exact"/>
        <w:rPr>
          <w:sz w:val="20"/>
          <w:szCs w:val="20"/>
          <w:color w:val="auto"/>
        </w:rPr>
      </w:pPr>
    </w:p>
    <w:p>
      <w:pPr>
        <w:ind w:left="120" w:right="40"/>
        <w:spacing w:after="0" w:line="293" w:lineRule="auto"/>
        <w:rPr>
          <w:sz w:val="20"/>
          <w:szCs w:val="20"/>
          <w:color w:val="auto"/>
        </w:rPr>
      </w:pPr>
      <w:r>
        <w:rPr>
          <w:rFonts w:ascii="Arial" w:cs="Arial" w:eastAsia="Arial" w:hAnsi="Arial"/>
          <w:sz w:val="16"/>
          <w:szCs w:val="16"/>
          <w:color w:val="auto"/>
        </w:rPr>
        <w:t>Whenever we redeem shares of preferred stock held by the depositary, the depositary will redeem as of the same redemption date the number of depositary shares representing shares of the preferred stock so redeemed, so long as we have paid in full to the depositary the redemption price of the preferred stock to be redeemed plus an amount equal to any accumulated and unpaid dividends on the preferred stock to the date fixed for redemption. The redemption price per depositary share will be equal to the redemption price and any other amounts per share payable on the preferred stock multiplied by the fraction of a share of preferred stock represented by one depositary share. If less than all the depositary shares are to be redeemed, the depositary shares to be redeemed will be selected by lot or pro rata or by any other equitable method as may be determined by the depositary.</w:t>
      </w:r>
    </w:p>
    <w:p>
      <w:pPr>
        <w:spacing w:after="0" w:line="164" w:lineRule="exact"/>
        <w:rPr>
          <w:sz w:val="20"/>
          <w:szCs w:val="20"/>
          <w:color w:val="auto"/>
        </w:rPr>
      </w:pPr>
    </w:p>
    <w:p>
      <w:pPr>
        <w:jc w:val="both"/>
        <w:ind w:left="120" w:right="120"/>
        <w:spacing w:after="0" w:line="311" w:lineRule="auto"/>
        <w:rPr>
          <w:sz w:val="20"/>
          <w:szCs w:val="20"/>
          <w:color w:val="auto"/>
        </w:rPr>
      </w:pPr>
      <w:r>
        <w:rPr>
          <w:rFonts w:ascii="Arial" w:cs="Arial" w:eastAsia="Arial" w:hAnsi="Arial"/>
          <w:sz w:val="16"/>
          <w:szCs w:val="16"/>
          <w:color w:val="auto"/>
        </w:rPr>
        <w:t>After the date fixed for redemption, depositary shares called for redemption will no longer be deemed to be outstanding and all rights of the holders of depositary shares will cease, except the right to receive the monies payable upon redemption and any money or other property to which the holders of the depositary shares were entitled upon redemption upon surrender to the depositary of the depositary receipts evidencing the depositary shares.</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Voting the Preferred Stock</w:t>
      </w:r>
    </w:p>
    <w:p>
      <w:pPr>
        <w:spacing w:after="0" w:line="121" w:lineRule="exact"/>
        <w:rPr>
          <w:sz w:val="20"/>
          <w:szCs w:val="20"/>
          <w:color w:val="auto"/>
        </w:rPr>
      </w:pPr>
    </w:p>
    <w:p>
      <w:pPr>
        <w:ind w:left="120" w:right="40"/>
        <w:spacing w:after="0" w:line="290" w:lineRule="auto"/>
        <w:rPr>
          <w:sz w:val="20"/>
          <w:szCs w:val="20"/>
          <w:color w:val="auto"/>
        </w:rPr>
      </w:pPr>
      <w:r>
        <w:rPr>
          <w:rFonts w:ascii="Arial" w:cs="Arial" w:eastAsia="Arial" w:hAnsi="Arial"/>
          <w:sz w:val="16"/>
          <w:szCs w:val="16"/>
          <w:color w:val="auto"/>
        </w:rPr>
        <w:t>Upon receipt of notice of any meeting at which the holders of the preferred stock are entitled to vote, the depositary will mail the information contained in the notice of meeting to the record holders of the depositary receipts relating to that preferred stock. The record date for the depositary receipts relating to the preferred stock will be the same date as the record date for the preferred stock. Each record holder of the depositary shares on the record date will be entitled to instruct the depositary as to the exercise of the voting rights pertaining to the number of shares of preferred stock represented by that holder’s depositary shares. The depositary will endeavor, insofar as practicable, to vote the number of shares of preferred stock represented by the depositary shares in accordance with those instructions, and we will agree to take all action that may be deemed necessary by the depositary in order to enable the depositary to do so. The depositary will not vote any shares of preferred stock except to the extent it receives specific instructions from the holders of depositary shares representing that number of shares of preferred stock.</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Charges of Depositary</w:t>
      </w:r>
    </w:p>
    <w:p>
      <w:pPr>
        <w:spacing w:after="0" w:line="121" w:lineRule="exact"/>
        <w:rPr>
          <w:sz w:val="20"/>
          <w:szCs w:val="20"/>
          <w:color w:val="auto"/>
        </w:rPr>
      </w:pPr>
    </w:p>
    <w:p>
      <w:pPr>
        <w:ind w:left="120" w:right="140"/>
        <w:spacing w:after="0" w:line="254" w:lineRule="auto"/>
        <w:rPr>
          <w:sz w:val="20"/>
          <w:szCs w:val="20"/>
          <w:color w:val="auto"/>
        </w:rPr>
      </w:pPr>
      <w:r>
        <w:rPr>
          <w:rFonts w:ascii="Arial" w:cs="Arial" w:eastAsia="Arial" w:hAnsi="Arial"/>
          <w:sz w:val="18"/>
          <w:szCs w:val="18"/>
          <w:color w:val="auto"/>
        </w:rPr>
        <w:t>We will pay all transfer and other taxes and governmental charges arising solely from the existence of the depositary arrangements. We will pay the charges due to the depositary in connection with the initial deposit of the preferred stock and any redemption of the preferred stock. Holders of depositary receipts will pay transfer, income and other taxes and governmental charges and such other charges (including those in connection with the receipt and distribution of dividends, the sale or exercise of rights, the withdrawal of the preferred stock and the transferring, splitting or grouping of depositary receipts) as are expressly provided in the deposit agreement to be for their accounts. If these charges have not been paid by the holders of depositary receipts, the depositary may refuse to transfer depositary shares, withhold dividends and distributions and sell the depositary shares evidenced by the depositary receipt.</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Amendment and Termination of the Deposit Agreement</w:t>
      </w:r>
    </w:p>
    <w:p>
      <w:pPr>
        <w:spacing w:after="0" w:line="121"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The form of depositary receipt evidencing the depositary shares and any provision of the deposit agreement may be amended by agreement between us and the depositary. However, any amendment that materially and</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60"/>
          </w:cols>
          <w:pgMar w:left="320" w:top="459" w:right="51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adversely alters the rights of the holders of depositary shares, other than fee changes, will not be effective unless the amendment has been approved by the holders of a majority of the outstanding depositary shares affected by the amendment. The deposit agreement may be terminated by the depositary or us only if:</w:t>
      </w:r>
    </w:p>
    <w:p>
      <w:pPr>
        <w:spacing w:after="0" w:line="89" w:lineRule="exact"/>
        <w:rPr>
          <w:sz w:val="20"/>
          <w:szCs w:val="20"/>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all outstanding depositary shares have been redeemed; or</w:t>
      </w:r>
    </w:p>
    <w:p>
      <w:pPr>
        <w:spacing w:after="0" w:line="130"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there has been a final distribution of the preferred stock in connection with our dissolution and such distribution has been made to all the holders of depositary shares.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Resignation and Removal of Depositary</w:t>
      </w:r>
    </w:p>
    <w:p>
      <w:pPr>
        <w:spacing w:after="0" w:line="121" w:lineRule="exact"/>
        <w:rPr>
          <w:sz w:val="20"/>
          <w:szCs w:val="20"/>
          <w:color w:val="auto"/>
        </w:rPr>
      </w:pPr>
    </w:p>
    <w:p>
      <w:pPr>
        <w:ind w:left="120" w:right="20"/>
        <w:spacing w:after="0" w:line="301" w:lineRule="auto"/>
        <w:rPr>
          <w:sz w:val="20"/>
          <w:szCs w:val="20"/>
          <w:color w:val="auto"/>
        </w:rPr>
      </w:pPr>
      <w:r>
        <w:rPr>
          <w:rFonts w:ascii="Arial" w:cs="Arial" w:eastAsia="Arial" w:hAnsi="Arial"/>
          <w:sz w:val="16"/>
          <w:szCs w:val="16"/>
          <w:color w:val="auto"/>
        </w:rPr>
        <w:t>The depositary may resign at any time by delivering to us notice of its election to do so, and we may remove the depositary at any time. Any resignation or removal of the depositary will take effect upon our appointment of a successor depositary and its acceptance of such appointment. The successor depositary must be appointed within 60 days after delivery of the notice of resignation or removal and must be a bank or trust company having its principal office in the United States and having the requisite combined capital and surplus as set forth in the applicable agreement.</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Notices</w:t>
      </w:r>
    </w:p>
    <w:p>
      <w:pPr>
        <w:spacing w:after="0" w:line="121" w:lineRule="exact"/>
        <w:rPr>
          <w:sz w:val="20"/>
          <w:szCs w:val="20"/>
          <w:color w:val="auto"/>
        </w:rPr>
      </w:pPr>
    </w:p>
    <w:p>
      <w:pPr>
        <w:ind w:left="120" w:right="60"/>
        <w:spacing w:after="0" w:line="279" w:lineRule="auto"/>
        <w:rPr>
          <w:sz w:val="20"/>
          <w:szCs w:val="20"/>
          <w:color w:val="auto"/>
        </w:rPr>
      </w:pPr>
      <w:r>
        <w:rPr>
          <w:rFonts w:ascii="Arial" w:cs="Arial" w:eastAsia="Arial" w:hAnsi="Arial"/>
          <w:sz w:val="17"/>
          <w:szCs w:val="17"/>
          <w:color w:val="auto"/>
        </w:rPr>
        <w:t>The depositary will forward to holders of depositary receipts all notices, reports and other communications, including proxy solicitation materials received from us, that are delivered to the depositary and that we are required to furnish to the holders of the preferred stock. In addition, the depositary will make available for inspection by holders of depositary receipts at the principal office of the depositary, and at such other places as it may from time to time deem advisable, any reports and communications we deliver to the depositary as the holder of preferred stock.</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Limitation of Liability</w:t>
      </w:r>
    </w:p>
    <w:p>
      <w:pPr>
        <w:spacing w:after="0" w:line="121"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Neither we nor the depositary will be liable if either we or it is prevented or delayed by law or any circumstance beyond its control in performing its obligations. Our obligations and those of the depositary will be limited to performance in good faith of our and their duties thereunder. We and the depositary will not be obligated to prosecute or defend any legal proceeding in respect of any depositary shares or preferred stock unless satisfactory indemnity is furnished. We and the depositary may rely upon written advice of counsel or accountants, on information provided by persons presenting preferred stock for deposit, holders of depositary receipts or other persons believed to be competent to give such information and on documents believed to be genuine and to have been signed or presented by the proper party or parties.</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00"/>
          </w:cols>
          <w:pgMar w:left="320" w:top="459" w:right="4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DESCRIPTION OF UNITS</w:t>
      </w:r>
    </w:p>
    <w:p>
      <w:pPr>
        <w:spacing w:after="0" w:line="229" w:lineRule="exact"/>
        <w:rPr>
          <w:sz w:val="20"/>
          <w:szCs w:val="20"/>
          <w:color w:val="auto"/>
        </w:rPr>
      </w:pPr>
    </w:p>
    <w:p>
      <w:pPr>
        <w:ind w:left="120" w:right="60"/>
        <w:spacing w:after="0" w:line="272" w:lineRule="auto"/>
        <w:rPr>
          <w:sz w:val="20"/>
          <w:szCs w:val="20"/>
          <w:color w:val="auto"/>
        </w:rPr>
      </w:pPr>
      <w:r>
        <w:rPr>
          <w:rFonts w:ascii="Arial" w:cs="Arial" w:eastAsia="Arial" w:hAnsi="Arial"/>
          <w:sz w:val="17"/>
          <w:szCs w:val="17"/>
          <w:color w:val="auto"/>
        </w:rPr>
        <w:t>We may issue units consisting of one or more of the other securities that may be offered under this prospectus in any combination. The following, together with the additional information we may include in any applicable prospectus supplement, summarizes the material terms and provisions of the units that we may offer under this prospectus. We may issue units in one or more series, which will be described in the applicable prospectus. While the terms summarized below will apply generally to any units we may offer, we will describe the particular terms of any series of units in more detail in the applicable prospectus supplement. If we indicate in the prospectus supplement, the terms of any units offered under that prospectus supplement may differ from the terms described below. Specific unit agreements will contain additional important terms and provisions and will be incorporated by reference as an exhibit to the registration statement that includes this prospectus.</w:t>
      </w:r>
    </w:p>
    <w:p>
      <w:pPr>
        <w:spacing w:after="0" w:line="177"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Each unit will be issued so that the holder of the unit is also the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will describe in the applicable prospectus supplement the terms of the series of units being offered, including:</w:t>
      </w:r>
    </w:p>
    <w:p>
      <w:pPr>
        <w:spacing w:after="0" w:line="131" w:lineRule="exact"/>
        <w:rPr>
          <w:sz w:val="20"/>
          <w:szCs w:val="20"/>
          <w:color w:val="auto"/>
        </w:rPr>
      </w:pPr>
    </w:p>
    <w:p>
      <w:pPr>
        <w:ind w:left="1080" w:right="280" w:hanging="424"/>
        <w:spacing w:after="0" w:line="277"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designation and terms of the units and of the securities comprising the units, including whether and under what circumstances those securities comprising the units may be traded separately;</w:t>
      </w:r>
    </w:p>
    <w:p>
      <w:pPr>
        <w:spacing w:after="0" w:line="75" w:lineRule="exact"/>
        <w:rPr>
          <w:rFonts w:ascii="Arial" w:cs="Arial" w:eastAsia="Arial" w:hAnsi="Arial"/>
          <w:sz w:val="18"/>
          <w:szCs w:val="18"/>
          <w:color w:val="auto"/>
        </w:rPr>
      </w:pPr>
    </w:p>
    <w:p>
      <w:pPr>
        <w:ind w:left="1080" w:right="660" w:hanging="424"/>
        <w:spacing w:after="0" w:line="277"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identity of any unit agent for the units, if applicable, and of any other depositaries, execution or paying agents, transfer agents, registrars or other agents;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any additional provisions for the issuance, payment, settlement, transfer or exchange of the units or of the securities comprising the units;</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applicable material U.S. federal income tax consequences;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additional terms of the governing unit agreement, if applicable.</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may issue units in such amounts and in such numbers of distinct series as we determine.</w:t>
      </w:r>
    </w:p>
    <w:p>
      <w:pPr>
        <w:spacing w:after="0" w:line="225"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The provisions described in this section, as well as those described under “Description of Debt Securities,” “Description of Capital Stock,” “Description of Depositary Shares” and “Description of Warrants” will apply to each unit, as applicable, and to any debt securities, common stock, preferred stock, depositary share or warrant included in each unit, as applicable.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Unit Agent</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name and address of the unit agent for any units we offer will be set forth in the applicable prospectus supplement.</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Enforceability of Rights by Holders of Units</w:t>
      </w:r>
    </w:p>
    <w:p>
      <w:pPr>
        <w:spacing w:after="0" w:line="121"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Each unit agent will act solely as our agent under the applicable unit agreement and will not assume any obligation or relationship of agency or trust with any holder of any unit. A single bank or trust company may act as unit agent for more than one series of units. A unit agent will have no duty or responsibility in case of any default by us under the applicable unit agreement or unit, including any duty or responsibility to initiate any proceedings at law or otherwise, or to make any demand upon us. Any holder of a unit may, without the consent of the related unit agent or the holder of any other unit, enforce by appropriate legal action its rights as holder under any security included in the unit.</w:t>
      </w:r>
    </w:p>
    <w:p>
      <w:pPr>
        <w:spacing w:after="0" w:line="10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00"/>
          </w:cols>
          <w:pgMar w:left="320" w:top="459" w:right="4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DESCRIPTION OF WARRANTS</w:t>
      </w:r>
    </w:p>
    <w:p>
      <w:pPr>
        <w:spacing w:after="0" w:line="229"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We may issue warrants to purchase common stock, preferred stock, depositary shares or debt securities. We may offer warrants separately or together with one or more additional warrants, common stock, preferred stock, depositary shares or debt securities, or any combination of those securities in the form of units, as described in the applicable prospectus supplement. If we issue warrants as part of a unit, the accompanying prospectus supplement will specify whether those warrants may be separated from the other securities in the unit prior to the expiration date of the warrants. The applicable prospectus supplement will also describe the following terms of any warrants:</w:t>
      </w:r>
    </w:p>
    <w:p>
      <w:pPr>
        <w:spacing w:after="0" w:line="82" w:lineRule="exact"/>
        <w:rPr>
          <w:sz w:val="20"/>
          <w:szCs w:val="20"/>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specific designation and aggregate number of, and the offering price at which we will issue, the warrants;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currency or currency units in which the offering price, if any, and the exercise price are payable;</w:t>
      </w:r>
    </w:p>
    <w:p>
      <w:pPr>
        <w:spacing w:after="0" w:line="130" w:lineRule="exact"/>
        <w:rPr>
          <w:rFonts w:ascii="Arial" w:cs="Arial" w:eastAsia="Arial" w:hAnsi="Arial"/>
          <w:sz w:val="18"/>
          <w:szCs w:val="18"/>
          <w:color w:val="auto"/>
        </w:rPr>
      </w:pPr>
    </w:p>
    <w:p>
      <w:pPr>
        <w:ind w:left="1080" w:right="80" w:hanging="424"/>
        <w:spacing w:after="0" w:line="308" w:lineRule="auto"/>
        <w:tabs>
          <w:tab w:leader="none" w:pos="10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date on which the right to exercise the warrants will begin and the date on which that right will expire or, if you may not continuously exercise the warrants throughout that period, the specific date or dates on which you may exercise the warrants;</w:t>
      </w:r>
    </w:p>
    <w:p>
      <w:pPr>
        <w:spacing w:after="0" w:line="51" w:lineRule="exact"/>
        <w:rPr>
          <w:rFonts w:ascii="Arial" w:cs="Arial" w:eastAsia="Arial" w:hAnsi="Arial"/>
          <w:sz w:val="17"/>
          <w:szCs w:val="17"/>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whether the warrants are to be sold separately or with other securities as parts of units;</w:t>
      </w:r>
    </w:p>
    <w:p>
      <w:pPr>
        <w:spacing w:after="0" w:line="130"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whether the warrants will be issued in definitive or global form or in any combination of these forms, although, in any case, the form of a warrant included in a unit will correspond to the form of the unit and of any security included in that unit;</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applicable material U.S. federal income tax consequences;</w:t>
      </w:r>
    </w:p>
    <w:p>
      <w:pPr>
        <w:spacing w:after="0" w:line="130" w:lineRule="exact"/>
        <w:rPr>
          <w:rFonts w:ascii="Arial" w:cs="Arial" w:eastAsia="Arial" w:hAnsi="Arial"/>
          <w:sz w:val="18"/>
          <w:szCs w:val="18"/>
          <w:color w:val="auto"/>
        </w:rPr>
      </w:pPr>
    </w:p>
    <w:p>
      <w:pPr>
        <w:ind w:left="1080" w:right="240" w:hanging="424"/>
        <w:spacing w:after="0" w:line="277"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identity of the warrant agent for the warrants and of any other depositaries, execution or paying agents, transfer agents, registrars or other agents;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proposed listing, if any, of the warrants or any securities purchasable upon exercise of the warrants on any securities exchange;</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designation and terms of any equity securities purchasable upon exercise of the warrants;</w:t>
      </w:r>
    </w:p>
    <w:p>
      <w:pPr>
        <w:spacing w:after="0" w:line="130" w:lineRule="exact"/>
        <w:rPr>
          <w:rFonts w:ascii="Arial" w:cs="Arial" w:eastAsia="Arial" w:hAnsi="Arial"/>
          <w:sz w:val="18"/>
          <w:szCs w:val="18"/>
          <w:color w:val="auto"/>
        </w:rPr>
      </w:pPr>
    </w:p>
    <w:p>
      <w:pPr>
        <w:ind w:left="1080" w:right="620" w:hanging="424"/>
        <w:spacing w:after="0" w:line="277"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designation, aggregate principal amount, currency and terms of any debt securities that may be purchased upon exercise of the warrants;</w:t>
      </w:r>
    </w:p>
    <w:p>
      <w:pPr>
        <w:spacing w:after="0" w:line="75"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if applicable, the designation and terms of the preferred stock or depositary shares with which the warrants are issued and the number of warrants issued with each security;</w:t>
      </w:r>
    </w:p>
    <w:p>
      <w:pPr>
        <w:spacing w:after="0" w:line="75" w:lineRule="exact"/>
        <w:rPr>
          <w:rFonts w:ascii="Arial" w:cs="Arial" w:eastAsia="Arial" w:hAnsi="Arial"/>
          <w:sz w:val="18"/>
          <w:szCs w:val="18"/>
          <w:color w:val="auto"/>
        </w:rPr>
      </w:pPr>
    </w:p>
    <w:p>
      <w:pPr>
        <w:ind w:left="1080" w:right="40" w:hanging="424"/>
        <w:spacing w:after="0" w:line="277"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if applicable, the date from and after which any warrants issued as part of a unit and the related debt securities, preferred stock, depositary shares or common stock will be separately transferable;</w:t>
      </w:r>
    </w:p>
    <w:p>
      <w:pPr>
        <w:spacing w:after="0" w:line="75"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number of shares of common stock, preferred stock or depositary shares purchasable upon exercise of a warrant and the price at which those shares may be purchased;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if applicable, the minimum or maximum amount of the warrants that may be exercised at any one time;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anti-dilution provisions of, and other provisions for changes to or adjustment in the exercise price of, the warrants, if 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redemption or call provisions;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any additional terms of the warrants, including terms, procedures and limitations relating to the exchange or exercise of the warrants.</w:t>
      </w:r>
    </w:p>
    <w:p>
      <w:pPr>
        <w:spacing w:after="0" w:line="16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60"/>
          </w:cols>
          <w:pgMar w:left="320" w:top="459" w:right="51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FORMS OF SECURITIES</w:t>
      </w:r>
    </w:p>
    <w:p>
      <w:pPr>
        <w:spacing w:after="0" w:line="229" w:lineRule="exact"/>
        <w:rPr>
          <w:sz w:val="20"/>
          <w:szCs w:val="20"/>
          <w:color w:val="auto"/>
        </w:rPr>
      </w:pPr>
    </w:p>
    <w:p>
      <w:pPr>
        <w:ind w:left="120" w:right="60"/>
        <w:spacing w:after="0" w:line="271" w:lineRule="auto"/>
        <w:rPr>
          <w:sz w:val="20"/>
          <w:szCs w:val="20"/>
          <w:color w:val="auto"/>
        </w:rPr>
      </w:pPr>
      <w:r>
        <w:rPr>
          <w:rFonts w:ascii="Arial" w:cs="Arial" w:eastAsia="Arial" w:hAnsi="Arial"/>
          <w:sz w:val="17"/>
          <w:szCs w:val="17"/>
          <w:color w:val="auto"/>
        </w:rPr>
        <w:t>Each debt security, depositary share, unit and warrant will be represented either by a certificate issued in definitive form to a particular investor or by one or more global securities representing the entire issuance of securities. Unless the applicable prospectus supplement provides otherwise, certificated securities in definitive form and global securities will be issued in registered form. Definitive securities name you or your nominee as the owner of the security, and in order to transfer or exchange these securities or to receive payments other than interest or other interim payments, you or your nominee must physically deliver the securities to the trustee, registrar, paying agent or other agent, as applicable. Global securities name a depositary or its nominee as the owner of the debt securities, depositary shares, units or warrants represented by these global securities. The depositary maintains a computerized system that will reflect each investor’s beneficial ownership of the securities through an account maintained by the investor with its broker/dealer, bank, trust company or other representative, as we explain more fully below.</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Global Securities</w:t>
      </w:r>
    </w:p>
    <w:p>
      <w:pPr>
        <w:spacing w:after="0" w:line="121"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We may issue the debt securities of a particular series, depositary shares, units and warrants in the form of one or more fully registered global securities that will be deposited with a depositary or its nominee identified in the applicable prospectus supplement and registered in the name of that depositary or nominee. In those cases, one or more global securities will be issued in a denomination or aggregate denominations equal to the portion of the aggregate principal or face amount of the securities to be represented by global securities. Unless and until it is exchanged in whole for securities in definitive registered form, a global security may not be transferred except as a whole by and among the depositary for the global security, the nominees of the depositary or any successors of the depositary or those nominees.</w:t>
      </w:r>
    </w:p>
    <w:p>
      <w:pPr>
        <w:spacing w:after="0" w:line="178" w:lineRule="exact"/>
        <w:rPr>
          <w:sz w:val="20"/>
          <w:szCs w:val="20"/>
          <w:color w:val="auto"/>
        </w:rPr>
      </w:pPr>
    </w:p>
    <w:p>
      <w:pPr>
        <w:ind w:left="120" w:right="20"/>
        <w:spacing w:after="0" w:line="342" w:lineRule="auto"/>
        <w:rPr>
          <w:sz w:val="20"/>
          <w:szCs w:val="20"/>
          <w:color w:val="auto"/>
        </w:rPr>
      </w:pPr>
      <w:r>
        <w:rPr>
          <w:rFonts w:ascii="Arial" w:cs="Arial" w:eastAsia="Arial" w:hAnsi="Arial"/>
          <w:sz w:val="16"/>
          <w:szCs w:val="16"/>
          <w:color w:val="auto"/>
        </w:rPr>
        <w:t>If not described below, any specific terms of the depositary arrangement with respect to any securities to be represented by a global security will be described in the prospectus supplement relating to those securities. We anticipate that the following provisions will apply to all depositary arrangements.</w:t>
      </w:r>
    </w:p>
    <w:p>
      <w:pPr>
        <w:spacing w:after="0" w:line="124" w:lineRule="exact"/>
        <w:rPr>
          <w:sz w:val="20"/>
          <w:szCs w:val="20"/>
          <w:color w:val="auto"/>
        </w:rPr>
      </w:pPr>
    </w:p>
    <w:p>
      <w:pPr>
        <w:ind w:left="120" w:right="60"/>
        <w:spacing w:after="0" w:line="271" w:lineRule="auto"/>
        <w:rPr>
          <w:sz w:val="20"/>
          <w:szCs w:val="20"/>
          <w:color w:val="auto"/>
        </w:rPr>
      </w:pPr>
      <w:r>
        <w:rPr>
          <w:rFonts w:ascii="Arial" w:cs="Arial" w:eastAsia="Arial" w:hAnsi="Arial"/>
          <w:sz w:val="17"/>
          <w:szCs w:val="17"/>
          <w:color w:val="auto"/>
        </w:rPr>
        <w:t>Ownership of beneficial interests in a global security will be limited to persons, called participants, that have accounts with the depositary or persons that may hold interests through participants. Upon the issuance of a global security, the depositary will credit, on its book-entry registration and transfer system, the participants’ accounts with the respective principal or face amounts of the securities beneficially owned by the participants. Any dealers, underwriters or agents participating in the distribution of the securities will designate the accounts to be credited. Ownership of beneficial interests in a global security will be shown on, and the transfer of ownership interests will be effected only through, records maintained by the depositary, with respect to interests of participants, and on the records of participants, with respect to interests of persons holding through participants. The laws of some states may require that some purchasers of securities take physical delivery of these securities in definitive form. These laws may impair your ability to own, transfer or pledge beneficial interests in global securities.</w:t>
      </w:r>
    </w:p>
    <w:p>
      <w:pPr>
        <w:spacing w:after="0" w:line="178"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So long as the depositary, or its nominee, is the registered owner of a global security, that depositary or its nominee, as the case may be, will be considered the sole owner or holder of the securities represented by the global security for all purposes under the applicable indenture, deposit agreement, warrant agreement or unit agreement. Except as described below, owners of beneficial interests in a global security will not be entitled to have the securities represented by the global security registered in their names, will not receive or be entitled to receive physical delivery of the securities in definitive form and will not be considered the owners or holders of the securities under the applicable indenture, deposit agreement, unit agreement or warrant agreement. Accordingly, each person owning a beneficial interest in a global security must rely on the procedures of the depositary for that global security and, if that person is not a participant, on the procedures of the participant through which the person owns its interest, to exercise any rights of a holder under the applicable indenture, deposit agreement, unit agreement or warrant agreement. We understand that under existing industry practices, if</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20"/>
          </w:cols>
          <w:pgMar w:left="320" w:top="459" w:right="4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40"/>
        <w:spacing w:after="0" w:line="301" w:lineRule="auto"/>
        <w:rPr>
          <w:sz w:val="20"/>
          <w:szCs w:val="20"/>
          <w:color w:val="auto"/>
        </w:rPr>
      </w:pPr>
      <w:r>
        <w:rPr>
          <w:rFonts w:ascii="Arial" w:cs="Arial" w:eastAsia="Arial" w:hAnsi="Arial"/>
          <w:sz w:val="16"/>
          <w:szCs w:val="16"/>
          <w:color w:val="auto"/>
        </w:rPr>
        <w:t>we request any action of holders or if an owner of a beneficial interest in a global security desires to give or take any action that a holder is entitled to give or take under the applicable indenture, deposit agreement, unit agreement or warrant agreement, the depositary for the global security would authorize the participants holding the relevant beneficial interests to give or take that action, and the participants would authorize beneficial owners owning through them to give or take that action or would otherwise act upon the instructions of beneficial owners holding through them.</w:t>
      </w:r>
    </w:p>
    <w:p>
      <w:pPr>
        <w:spacing w:after="0" w:line="157" w:lineRule="exact"/>
        <w:rPr>
          <w:sz w:val="20"/>
          <w:szCs w:val="20"/>
          <w:color w:val="auto"/>
        </w:rPr>
      </w:pPr>
    </w:p>
    <w:p>
      <w:pPr>
        <w:ind w:left="120" w:right="100"/>
        <w:spacing w:after="0" w:line="296" w:lineRule="auto"/>
        <w:rPr>
          <w:sz w:val="20"/>
          <w:szCs w:val="20"/>
          <w:color w:val="auto"/>
        </w:rPr>
      </w:pPr>
      <w:r>
        <w:rPr>
          <w:rFonts w:ascii="Arial" w:cs="Arial" w:eastAsia="Arial" w:hAnsi="Arial"/>
          <w:sz w:val="16"/>
          <w:szCs w:val="16"/>
          <w:color w:val="auto"/>
        </w:rPr>
        <w:t>Principal, premium, if any, and interest payments on debt securities, and any payments to holders with respect to depositary shares, warrants or units, represented by a global security registered in the name of a depositary or its nominee will be made to the depositary or its nominee, as the case may be, as the registered owner of the global security. None of us, or any trustee, warrant agent, unit agent or other agent of ours, or any agent of any trustee, warrant agent or unit agent will have any responsibility or liability for any aspect of the records relating to payments made on account of beneficial ownership interests in the global security or for maintaining, supervising or reviewing any records relating to those beneficial ownership interests.</w:t>
      </w:r>
    </w:p>
    <w:p>
      <w:pPr>
        <w:spacing w:after="0" w:line="161"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We expect that the depositary for any of the securities represented by a global security, upon receipt of any payment to holders of principal, premium, interest or other distribution of underlying securities or other property on that registered global security, will immediately credit participants’ accounts in amounts proportionate to their respective beneficial interests in that global security as shown on the records of the depositary. We also expect that payments by participants to owners of beneficial interests in a global security held through participants will be governed by standing customer instructions and customary practices, as is now the case with the securities held for the accounts of customers or registered in “street name,” and will be the responsibility of those participants.</w:t>
      </w:r>
    </w:p>
    <w:p>
      <w:pPr>
        <w:spacing w:after="0" w:line="192" w:lineRule="exact"/>
        <w:rPr>
          <w:sz w:val="20"/>
          <w:szCs w:val="20"/>
          <w:color w:val="auto"/>
        </w:rPr>
      </w:pPr>
    </w:p>
    <w:p>
      <w:pPr>
        <w:ind w:left="120" w:right="80"/>
        <w:spacing w:after="0" w:line="293" w:lineRule="auto"/>
        <w:rPr>
          <w:sz w:val="20"/>
          <w:szCs w:val="20"/>
          <w:color w:val="auto"/>
        </w:rPr>
      </w:pPr>
      <w:r>
        <w:rPr>
          <w:rFonts w:ascii="Arial" w:cs="Arial" w:eastAsia="Arial" w:hAnsi="Arial"/>
          <w:sz w:val="16"/>
          <w:szCs w:val="16"/>
          <w:color w:val="auto"/>
        </w:rPr>
        <w:t>If the depositary for any of the securities represented by a global security is at any time unwilling or unable to continue as depositary or ceases to be a clearing agency registered under the Exchange Act, and a successor depositary registered as a clearing agency under the Exchange Act is not appointed by us within 90 days, we will issue securities in definitive form in exchange for the global security that had been held by the depositary. Any securities issued in definitive form in exchange for a global security will be registered in the name or names that the depositary gives to the relevant trustee, warrant agent, unit agent or other relevant agent of ours or theirs. It is expected that the depositary’s instructions will be based upon directions received by the depositary from participants with respect to ownership of beneficial interests in the global security that had been held by the depositary.</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00"/>
          </w:cols>
          <w:pgMar w:left="320" w:top="459" w:right="4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may sell securities:</w:t>
      </w:r>
    </w:p>
    <w:p>
      <w:pPr>
        <w:spacing w:after="0" w:line="131" w:lineRule="exact"/>
        <w:rPr>
          <w:sz w:val="20"/>
          <w:szCs w:val="20"/>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 or through underwriters;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 or through brokers or dealers;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directly to one or more purchasers in negotiated sales or competitively bid transactions;</w:t>
      </w:r>
    </w:p>
    <w:p>
      <w:pPr>
        <w:spacing w:after="0" w:line="130"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through a block trade in which the broker or dealer engaged to handle the block trade will attempt to sell the securities as agent, but may position and resell a portion of the block as principal to facilitate the transaction; or</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through a combination of any of these methods of sale.</w:t>
      </w:r>
    </w:p>
    <w:p>
      <w:pPr>
        <w:spacing w:after="0" w:line="225"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In addition, we may issue the securities as a dividend or distribution or in a subscription rights offering to our existing security holders. This prospectus may be used in connection with any offering of our securities through any of these methods or other methods described in the applicable prospectus supplement.</w:t>
      </w:r>
    </w:p>
    <w:p>
      <w:pPr>
        <w:spacing w:after="0" w:line="184"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We may directly solicit offers to purchase securities, or agents may be designated to solicit such offers. We will, in the prospectus supplement relating to such offering, name any agent that could be viewed as an underwriter under the Securities Act, and describe any commissions that we must pay. Any such agent will be acting on a best efforts basis for the period of its appointment or, if indicated in the applicable prospectus supplement, on a firm commitment basis.</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distribution of the securities may be effected from time to time in one or more transactions:</w:t>
      </w:r>
    </w:p>
    <w:p>
      <w:pPr>
        <w:spacing w:after="0" w:line="131" w:lineRule="exact"/>
        <w:rPr>
          <w:sz w:val="20"/>
          <w:szCs w:val="20"/>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at a fixed price, or prices, which may be changed from time to time;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at market prices prevailing at the time of sale;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at prices related to such prevailing market prices;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at negotiated prices.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Each prospectus supplement will describe the method of distribution of the securities and any applicable restrictions.</w:t>
      </w:r>
    </w:p>
    <w:p>
      <w:pPr>
        <w:spacing w:after="0" w:line="225" w:lineRule="exact"/>
        <w:rPr>
          <w:sz w:val="20"/>
          <w:szCs w:val="20"/>
          <w:color w:val="auto"/>
        </w:rPr>
      </w:pPr>
    </w:p>
    <w:p>
      <w:pPr>
        <w:ind w:left="120" w:right="420"/>
        <w:spacing w:after="0" w:line="277" w:lineRule="auto"/>
        <w:rPr>
          <w:sz w:val="20"/>
          <w:szCs w:val="20"/>
          <w:color w:val="auto"/>
        </w:rPr>
      </w:pPr>
      <w:r>
        <w:rPr>
          <w:rFonts w:ascii="Arial" w:cs="Arial" w:eastAsia="Arial" w:hAnsi="Arial"/>
          <w:sz w:val="18"/>
          <w:szCs w:val="18"/>
          <w:color w:val="auto"/>
        </w:rPr>
        <w:t>The prospectus supplement with respect to the securities of a particular series will describe the terms of the offering of the securities, including the following:</w:t>
      </w:r>
    </w:p>
    <w:p>
      <w:pPr>
        <w:spacing w:after="0" w:line="76" w:lineRule="exact"/>
        <w:rPr>
          <w:sz w:val="20"/>
          <w:szCs w:val="20"/>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name of the agent or any underwriters;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public offering or purchase price and the proceeds we will receive from the sale of the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discounts and commissions to be allowed or re-allowed or paid to the agent or underwriters;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all other items constituting underwriting compensation;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discounts and commissions to be allowed or re-allowed or paid to dealers;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exchanges on which the securities will be listed.</w:t>
      </w:r>
    </w:p>
    <w:p>
      <w:pPr>
        <w:spacing w:after="0" w:line="225"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If any underwriters or agents are utilized in the sale of the securities in respect of which this prospectus is delivered, we will enter into an underwriting agreement or other agreement with them at the time of sale to them, and we will set forth in the prospectus supplement relating to such offering the names of the underwriters or agents and the terms of the related agreement with them.</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80"/>
          </w:cols>
          <w:pgMar w:left="320" w:top="459" w:right="49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If a dealer is utilized in the sale of the securities in respect of which this prospectus is delivered, we will sell such securities to the dealer, as principal.</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dealer may then resell such securities to the public at varying prices to be determined by such dealer at the time of resale.</w:t>
      </w:r>
    </w:p>
    <w:p>
      <w:pPr>
        <w:spacing w:after="0" w:line="211" w:lineRule="exact"/>
        <w:rPr>
          <w:sz w:val="20"/>
          <w:szCs w:val="20"/>
          <w:color w:val="auto"/>
        </w:rPr>
      </w:pPr>
    </w:p>
    <w:p>
      <w:pPr>
        <w:jc w:val="both"/>
        <w:ind w:left="120" w:right="20"/>
        <w:spacing w:after="0" w:line="311" w:lineRule="auto"/>
        <w:rPr>
          <w:sz w:val="20"/>
          <w:szCs w:val="20"/>
          <w:color w:val="auto"/>
        </w:rPr>
      </w:pPr>
      <w:r>
        <w:rPr>
          <w:rFonts w:ascii="Arial" w:cs="Arial" w:eastAsia="Arial" w:hAnsi="Arial"/>
          <w:sz w:val="16"/>
          <w:szCs w:val="16"/>
          <w:color w:val="auto"/>
        </w:rPr>
        <w:t>If we offer securities in a subscription rights offering to our existing security holders, we may enter into a standby underwriting agreement with dealers, acting as standby underwriters. We may pay the standby underwriters a commitment fee for the securities they commit to purchase on a standby basis. If we do not enter into a standby underwriting arrangement, we may retain a dealer-manager to manage a subscription rights offering for us.</w:t>
      </w:r>
    </w:p>
    <w:p>
      <w:pPr>
        <w:spacing w:after="0" w:line="149"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Remarketing firms, agents, underwriters, dealers and other persons may be entitled under agreements which they may enter into with us to indemnification by us against certain civil liabilities, including liabilities under the Securities Act, and may be customers of, engage in transactions with or perform services for us in the ordinary course of business.</w:t>
      </w:r>
    </w:p>
    <w:p>
      <w:pPr>
        <w:spacing w:after="0" w:line="184" w:lineRule="exact"/>
        <w:rPr>
          <w:sz w:val="20"/>
          <w:szCs w:val="20"/>
          <w:color w:val="auto"/>
        </w:rPr>
      </w:pPr>
    </w:p>
    <w:p>
      <w:pPr>
        <w:ind w:left="120" w:right="20"/>
        <w:spacing w:after="0" w:line="293" w:lineRule="auto"/>
        <w:rPr>
          <w:sz w:val="20"/>
          <w:szCs w:val="20"/>
          <w:color w:val="auto"/>
        </w:rPr>
      </w:pPr>
      <w:r>
        <w:rPr>
          <w:rFonts w:ascii="Arial" w:cs="Arial" w:eastAsia="Arial" w:hAnsi="Arial"/>
          <w:sz w:val="16"/>
          <w:szCs w:val="16"/>
          <w:color w:val="auto"/>
        </w:rPr>
        <w:t>If so indicated in the applicable prospectus supplement, we will authorize underwriters or other persons acting as our agents to solicit offers by certain institutions to purchase securities from us pursuant to delayed delivery contracts providing for payment and delivery on the date stated in the prospectus supplement. Each contract will be for an amount not less than, and the aggregate amount of securities sold pursuant to such contracts shall not be less nor more than, the respective amounts stated in the prospectus supplement. Institutions with whom the contracts, when authorized, may be made include commercial and savings banks, insurance companies, pension funds, investment companies, educational and charitable institutions and other institutions, but shall in all cases be subject to our approval. Delayed delivery contracts will not be subject to any conditions except that:</w:t>
      </w:r>
    </w:p>
    <w:p>
      <w:pPr>
        <w:spacing w:after="0" w:line="70" w:lineRule="exact"/>
        <w:rPr>
          <w:sz w:val="20"/>
          <w:szCs w:val="20"/>
          <w:color w:val="auto"/>
        </w:rPr>
      </w:pPr>
    </w:p>
    <w:p>
      <w:pPr>
        <w:ind w:left="1080" w:right="140" w:hanging="424"/>
        <w:spacing w:after="0" w:line="277"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purchase by an institution of the securities covered under that contract shall not at the time of delivery be prohibited under the laws of the jurisdiction to which that institution is subject; and</w:t>
      </w:r>
    </w:p>
    <w:p>
      <w:pPr>
        <w:spacing w:after="0" w:line="75" w:lineRule="exact"/>
        <w:rPr>
          <w:rFonts w:ascii="Arial" w:cs="Arial" w:eastAsia="Arial" w:hAnsi="Arial"/>
          <w:sz w:val="18"/>
          <w:szCs w:val="18"/>
          <w:color w:val="auto"/>
        </w:rPr>
      </w:pPr>
    </w:p>
    <w:p>
      <w:pPr>
        <w:ind w:left="1080" w:right="100" w:hanging="424"/>
        <w:spacing w:after="0" w:line="263"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if the securities are also being sold to underwriters acting as principals for their own account, the underwriters shall have purchased such securities not sold for delayed delivery. The underwriters and other persons acting as our agents will not have any responsibility in respect of the validity or performance of delayed delivery contracts.</w:t>
      </w:r>
    </w:p>
    <w:p>
      <w:pPr>
        <w:spacing w:after="0" w:line="184" w:lineRule="exact"/>
        <w:rPr>
          <w:sz w:val="20"/>
          <w:szCs w:val="20"/>
          <w:color w:val="auto"/>
        </w:rPr>
      </w:pPr>
    </w:p>
    <w:p>
      <w:pPr>
        <w:ind w:left="120" w:right="360"/>
        <w:spacing w:after="0" w:line="263" w:lineRule="auto"/>
        <w:rPr>
          <w:sz w:val="20"/>
          <w:szCs w:val="20"/>
          <w:color w:val="auto"/>
        </w:rPr>
      </w:pPr>
      <w:r>
        <w:rPr>
          <w:rFonts w:ascii="Arial" w:cs="Arial" w:eastAsia="Arial" w:hAnsi="Arial"/>
          <w:sz w:val="18"/>
          <w:szCs w:val="18"/>
          <w:color w:val="auto"/>
        </w:rPr>
        <w:t>Certain agents, underwriters and dealers, and their associates and affiliates may be customers of, have borrowing relationships with, engage in other transactions with, and/or perform services, including investment banking services, for us or one or more of our respective affiliates in the ordinary course of business.</w:t>
      </w:r>
    </w:p>
    <w:p>
      <w:pPr>
        <w:spacing w:after="0" w:line="184"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w:t>
      </w:r>
    </w:p>
    <w:p>
      <w:pPr>
        <w:spacing w:after="0" w:line="165"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color w:val="auto"/>
        </w:rPr>
        <w:t>Under Rule 15c6-1 of the Exchange Act, trades in the secondary market generally are required to settle in two business days, unless the parties to any such trade expressly agree otherwise. The applicable prospectus supplement may provide that the original issue date for your securities may be more than two scheduled business days after the trade date for your securities. Accordingly, in such a case, if you wish to trade securities on any date prior to the second business day before the original issue date for your securities, you will be</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20"/>
          </w:cols>
          <w:pgMar w:left="320" w:top="459" w:right="4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required, by virtue of the fact that your securities initially are expected to settle in more than two scheduled business days after the trade date for your securities, to make alternative settlement arrangements to prevent a failed settlement.</w:t>
      </w:r>
    </w:p>
    <w:p>
      <w:pPr>
        <w:spacing w:after="0" w:line="170" w:lineRule="exact"/>
        <w:rPr>
          <w:sz w:val="20"/>
          <w:szCs w:val="20"/>
          <w:color w:val="auto"/>
        </w:rPr>
      </w:pPr>
    </w:p>
    <w:p>
      <w:pPr>
        <w:ind w:left="120" w:right="340"/>
        <w:spacing w:after="0" w:line="308" w:lineRule="auto"/>
        <w:rPr>
          <w:sz w:val="20"/>
          <w:szCs w:val="20"/>
          <w:color w:val="auto"/>
        </w:rPr>
      </w:pPr>
      <w:r>
        <w:rPr>
          <w:rFonts w:ascii="Arial" w:cs="Arial" w:eastAsia="Arial" w:hAnsi="Arial"/>
          <w:sz w:val="17"/>
          <w:szCs w:val="17"/>
          <w:color w:val="auto"/>
        </w:rPr>
        <w:t>The securities may be new issues of securities and may have no established trading market. The securities may or may not be listed on a national securities exchange. We can make no assurance as to the liquidity of or the existence of trading markets for any of the securities.</w:t>
      </w:r>
    </w:p>
    <w:p>
      <w:pPr>
        <w:spacing w:after="0" w:line="79"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880"/>
          </w:cols>
          <w:pgMar w:left="320" w:top="459" w:right="69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Unless the applicable prospectus supplement indicates otherwise, the validity of the securities in respect of which this prospectus is being delivered will be passed upon by Goodwin Procter LLP.</w:t>
      </w:r>
    </w:p>
    <w:p>
      <w:pPr>
        <w:spacing w:after="0" w:line="38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The consolidated financial statements of Fulcrum Therapeutics, Inc. appearing in Fulcrum Therapeutics, Inc.’s Annual Report (Form 10-K) for the year ended December 31, 2020, have been audited by Ernst &amp; Young LLP, independent registered public accounting firm, as set forth in their report thereon, included therein, and incorporated herein by reference. Such consolidated financial statements are incorporated herein by reference in reliance upon such report given on the authority of such firm as experts in accounting and auditing.</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40"/>
          </w:cols>
          <w:pgMar w:left="320" w:top="459" w:right="439" w:bottom="1440" w:gutter="0" w:footer="0" w:header="0"/>
        </w:sectPr>
      </w:pPr>
    </w:p>
    <w:bookmarkStart w:id="40" w:name="page41"/>
    <w:bookmarkEnd w:id="4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228600</wp:posOffset>
            </wp:positionV>
            <wp:extent cx="699516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271780</wp:posOffset>
            </wp:positionV>
            <wp:extent cx="699516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100"/>
        <w:spacing w:after="0"/>
        <w:rPr>
          <w:sz w:val="20"/>
          <w:szCs w:val="20"/>
          <w:color w:val="auto"/>
        </w:rPr>
      </w:pPr>
      <w:r>
        <w:rPr>
          <w:rFonts w:ascii="Arial" w:cs="Arial" w:eastAsia="Arial" w:hAnsi="Arial"/>
          <w:sz w:val="29"/>
          <w:szCs w:val="29"/>
          <w:b w:val="1"/>
          <w:bCs w:val="1"/>
          <w:color w:val="auto"/>
        </w:rPr>
        <w:t>$250,000,000</w:t>
      </w:r>
    </w:p>
    <w:p>
      <w:pPr>
        <w:spacing w:after="0" w:line="220" w:lineRule="exact"/>
        <w:rPr>
          <w:sz w:val="20"/>
          <w:szCs w:val="20"/>
          <w:color w:val="auto"/>
        </w:rPr>
      </w:pPr>
    </w:p>
    <w:p>
      <w:pPr>
        <w:jc w:val="center"/>
        <w:ind w:right="-1100"/>
        <w:spacing w:after="0"/>
        <w:rPr>
          <w:sz w:val="20"/>
          <w:szCs w:val="20"/>
          <w:color w:val="auto"/>
        </w:rPr>
      </w:pPr>
      <w:r>
        <w:rPr>
          <w:rFonts w:ascii="Arial" w:cs="Arial" w:eastAsia="Arial" w:hAnsi="Arial"/>
          <w:sz w:val="29"/>
          <w:szCs w:val="29"/>
          <w:b w:val="1"/>
          <w:bCs w:val="1"/>
          <w:color w:val="auto"/>
        </w:rPr>
        <w:t>Debt Securities</w:t>
      </w:r>
    </w:p>
    <w:p>
      <w:pPr>
        <w:spacing w:after="0" w:line="220" w:lineRule="exact"/>
        <w:rPr>
          <w:sz w:val="20"/>
          <w:szCs w:val="20"/>
          <w:color w:val="auto"/>
        </w:rPr>
      </w:pPr>
    </w:p>
    <w:p>
      <w:pPr>
        <w:jc w:val="center"/>
        <w:ind w:right="-1100"/>
        <w:spacing w:after="0"/>
        <w:rPr>
          <w:sz w:val="20"/>
          <w:szCs w:val="20"/>
          <w:color w:val="auto"/>
        </w:rPr>
      </w:pPr>
      <w:r>
        <w:rPr>
          <w:rFonts w:ascii="Arial" w:cs="Arial" w:eastAsia="Arial" w:hAnsi="Arial"/>
          <w:sz w:val="29"/>
          <w:szCs w:val="29"/>
          <w:b w:val="1"/>
          <w:bCs w:val="1"/>
          <w:color w:val="auto"/>
        </w:rPr>
        <w:t>Common Stock</w:t>
      </w:r>
    </w:p>
    <w:p>
      <w:pPr>
        <w:spacing w:after="0" w:line="220" w:lineRule="exact"/>
        <w:rPr>
          <w:sz w:val="20"/>
          <w:szCs w:val="20"/>
          <w:color w:val="auto"/>
        </w:rPr>
      </w:pPr>
    </w:p>
    <w:p>
      <w:pPr>
        <w:jc w:val="center"/>
        <w:ind w:right="-1100"/>
        <w:spacing w:after="0"/>
        <w:rPr>
          <w:sz w:val="20"/>
          <w:szCs w:val="20"/>
          <w:color w:val="auto"/>
        </w:rPr>
      </w:pPr>
      <w:r>
        <w:rPr>
          <w:rFonts w:ascii="Arial" w:cs="Arial" w:eastAsia="Arial" w:hAnsi="Arial"/>
          <w:sz w:val="29"/>
          <w:szCs w:val="29"/>
          <w:b w:val="1"/>
          <w:bCs w:val="1"/>
          <w:color w:val="auto"/>
        </w:rPr>
        <w:t>Preferred Stock</w:t>
      </w:r>
    </w:p>
    <w:p>
      <w:pPr>
        <w:spacing w:after="0" w:line="220" w:lineRule="exact"/>
        <w:rPr>
          <w:sz w:val="20"/>
          <w:szCs w:val="20"/>
          <w:color w:val="auto"/>
        </w:rPr>
      </w:pPr>
    </w:p>
    <w:p>
      <w:pPr>
        <w:jc w:val="center"/>
        <w:ind w:right="-1100"/>
        <w:spacing w:after="0"/>
        <w:rPr>
          <w:sz w:val="20"/>
          <w:szCs w:val="20"/>
          <w:color w:val="auto"/>
        </w:rPr>
      </w:pPr>
      <w:r>
        <w:rPr>
          <w:rFonts w:ascii="Arial" w:cs="Arial" w:eastAsia="Arial" w:hAnsi="Arial"/>
          <w:sz w:val="25"/>
          <w:szCs w:val="25"/>
          <w:b w:val="1"/>
          <w:bCs w:val="1"/>
          <w:color w:val="auto"/>
        </w:rPr>
        <w:t>Depositary Shares</w:t>
      </w:r>
    </w:p>
    <w:p>
      <w:pPr>
        <w:spacing w:after="0" w:line="266" w:lineRule="exact"/>
        <w:rPr>
          <w:sz w:val="20"/>
          <w:szCs w:val="20"/>
          <w:color w:val="auto"/>
        </w:rPr>
      </w:pPr>
    </w:p>
    <w:p>
      <w:pPr>
        <w:jc w:val="center"/>
        <w:ind w:right="-1100"/>
        <w:spacing w:after="0"/>
        <w:rPr>
          <w:sz w:val="20"/>
          <w:szCs w:val="20"/>
          <w:color w:val="auto"/>
        </w:rPr>
      </w:pPr>
      <w:r>
        <w:rPr>
          <w:rFonts w:ascii="Arial" w:cs="Arial" w:eastAsia="Arial" w:hAnsi="Arial"/>
          <w:sz w:val="29"/>
          <w:szCs w:val="29"/>
          <w:b w:val="1"/>
          <w:bCs w:val="1"/>
          <w:color w:val="auto"/>
        </w:rPr>
        <w:t>Units</w:t>
      </w:r>
    </w:p>
    <w:p>
      <w:pPr>
        <w:spacing w:after="0" w:line="220" w:lineRule="exact"/>
        <w:rPr>
          <w:sz w:val="20"/>
          <w:szCs w:val="20"/>
          <w:color w:val="auto"/>
        </w:rPr>
      </w:pPr>
    </w:p>
    <w:p>
      <w:pPr>
        <w:jc w:val="center"/>
        <w:ind w:right="-1100"/>
        <w:spacing w:after="0"/>
        <w:rPr>
          <w:sz w:val="20"/>
          <w:szCs w:val="20"/>
          <w:color w:val="auto"/>
        </w:rPr>
      </w:pPr>
      <w:r>
        <w:rPr>
          <w:rFonts w:ascii="Arial" w:cs="Arial" w:eastAsia="Arial" w:hAnsi="Arial"/>
          <w:sz w:val="29"/>
          <w:szCs w:val="29"/>
          <w:b w:val="1"/>
          <w:bCs w:val="1"/>
          <w:color w:val="auto"/>
        </w:rPr>
        <w:t>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563245</wp:posOffset>
            </wp:positionV>
            <wp:extent cx="147447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7">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4680"/>
        <w:spacing w:after="0"/>
        <w:rPr>
          <w:sz w:val="20"/>
          <w:szCs w:val="20"/>
          <w:color w:val="auto"/>
        </w:rPr>
      </w:pPr>
      <w:r>
        <w:rPr>
          <w:rFonts w:ascii="Arial" w:cs="Arial" w:eastAsia="Arial" w:hAnsi="Arial"/>
          <w:sz w:val="29"/>
          <w:szCs w:val="29"/>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254635</wp:posOffset>
            </wp:positionV>
            <wp:extent cx="147447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8">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March 2,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428625</wp:posOffset>
            </wp:positionV>
            <wp:extent cx="699516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9">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471805</wp:posOffset>
            </wp:positionV>
            <wp:extent cx="699516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type w:val="continuous"/>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14. Other Expenses of Issuance and Distribution.</w:t>
      </w:r>
    </w:p>
    <w:p>
      <w:pPr>
        <w:spacing w:after="0" w:line="121"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The following table sets forth the fees and expenses payable by us in connection with the sale of the offered securities being registered hereby, other than underwriting discounts and commissions.</w:t>
      </w:r>
    </w:p>
    <w:p>
      <w:pPr>
        <w:spacing w:after="0" w:line="212"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88"/>
              </w:rPr>
              <w:t>23,175(1)</w:t>
            </w: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FINRA filing fee</w:t>
            </w:r>
          </w:p>
        </w:tc>
        <w:tc>
          <w:tcPr>
            <w:tcW w:w="1140" w:type="dxa"/>
            <w:vAlign w:val="bottom"/>
          </w:tcPr>
          <w:p>
            <w:pPr>
              <w:spacing w:after="0"/>
              <w:rPr>
                <w:sz w:val="18"/>
                <w:szCs w:val="18"/>
                <w:color w:val="auto"/>
              </w:rPr>
            </w:pPr>
          </w:p>
        </w:tc>
        <w:tc>
          <w:tcPr>
            <w:tcW w:w="900" w:type="dxa"/>
            <w:vAlign w:val="bottom"/>
          </w:tcPr>
          <w:p>
            <w:pPr>
              <w:jc w:val="right"/>
              <w:ind w:right="170"/>
              <w:spacing w:after="0"/>
              <w:rPr>
                <w:sz w:val="20"/>
                <w:szCs w:val="20"/>
                <w:color w:val="auto"/>
              </w:rPr>
            </w:pPr>
            <w:r>
              <w:rPr>
                <w:rFonts w:ascii="Arial" w:cs="Arial" w:eastAsia="Arial" w:hAnsi="Arial"/>
                <w:sz w:val="18"/>
                <w:szCs w:val="18"/>
                <w:color w:val="auto"/>
                <w:w w:val="95"/>
              </w:rPr>
              <w:t>225,500</w:t>
            </w: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Printing and engraving</w:t>
            </w:r>
          </w:p>
        </w:tc>
        <w:tc>
          <w:tcPr>
            <w:tcW w:w="1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Accounting services</w:t>
            </w:r>
          </w:p>
        </w:tc>
        <w:tc>
          <w:tcPr>
            <w:tcW w:w="1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Legal fees of registrant’s counsel</w:t>
            </w:r>
          </w:p>
        </w:tc>
        <w:tc>
          <w:tcPr>
            <w:tcW w:w="1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Transfer agent’s, trustee’s and depositary’s fees and expenses</w:t>
            </w:r>
          </w:p>
        </w:tc>
        <w:tc>
          <w:tcPr>
            <w:tcW w:w="1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Miscellaneous fees and expenses</w:t>
            </w:r>
          </w:p>
        </w:tc>
        <w:tc>
          <w:tcPr>
            <w:tcW w:w="1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5440" w:type="dxa"/>
            <w:vAlign w:val="bottom"/>
          </w:tcPr>
          <w:p>
            <w:pPr>
              <w:ind w:left="360"/>
              <w:spacing w:after="0"/>
              <w:rPr>
                <w:sz w:val="20"/>
                <w:szCs w:val="20"/>
                <w:color w:val="auto"/>
              </w:rPr>
            </w:pPr>
            <w:r>
              <w:rPr>
                <w:rFonts w:ascii="Arial" w:cs="Arial" w:eastAsia="Arial" w:hAnsi="Arial"/>
                <w:sz w:val="18"/>
                <w:szCs w:val="18"/>
                <w:color w:val="auto"/>
              </w:rPr>
              <w:t>Total</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76835</wp:posOffset>
            </wp:positionV>
            <wp:extent cx="77152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0" w:lineRule="exact"/>
        <w:rPr>
          <w:sz w:val="20"/>
          <w:szCs w:val="20"/>
          <w:color w:val="auto"/>
        </w:rPr>
      </w:pPr>
    </w:p>
    <w:p>
      <w:pPr>
        <w:ind w:left="540" w:hanging="424"/>
        <w:spacing w:after="0"/>
        <w:tabs>
          <w:tab w:leader="none" w:pos="5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registrant previously paid (i) $7,500.64 of fees at the initial filing of this registration statement to register $80,913,050 of shares and</w:t>
      </w:r>
    </w:p>
    <w:p>
      <w:pPr>
        <w:spacing w:after="0" w:line="34" w:lineRule="exact"/>
        <w:rPr>
          <w:rFonts w:ascii="Arial" w:cs="Arial" w:eastAsia="Arial" w:hAnsi="Arial"/>
          <w:sz w:val="17"/>
          <w:szCs w:val="17"/>
          <w:color w:val="auto"/>
        </w:rPr>
      </w:pPr>
    </w:p>
    <w:p>
      <w:pPr>
        <w:ind w:left="540"/>
        <w:spacing w:after="0" w:line="250" w:lineRule="auto"/>
        <w:rPr>
          <w:rFonts w:ascii="Arial" w:cs="Arial" w:eastAsia="Arial" w:hAnsi="Arial"/>
          <w:sz w:val="17"/>
          <w:szCs w:val="17"/>
          <w:color w:val="auto"/>
        </w:rPr>
      </w:pPr>
      <w:r>
        <w:rPr>
          <w:rFonts w:ascii="Arial" w:cs="Arial" w:eastAsia="Arial" w:hAnsi="Arial"/>
          <w:sz w:val="18"/>
          <w:szCs w:val="18"/>
          <w:color w:val="auto"/>
        </w:rPr>
        <w:t>(ii) carried forward $8,967.49 of fees for $69,086,950 of unsold securities, all of which $150,000,000 remains unsold as of the date of filing of this Amendment No. 1 to this registration statement.</w:t>
      </w:r>
    </w:p>
    <w:p>
      <w:pPr>
        <w:ind w:left="540" w:right="140" w:hanging="424"/>
        <w:spacing w:after="0" w:line="260" w:lineRule="auto"/>
        <w:tabs>
          <w:tab w:leader="none" w:pos="5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These fees and expenses are calculated based on the securities offered and the number of issuances and accordingly are not estimated at this time and will be reflected in the applicable prospectus supplement.</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15. Indemnification of Directors and Officers.</w:t>
      </w:r>
    </w:p>
    <w:p>
      <w:pPr>
        <w:spacing w:after="0" w:line="121" w:lineRule="exact"/>
        <w:rPr>
          <w:sz w:val="20"/>
          <w:szCs w:val="20"/>
          <w:color w:val="auto"/>
        </w:rPr>
      </w:pPr>
    </w:p>
    <w:p>
      <w:pPr>
        <w:ind w:left="120" w:right="480"/>
        <w:spacing w:after="0" w:line="277" w:lineRule="auto"/>
        <w:rPr>
          <w:sz w:val="20"/>
          <w:szCs w:val="20"/>
          <w:color w:val="auto"/>
        </w:rPr>
      </w:pPr>
      <w:r>
        <w:rPr>
          <w:rFonts w:ascii="Arial" w:cs="Arial" w:eastAsia="Arial" w:hAnsi="Arial"/>
          <w:sz w:val="18"/>
          <w:szCs w:val="18"/>
          <w:color w:val="auto"/>
        </w:rPr>
        <w:t>The following summary is qualified in its entirety by reference to the complete Delaware General Corporation Law, or DGCL, and the registrant’s certificate of incorporation.</w:t>
      </w:r>
    </w:p>
    <w:p>
      <w:pPr>
        <w:spacing w:after="0" w:line="170" w:lineRule="exact"/>
        <w:rPr>
          <w:sz w:val="20"/>
          <w:szCs w:val="20"/>
          <w:color w:val="auto"/>
        </w:rPr>
      </w:pPr>
    </w:p>
    <w:p>
      <w:pPr>
        <w:ind w:left="120" w:right="40"/>
        <w:spacing w:after="0" w:line="273" w:lineRule="auto"/>
        <w:rPr>
          <w:sz w:val="20"/>
          <w:szCs w:val="20"/>
          <w:color w:val="auto"/>
        </w:rPr>
      </w:pPr>
      <w:r>
        <w:rPr>
          <w:rFonts w:ascii="Arial" w:cs="Arial" w:eastAsia="Arial" w:hAnsi="Arial"/>
          <w:sz w:val="17"/>
          <w:szCs w:val="17"/>
          <w:color w:val="auto"/>
        </w:rPr>
        <w:t>Section 102 of the DGCL permits a corporation to eliminate the personal liability of its directors or its stockholders for monetary damages for a breach of fiduciary duty as a director, except where the director breached his or her duty of loyalty, failed to act in good faith, engaged in intentional misconduct or knowingly violated a law, authorized the payment of a dividend or approved a stock repurchase in violation of Delaware corporate law or obtained an improper personal benefit. Our certificate of incorporation provides that no director shall be personally liable to us or our stockholders for monetary damages for any breach of fiduciary duty as a director, notwithstanding any provision of law imposing such liability, except to the extent that the DGCL prohibits the elimination or limitation of liability of directors for breaches of fiduciary duty.</w:t>
      </w:r>
    </w:p>
    <w:p>
      <w:pPr>
        <w:spacing w:after="0" w:line="178" w:lineRule="exact"/>
        <w:rPr>
          <w:sz w:val="20"/>
          <w:szCs w:val="20"/>
          <w:color w:val="auto"/>
        </w:rPr>
      </w:pPr>
    </w:p>
    <w:p>
      <w:pPr>
        <w:ind w:left="120"/>
        <w:spacing w:after="0" w:line="289" w:lineRule="auto"/>
        <w:rPr>
          <w:sz w:val="20"/>
          <w:szCs w:val="20"/>
          <w:color w:val="auto"/>
        </w:rPr>
      </w:pPr>
      <w:r>
        <w:rPr>
          <w:rFonts w:ascii="Arial" w:cs="Arial" w:eastAsia="Arial" w:hAnsi="Arial"/>
          <w:sz w:val="16"/>
          <w:szCs w:val="16"/>
          <w:color w:val="auto"/>
        </w:rPr>
        <w:t>Section 145 of the DGCL provides that a corporation has the power to indemnify a director, officer, employee or agent of the corporation and certain other persons serving at the request of the corporation in related capacities against expenses (including attorneys’ fees), judgments, fines and amounts paid in settlements actually and reasonably incurred by the person in connection with an action, suit or proceeding to which he or she is or is threatened to be made a party by reason of such position, if such person acted in good faith and in a manner he or she reasonably believed to be in or not opposed to the best interests of the corporation, and, in any criminal action or proceeding, had no reasonable cause to believe his or her conduct was unlawful, except that, in the case of actions brought by or in the right of the corporation, no indemnification shall be made with respect to any claim, issue or matter as to which such person shall have been adjudged to be liable to the corporation unless and only to the extent that the Court of Chancery or other adjudicating court determines that, despite the adjudication of liability but in view of all of the circumstances of the case, such person is fairly and reasonably entitled to indemnification for such expenses which the Court of Chancery or such other court shall deem proper.</w:t>
      </w:r>
    </w:p>
    <w:p>
      <w:pPr>
        <w:spacing w:after="0" w:line="166" w:lineRule="exact"/>
        <w:rPr>
          <w:sz w:val="20"/>
          <w:szCs w:val="20"/>
          <w:color w:val="auto"/>
        </w:rPr>
      </w:pPr>
    </w:p>
    <w:p>
      <w:pPr>
        <w:ind w:left="120" w:right="40"/>
        <w:spacing w:after="0" w:line="311" w:lineRule="auto"/>
        <w:rPr>
          <w:sz w:val="20"/>
          <w:szCs w:val="20"/>
          <w:color w:val="auto"/>
        </w:rPr>
      </w:pPr>
      <w:r>
        <w:rPr>
          <w:rFonts w:ascii="Arial" w:cs="Arial" w:eastAsia="Arial" w:hAnsi="Arial"/>
          <w:sz w:val="16"/>
          <w:szCs w:val="16"/>
          <w:color w:val="auto"/>
        </w:rPr>
        <w:t>Our certificate of incorporation provides that we will indemnify each person who was or is a party or threatened to be made a party to any threatened, pending or completed action, suit or proceeding, whether civil, criminal, administrative or investigative (other than an action by or in the right of us), by reason of the fact that he or she is or was, or has agreed to become, our director or officer, or is or was serving, or has agreed to serve, at our</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120"/>
          </w:cols>
          <w:pgMar w:left="320" w:top="459" w:right="4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request as a director, officer, partner, employee or trustee of, or in a similar capacity with, another corporation, partnership, joint venture, trust or other enterprise (all such persons being referred to herein as an Indemnitee), or by reason of any action alleged to have been taken or omitted in such capacity, against all expenses (including attorneys’ fees), judgments, fines and amounts paid in settlement actually and reasonably incurred in connection with such action, suit or proceeding and any appeal therefrom if such Indemnitee acted in good faith and in a manner he or she reasonably believed to be in, or not opposed to, our best interests, and, with respect to any criminal action or proceeding, he or she had no reasonable cause to believe his or her conduct was unlawful.</w:t>
      </w:r>
    </w:p>
    <w:p>
      <w:pPr>
        <w:spacing w:after="0" w:line="192"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Our certificate of incorporation also provides that we will indemnify any Indemnitee who was or is a party to an action or suit by or in the right of us to procure a judgment in our favor by reason of the fact that the Indemnitee is or was, or has agreed to become, our director or officer, or is or was serving, or has agreed to serve, at our request as a director, officer, partner, employee or trustee of, or in a similar capacity with, another corporation, partnership, joint venture, trust or other enterprise, or by reason of any action alleged to have been taken or omitted in such capacity, against all expenses (including attorneys’ fees) and, to the extent permitted by law, amounts paid in settlement actually and reasonably incurred in connection with such action, suit or proceeding, and any appeal therefrom, if the Indemnitee acted in good faith and in a manner he or she reasonably believed to be in, or not opposed to, our best interests, except that no indemnification shall be made with respect to any claim, issue or matter as to which such person shall have been adjudged to be liable to us, unless a court determines that, despite such adjudication but in view of all of the circumstances, he or she is entitled to indemnification of such expenses. Notwithstanding the foregoing, to the extent that any Indemnitee has been successful, on the merits or otherwise, he or she will be indemnified by us against all expenses (including attorneys’ fees) actually and reasonably incurred by him or her or on his or her behalf in connection therewith. If we do not assume the defense, expenses must be advanced to an Indemnitee under certain circumstances.</w:t>
      </w:r>
    </w:p>
    <w:p>
      <w:pPr>
        <w:spacing w:after="0" w:line="172"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In addition, we have entered into indemnification agreements with all of our executive officers and directors. In general, these agreements provide that we will indemnify the executive officer or director to the fullest extent permitted by law for claims arising in his or her capacity as an executive officer or director of our company or in connection with his or her service at our request for another corporation or entity. The indemnification agreements also provide for procedures that will apply in the event that an executive officer or director makes a claim for indemnification and establish certain presumptions that are favorable to the executive officer or director.</w:t>
      </w:r>
    </w:p>
    <w:p>
      <w:pPr>
        <w:spacing w:after="0" w:line="188" w:lineRule="exact"/>
        <w:rPr>
          <w:sz w:val="20"/>
          <w:szCs w:val="20"/>
          <w:color w:val="auto"/>
        </w:rPr>
      </w:pPr>
    </w:p>
    <w:p>
      <w:pPr>
        <w:ind w:left="120" w:right="680"/>
        <w:spacing w:after="0" w:line="277" w:lineRule="auto"/>
        <w:rPr>
          <w:sz w:val="20"/>
          <w:szCs w:val="20"/>
          <w:color w:val="auto"/>
        </w:rPr>
      </w:pPr>
      <w:r>
        <w:rPr>
          <w:rFonts w:ascii="Arial" w:cs="Arial" w:eastAsia="Arial" w:hAnsi="Arial"/>
          <w:sz w:val="18"/>
          <w:szCs w:val="18"/>
          <w:color w:val="auto"/>
        </w:rPr>
        <w:t>We maintain a general liability insurance policy that covers certain liabilities of our directors and officers arising out of claims based on acts or omissions in their capacities as directors or officers.</w:t>
      </w:r>
    </w:p>
    <w:p>
      <w:pPr>
        <w:spacing w:after="0" w:line="170"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color w:val="auto"/>
        </w:rPr>
        <w:t>Insofar as the foregoing provisions permit indemnification of directors, executive officers or persons controlling us for liability arising under the Securities Act, we have been informed that, in the opinion of the SEC, such indemnification is against public policy as expressed in the Securities Act and is therefore unenforceable.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16. Exhibits.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560" w:type="dxa"/>
            <w:vAlign w:val="bottom"/>
          </w:tcPr>
          <w:p>
            <w:pPr>
              <w:spacing w:after="0"/>
              <w:rPr>
                <w:sz w:val="20"/>
                <w:szCs w:val="20"/>
                <w:color w:val="auto"/>
              </w:rPr>
            </w:pPr>
            <w:r>
              <w:rPr>
                <w:rFonts w:ascii="Arial" w:cs="Arial" w:eastAsia="Arial" w:hAnsi="Arial"/>
                <w:sz w:val="14"/>
                <w:szCs w:val="14"/>
                <w:b w:val="1"/>
                <w:bCs w:val="1"/>
                <w:color w:val="auto"/>
              </w:rPr>
              <w:t>Exhibit No.</w:t>
            </w:r>
          </w:p>
        </w:tc>
        <w:tc>
          <w:tcPr>
            <w:tcW w:w="9380" w:type="dxa"/>
            <w:vAlign w:val="bottom"/>
            <w:gridSpan w:val="6"/>
          </w:tcPr>
          <w:p>
            <w:pPr>
              <w:spacing w:after="0"/>
              <w:rPr>
                <w:sz w:val="20"/>
                <w:szCs w:val="20"/>
                <w:color w:val="auto"/>
              </w:rPr>
            </w:pPr>
            <w:r>
              <w:rPr>
                <w:rFonts w:ascii="Arial" w:cs="Arial" w:eastAsia="Arial" w:hAnsi="Arial"/>
                <w:sz w:val="14"/>
                <w:szCs w:val="14"/>
                <w:b w:val="1"/>
                <w:bCs w:val="1"/>
                <w:color w:val="auto"/>
              </w:rPr>
              <w:t>Description</w:t>
            </w:r>
          </w:p>
        </w:tc>
      </w:tr>
      <w:tr>
        <w:trPr>
          <w:trHeight w:val="216"/>
        </w:trPr>
        <w:tc>
          <w:tcPr>
            <w:tcW w:w="1560" w:type="dxa"/>
            <w:vAlign w:val="bottom"/>
          </w:tcPr>
          <w:p>
            <w:pPr>
              <w:ind w:left="80"/>
              <w:spacing w:after="0"/>
              <w:rPr>
                <w:sz w:val="20"/>
                <w:szCs w:val="20"/>
                <w:color w:val="auto"/>
              </w:rPr>
            </w:pPr>
            <w:r>
              <w:rPr>
                <w:rFonts w:ascii="Arial" w:cs="Arial" w:eastAsia="Arial" w:hAnsi="Arial"/>
                <w:sz w:val="18"/>
                <w:szCs w:val="18"/>
                <w:color w:val="auto"/>
              </w:rPr>
              <w:t>1.1*</w:t>
            </w:r>
          </w:p>
        </w:tc>
        <w:tc>
          <w:tcPr>
            <w:tcW w:w="9380" w:type="dxa"/>
            <w:vAlign w:val="bottom"/>
            <w:gridSpan w:val="6"/>
          </w:tcPr>
          <w:p>
            <w:pPr>
              <w:spacing w:after="0"/>
              <w:rPr>
                <w:sz w:val="20"/>
                <w:szCs w:val="20"/>
                <w:color w:val="auto"/>
              </w:rPr>
            </w:pPr>
            <w:r>
              <w:rPr>
                <w:rFonts w:ascii="Arial" w:cs="Arial" w:eastAsia="Arial" w:hAnsi="Arial"/>
                <w:sz w:val="18"/>
                <w:szCs w:val="18"/>
                <w:color w:val="auto"/>
              </w:rPr>
              <w:t>Form of Underwriting Agreement</w:t>
            </w:r>
          </w:p>
        </w:tc>
      </w:tr>
      <w:tr>
        <w:trPr>
          <w:trHeight w:val="190"/>
        </w:trPr>
        <w:tc>
          <w:tcPr>
            <w:tcW w:w="1560" w:type="dxa"/>
            <w:vAlign w:val="bottom"/>
          </w:tcPr>
          <w:p>
            <w:pPr>
              <w:ind w:left="80"/>
              <w:spacing w:after="0" w:line="190" w:lineRule="exact"/>
              <w:rPr>
                <w:sz w:val="20"/>
                <w:szCs w:val="20"/>
                <w:color w:val="auto"/>
              </w:rPr>
            </w:pPr>
            <w:r>
              <w:rPr>
                <w:rFonts w:ascii="Arial" w:cs="Arial" w:eastAsia="Arial" w:hAnsi="Arial"/>
                <w:sz w:val="18"/>
                <w:szCs w:val="18"/>
                <w:color w:val="auto"/>
              </w:rPr>
              <w:t>4.1</w:t>
            </w:r>
          </w:p>
        </w:tc>
        <w:tc>
          <w:tcPr>
            <w:tcW w:w="9360" w:type="dxa"/>
            <w:vAlign w:val="bottom"/>
            <w:tcBorders>
              <w:bottom w:val="single" w:sz="8" w:color="0000EE"/>
            </w:tcBorders>
            <w:gridSpan w:val="5"/>
          </w:tcPr>
          <w:p>
            <w:pPr>
              <w:spacing w:after="0" w:line="190" w:lineRule="exact"/>
              <w:rPr>
                <w:rFonts w:ascii="Arial" w:cs="Arial" w:eastAsia="Arial" w:hAnsi="Arial"/>
                <w:sz w:val="18"/>
                <w:szCs w:val="18"/>
                <w:color w:val="0000EE"/>
                <w:w w:val="91"/>
              </w:rPr>
            </w:pPr>
            <w:hyperlink r:id="rId84">
              <w:r>
                <w:rPr>
                  <w:rFonts w:ascii="Arial" w:cs="Arial" w:eastAsia="Arial" w:hAnsi="Arial"/>
                  <w:sz w:val="18"/>
                  <w:szCs w:val="18"/>
                  <w:color w:val="0000EE"/>
                  <w:w w:val="91"/>
                </w:rPr>
                <w:t>Restated Certificate of Incorporation of the Registrant (incorporated by reference to Exhibit 3.1 to the Registrant’s Current Report</w:t>
              </w:r>
            </w:hyperlink>
          </w:p>
        </w:tc>
        <w:tc>
          <w:tcPr>
            <w:tcW w:w="20" w:type="dxa"/>
            <w:vAlign w:val="bottom"/>
          </w:tcPr>
          <w:p>
            <w:pPr>
              <w:spacing w:after="0"/>
              <w:rPr>
                <w:sz w:val="16"/>
                <w:szCs w:val="16"/>
                <w:color w:val="auto"/>
              </w:rPr>
            </w:pPr>
          </w:p>
        </w:tc>
      </w:tr>
      <w:tr>
        <w:trPr>
          <w:trHeight w:val="196"/>
        </w:trPr>
        <w:tc>
          <w:tcPr>
            <w:tcW w:w="1560" w:type="dxa"/>
            <w:vAlign w:val="bottom"/>
          </w:tcPr>
          <w:p>
            <w:pPr>
              <w:spacing w:after="0"/>
              <w:rPr>
                <w:sz w:val="17"/>
                <w:szCs w:val="17"/>
                <w:color w:val="auto"/>
              </w:rPr>
            </w:pPr>
          </w:p>
        </w:tc>
        <w:tc>
          <w:tcPr>
            <w:tcW w:w="6020" w:type="dxa"/>
            <w:vAlign w:val="bottom"/>
            <w:tcBorders>
              <w:bottom w:val="single" w:sz="8" w:color="0000EE"/>
            </w:tcBorders>
            <w:gridSpan w:val="2"/>
          </w:tcPr>
          <w:p>
            <w:pPr>
              <w:spacing w:after="0" w:line="196" w:lineRule="exact"/>
              <w:rPr>
                <w:rFonts w:ascii="Arial" w:cs="Arial" w:eastAsia="Arial" w:hAnsi="Arial"/>
                <w:sz w:val="18"/>
                <w:szCs w:val="18"/>
                <w:color w:val="0000EE"/>
                <w:w w:val="91"/>
              </w:rPr>
            </w:pPr>
            <w:hyperlink r:id="rId84">
              <w:r>
                <w:rPr>
                  <w:rFonts w:ascii="Arial" w:cs="Arial" w:eastAsia="Arial" w:hAnsi="Arial"/>
                  <w:sz w:val="18"/>
                  <w:szCs w:val="18"/>
                  <w:color w:val="0000EE"/>
                  <w:w w:val="91"/>
                </w:rPr>
                <w:t>on Form 8-K filed with the Securities and Exchange Commission on July 22, 2019)</w:t>
              </w:r>
            </w:hyperlink>
          </w:p>
        </w:tc>
        <w:tc>
          <w:tcPr>
            <w:tcW w:w="3360" w:type="dxa"/>
            <w:vAlign w:val="bottom"/>
            <w:gridSpan w:val="4"/>
          </w:tcPr>
          <w:p>
            <w:pPr>
              <w:spacing w:after="0"/>
              <w:rPr>
                <w:sz w:val="17"/>
                <w:szCs w:val="17"/>
                <w:color w:val="auto"/>
              </w:rPr>
            </w:pPr>
          </w:p>
        </w:tc>
      </w:tr>
      <w:tr>
        <w:trPr>
          <w:trHeight w:val="196"/>
        </w:trPr>
        <w:tc>
          <w:tcPr>
            <w:tcW w:w="1560" w:type="dxa"/>
            <w:vAlign w:val="bottom"/>
          </w:tcPr>
          <w:p>
            <w:pPr>
              <w:ind w:left="80"/>
              <w:spacing w:after="0" w:line="196" w:lineRule="exact"/>
              <w:rPr>
                <w:sz w:val="20"/>
                <w:szCs w:val="20"/>
                <w:color w:val="auto"/>
              </w:rPr>
            </w:pPr>
            <w:r>
              <w:rPr>
                <w:rFonts w:ascii="Arial" w:cs="Arial" w:eastAsia="Arial" w:hAnsi="Arial"/>
                <w:sz w:val="18"/>
                <w:szCs w:val="18"/>
                <w:color w:val="auto"/>
              </w:rPr>
              <w:t>4.2</w:t>
            </w:r>
          </w:p>
        </w:tc>
        <w:tc>
          <w:tcPr>
            <w:tcW w:w="920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r:id="rId85">
              <w:r>
                <w:rPr>
                  <w:rFonts w:ascii="Arial" w:cs="Arial" w:eastAsia="Arial" w:hAnsi="Arial"/>
                  <w:sz w:val="18"/>
                  <w:szCs w:val="18"/>
                  <w:color w:val="0000EE"/>
                  <w:w w:val="90"/>
                </w:rPr>
                <w:t>Amended and Restated Bylaws of the Registrant (incorporated by reference to Exhibit 3.2 to the Registrant’s Current Report on</w:t>
              </w:r>
            </w:hyperlink>
          </w:p>
        </w:tc>
        <w:tc>
          <w:tcPr>
            <w:tcW w:w="180" w:type="dxa"/>
            <w:vAlign w:val="bottom"/>
            <w:gridSpan w:val="2"/>
          </w:tcPr>
          <w:p>
            <w:pPr>
              <w:spacing w:after="0"/>
              <w:rPr>
                <w:sz w:val="17"/>
                <w:szCs w:val="17"/>
                <w:color w:val="auto"/>
              </w:rPr>
            </w:pPr>
          </w:p>
        </w:tc>
      </w:tr>
      <w:tr>
        <w:trPr>
          <w:trHeight w:val="196"/>
        </w:trPr>
        <w:tc>
          <w:tcPr>
            <w:tcW w:w="1560" w:type="dxa"/>
            <w:vAlign w:val="bottom"/>
          </w:tcPr>
          <w:p>
            <w:pPr>
              <w:spacing w:after="0"/>
              <w:rPr>
                <w:sz w:val="17"/>
                <w:szCs w:val="17"/>
                <w:color w:val="auto"/>
              </w:rPr>
            </w:pPr>
          </w:p>
        </w:tc>
        <w:tc>
          <w:tcPr>
            <w:tcW w:w="5800" w:type="dxa"/>
            <w:vAlign w:val="bottom"/>
            <w:tcBorders>
              <w:bottom w:val="single" w:sz="8" w:color="0000EE"/>
            </w:tcBorders>
          </w:tcPr>
          <w:p>
            <w:pPr>
              <w:spacing w:after="0" w:line="196" w:lineRule="exact"/>
              <w:rPr>
                <w:rFonts w:ascii="Arial" w:cs="Arial" w:eastAsia="Arial" w:hAnsi="Arial"/>
                <w:sz w:val="18"/>
                <w:szCs w:val="18"/>
                <w:color w:val="0000EE"/>
                <w:w w:val="91"/>
              </w:rPr>
            </w:pPr>
            <w:hyperlink r:id="rId85">
              <w:r>
                <w:rPr>
                  <w:rFonts w:ascii="Arial" w:cs="Arial" w:eastAsia="Arial" w:hAnsi="Arial"/>
                  <w:sz w:val="18"/>
                  <w:szCs w:val="18"/>
                  <w:color w:val="0000EE"/>
                  <w:w w:val="91"/>
                </w:rPr>
                <w:t>Form 8-K filed with the Securities and Exchange Commission on July 22, 2019)</w:t>
              </w:r>
            </w:hyperlink>
          </w:p>
        </w:tc>
        <w:tc>
          <w:tcPr>
            <w:tcW w:w="3580" w:type="dxa"/>
            <w:vAlign w:val="bottom"/>
            <w:gridSpan w:val="5"/>
          </w:tcPr>
          <w:p>
            <w:pPr>
              <w:spacing w:after="0"/>
              <w:rPr>
                <w:sz w:val="17"/>
                <w:szCs w:val="17"/>
                <w:color w:val="auto"/>
              </w:rPr>
            </w:pPr>
          </w:p>
        </w:tc>
      </w:tr>
      <w:tr>
        <w:trPr>
          <w:trHeight w:val="196"/>
        </w:trPr>
        <w:tc>
          <w:tcPr>
            <w:tcW w:w="1560" w:type="dxa"/>
            <w:vAlign w:val="bottom"/>
          </w:tcPr>
          <w:p>
            <w:pPr>
              <w:ind w:left="80"/>
              <w:spacing w:after="0" w:line="196" w:lineRule="exact"/>
              <w:rPr>
                <w:sz w:val="20"/>
                <w:szCs w:val="20"/>
                <w:color w:val="auto"/>
              </w:rPr>
            </w:pPr>
            <w:r>
              <w:rPr>
                <w:rFonts w:ascii="Arial" w:cs="Arial" w:eastAsia="Arial" w:hAnsi="Arial"/>
                <w:sz w:val="18"/>
                <w:szCs w:val="18"/>
                <w:color w:val="auto"/>
              </w:rPr>
              <w:t>4.3</w:t>
            </w:r>
          </w:p>
        </w:tc>
        <w:tc>
          <w:tcPr>
            <w:tcW w:w="8940" w:type="dxa"/>
            <w:vAlign w:val="bottom"/>
            <w:tcBorders>
              <w:bottom w:val="single" w:sz="8" w:color="0000EE"/>
            </w:tcBorders>
            <w:gridSpan w:val="3"/>
          </w:tcPr>
          <w:p>
            <w:pPr>
              <w:spacing w:after="0" w:line="196" w:lineRule="exact"/>
              <w:rPr>
                <w:rFonts w:ascii="Arial" w:cs="Arial" w:eastAsia="Arial" w:hAnsi="Arial"/>
                <w:sz w:val="18"/>
                <w:szCs w:val="18"/>
                <w:color w:val="0000EE"/>
                <w:w w:val="90"/>
              </w:rPr>
            </w:pPr>
            <w:hyperlink r:id="rId86">
              <w:r>
                <w:rPr>
                  <w:rFonts w:ascii="Arial" w:cs="Arial" w:eastAsia="Arial" w:hAnsi="Arial"/>
                  <w:sz w:val="18"/>
                  <w:szCs w:val="18"/>
                  <w:color w:val="0000EE"/>
                  <w:w w:val="90"/>
                </w:rPr>
                <w:t>Specimen Stock Certificate evidencing shares of common stock (incorporated by reference to Exhibit 4.1 to the Registrant’s</w:t>
              </w:r>
            </w:hyperlink>
          </w:p>
        </w:tc>
        <w:tc>
          <w:tcPr>
            <w:tcW w:w="440" w:type="dxa"/>
            <w:vAlign w:val="bottom"/>
            <w:gridSpan w:val="3"/>
          </w:tcPr>
          <w:p>
            <w:pPr>
              <w:spacing w:after="0"/>
              <w:rPr>
                <w:sz w:val="17"/>
                <w:szCs w:val="17"/>
                <w:color w:val="auto"/>
              </w:rPr>
            </w:pPr>
          </w:p>
        </w:tc>
      </w:tr>
      <w:tr>
        <w:trPr>
          <w:trHeight w:val="196"/>
        </w:trPr>
        <w:tc>
          <w:tcPr>
            <w:tcW w:w="1560" w:type="dxa"/>
            <w:vAlign w:val="bottom"/>
          </w:tcPr>
          <w:p>
            <w:pPr>
              <w:spacing w:after="0"/>
              <w:rPr>
                <w:sz w:val="17"/>
                <w:szCs w:val="17"/>
                <w:color w:val="auto"/>
              </w:rPr>
            </w:pPr>
          </w:p>
        </w:tc>
        <w:tc>
          <w:tcPr>
            <w:tcW w:w="938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r:id="rId86">
              <w:r>
                <w:rPr>
                  <w:rFonts w:ascii="Arial" w:cs="Arial" w:eastAsia="Arial" w:hAnsi="Arial"/>
                  <w:sz w:val="18"/>
                  <w:szCs w:val="18"/>
                  <w:color w:val="0000EE"/>
                  <w:w w:val="90"/>
                </w:rPr>
                <w:t>Registration Statement on Form S-1 (File No. 333-232260) filed with the Securities and Exchange Commission on June 21, 2019)</w:t>
              </w:r>
            </w:hyperlink>
          </w:p>
        </w:tc>
      </w:tr>
    </w:tbl>
    <w:p>
      <w:pPr>
        <w:spacing w:after="0" w:line="16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080"/>
          </w:cols>
          <w:pgMar w:left="320" w:top="459" w:right="49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120" w:type="dxa"/>
            <w:vAlign w:val="bottom"/>
          </w:tcPr>
          <w:p>
            <w:pPr>
              <w:spacing w:after="0"/>
              <w:rPr>
                <w:sz w:val="20"/>
                <w:szCs w:val="20"/>
                <w:color w:val="auto"/>
              </w:rPr>
            </w:pPr>
            <w:r>
              <w:rPr>
                <w:rFonts w:ascii="Arial" w:cs="Arial" w:eastAsia="Arial" w:hAnsi="Arial"/>
                <w:sz w:val="14"/>
                <w:szCs w:val="14"/>
                <w:b w:val="1"/>
                <w:bCs w:val="1"/>
                <w:color w:val="auto"/>
              </w:rPr>
              <w:t>Exhibit No.</w:t>
            </w:r>
          </w:p>
        </w:tc>
        <w:tc>
          <w:tcPr>
            <w:tcW w:w="9880" w:type="dxa"/>
            <w:vAlign w:val="bottom"/>
            <w:gridSpan w:val="10"/>
          </w:tcPr>
          <w:p>
            <w:pPr>
              <w:spacing w:after="0"/>
              <w:rPr>
                <w:sz w:val="20"/>
                <w:szCs w:val="20"/>
                <w:color w:val="auto"/>
              </w:rPr>
            </w:pPr>
            <w:r>
              <w:rPr>
                <w:rFonts w:ascii="Arial" w:cs="Arial" w:eastAsia="Arial" w:hAnsi="Arial"/>
                <w:sz w:val="14"/>
                <w:szCs w:val="14"/>
                <w:b w:val="1"/>
                <w:bCs w:val="1"/>
                <w:color w:val="auto"/>
              </w:rPr>
              <w:t>Description</w:t>
            </w:r>
          </w:p>
        </w:tc>
      </w:tr>
      <w:tr>
        <w:trPr>
          <w:trHeight w:val="190"/>
        </w:trPr>
        <w:tc>
          <w:tcPr>
            <w:tcW w:w="1120" w:type="dxa"/>
            <w:vAlign w:val="bottom"/>
          </w:tcPr>
          <w:p>
            <w:pPr>
              <w:ind w:left="80"/>
              <w:spacing w:after="0" w:line="190" w:lineRule="exact"/>
              <w:rPr>
                <w:sz w:val="20"/>
                <w:szCs w:val="20"/>
                <w:color w:val="auto"/>
              </w:rPr>
            </w:pPr>
            <w:r>
              <w:rPr>
                <w:rFonts w:ascii="Arial" w:cs="Arial" w:eastAsia="Arial" w:hAnsi="Arial"/>
                <w:sz w:val="18"/>
                <w:szCs w:val="18"/>
                <w:color w:val="auto"/>
              </w:rPr>
              <w:t>4.4+</w:t>
            </w:r>
          </w:p>
        </w:tc>
        <w:tc>
          <w:tcPr>
            <w:tcW w:w="1840" w:type="dxa"/>
            <w:vAlign w:val="bottom"/>
            <w:tcBorders>
              <w:bottom w:val="single" w:sz="8" w:color="0000EE"/>
            </w:tcBorders>
            <w:gridSpan w:val="3"/>
          </w:tcPr>
          <w:p>
            <w:pPr>
              <w:spacing w:after="0" w:line="190" w:lineRule="exact"/>
              <w:rPr>
                <w:rFonts w:ascii="Arial" w:cs="Arial" w:eastAsia="Arial" w:hAnsi="Arial"/>
                <w:sz w:val="18"/>
                <w:szCs w:val="18"/>
                <w:color w:val="0000EE"/>
                <w:w w:val="90"/>
              </w:rPr>
            </w:pPr>
            <w:hyperlink r:id="rId88">
              <w:r>
                <w:rPr>
                  <w:rFonts w:ascii="Arial" w:cs="Arial" w:eastAsia="Arial" w:hAnsi="Arial"/>
                  <w:sz w:val="18"/>
                  <w:szCs w:val="18"/>
                  <w:color w:val="0000EE"/>
                  <w:w w:val="90"/>
                </w:rPr>
                <w:t>Form of Senior Indenture</w:t>
              </w:r>
            </w:hyperlink>
          </w:p>
        </w:tc>
        <w:tc>
          <w:tcPr>
            <w:tcW w:w="8040" w:type="dxa"/>
            <w:vAlign w:val="bottom"/>
            <w:gridSpan w:val="7"/>
          </w:tcPr>
          <w:p>
            <w:pPr>
              <w:spacing w:after="0"/>
              <w:rPr>
                <w:sz w:val="16"/>
                <w:szCs w:val="16"/>
                <w:color w:val="auto"/>
              </w:rPr>
            </w:pPr>
          </w:p>
        </w:tc>
      </w:tr>
      <w:tr>
        <w:trPr>
          <w:trHeight w:val="196"/>
        </w:trPr>
        <w:tc>
          <w:tcPr>
            <w:tcW w:w="1120" w:type="dxa"/>
            <w:vAlign w:val="bottom"/>
          </w:tcPr>
          <w:p>
            <w:pPr>
              <w:ind w:left="80"/>
              <w:spacing w:after="0" w:line="196" w:lineRule="exact"/>
              <w:rPr>
                <w:sz w:val="20"/>
                <w:szCs w:val="20"/>
                <w:color w:val="auto"/>
              </w:rPr>
            </w:pPr>
            <w:r>
              <w:rPr>
                <w:rFonts w:ascii="Arial" w:cs="Arial" w:eastAsia="Arial" w:hAnsi="Arial"/>
                <w:sz w:val="18"/>
                <w:szCs w:val="18"/>
                <w:color w:val="auto"/>
              </w:rPr>
              <w:t>4.5+</w:t>
            </w:r>
          </w:p>
        </w:tc>
        <w:tc>
          <w:tcPr>
            <w:tcW w:w="9880" w:type="dxa"/>
            <w:vAlign w:val="bottom"/>
            <w:gridSpan w:val="10"/>
          </w:tcPr>
          <w:p>
            <w:pPr>
              <w:spacing w:after="0" w:line="196" w:lineRule="exact"/>
              <w:rPr>
                <w:rFonts w:ascii="Arial" w:cs="Arial" w:eastAsia="Arial" w:hAnsi="Arial"/>
                <w:sz w:val="18"/>
                <w:szCs w:val="18"/>
                <w:color w:val="0000EE"/>
              </w:rPr>
            </w:pPr>
            <w:hyperlink r:id="rId89">
              <w:r>
                <w:rPr>
                  <w:rFonts w:ascii="Arial" w:cs="Arial" w:eastAsia="Arial" w:hAnsi="Arial"/>
                  <w:sz w:val="18"/>
                  <w:szCs w:val="18"/>
                  <w:color w:val="0000EE"/>
                </w:rPr>
                <w:t>Form of Subordinated Indenture</w:t>
              </w:r>
            </w:hyperlink>
          </w:p>
        </w:tc>
      </w:tr>
      <w:tr>
        <w:trPr>
          <w:trHeight w:val="196"/>
        </w:trPr>
        <w:tc>
          <w:tcPr>
            <w:tcW w:w="1120" w:type="dxa"/>
            <w:vAlign w:val="bottom"/>
          </w:tcPr>
          <w:p>
            <w:pPr>
              <w:ind w:left="80"/>
              <w:spacing w:after="0" w:line="196" w:lineRule="exact"/>
              <w:rPr>
                <w:sz w:val="20"/>
                <w:szCs w:val="20"/>
                <w:color w:val="auto"/>
              </w:rPr>
            </w:pPr>
            <w:r>
              <w:rPr>
                <w:rFonts w:ascii="Arial" w:cs="Arial" w:eastAsia="Arial" w:hAnsi="Arial"/>
                <w:sz w:val="18"/>
                <w:szCs w:val="18"/>
                <w:color w:val="auto"/>
              </w:rPr>
              <w:t>4.6+</w:t>
            </w:r>
          </w:p>
        </w:tc>
        <w:tc>
          <w:tcPr>
            <w:tcW w:w="15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1"/>
              </w:rPr>
            </w:pPr>
            <w:hyperlink r:id="rId90">
              <w:r>
                <w:rPr>
                  <w:rFonts w:ascii="Arial" w:cs="Arial" w:eastAsia="Arial" w:hAnsi="Arial"/>
                  <w:sz w:val="18"/>
                  <w:szCs w:val="18"/>
                  <w:color w:val="0000EE"/>
                  <w:w w:val="91"/>
                </w:rPr>
                <w:t>Form of Senior Note</w:t>
              </w:r>
            </w:hyperlink>
          </w:p>
        </w:tc>
        <w:tc>
          <w:tcPr>
            <w:tcW w:w="820" w:type="dxa"/>
            <w:vAlign w:val="bottom"/>
            <w:tcBorders>
              <w:top w:val="single" w:sz="8" w:color="0000EE"/>
            </w:tcBorders>
            <w:gridSpan w:val="3"/>
          </w:tcPr>
          <w:p>
            <w:pPr>
              <w:spacing w:after="0"/>
              <w:rPr>
                <w:sz w:val="17"/>
                <w:szCs w:val="17"/>
                <w:color w:val="auto"/>
              </w:rPr>
            </w:pPr>
          </w:p>
        </w:tc>
        <w:tc>
          <w:tcPr>
            <w:tcW w:w="7560" w:type="dxa"/>
            <w:vAlign w:val="bottom"/>
            <w:gridSpan w:val="5"/>
          </w:tcPr>
          <w:p>
            <w:pPr>
              <w:spacing w:after="0"/>
              <w:rPr>
                <w:sz w:val="17"/>
                <w:szCs w:val="17"/>
                <w:color w:val="auto"/>
              </w:rPr>
            </w:pPr>
          </w:p>
        </w:tc>
      </w:tr>
      <w:tr>
        <w:trPr>
          <w:trHeight w:val="196"/>
        </w:trPr>
        <w:tc>
          <w:tcPr>
            <w:tcW w:w="1120" w:type="dxa"/>
            <w:vAlign w:val="bottom"/>
          </w:tcPr>
          <w:p>
            <w:pPr>
              <w:ind w:left="80"/>
              <w:spacing w:after="0" w:line="196" w:lineRule="exact"/>
              <w:rPr>
                <w:sz w:val="20"/>
                <w:szCs w:val="20"/>
                <w:color w:val="auto"/>
              </w:rPr>
            </w:pPr>
            <w:r>
              <w:rPr>
                <w:rFonts w:ascii="Arial" w:cs="Arial" w:eastAsia="Arial" w:hAnsi="Arial"/>
                <w:sz w:val="18"/>
                <w:szCs w:val="18"/>
                <w:color w:val="auto"/>
              </w:rPr>
              <w:t>4.7+</w:t>
            </w:r>
          </w:p>
        </w:tc>
        <w:tc>
          <w:tcPr>
            <w:tcW w:w="9880" w:type="dxa"/>
            <w:vAlign w:val="bottom"/>
            <w:gridSpan w:val="10"/>
          </w:tcPr>
          <w:p>
            <w:pPr>
              <w:spacing w:after="0" w:line="196" w:lineRule="exact"/>
              <w:rPr>
                <w:rFonts w:ascii="Arial" w:cs="Arial" w:eastAsia="Arial" w:hAnsi="Arial"/>
                <w:sz w:val="18"/>
                <w:szCs w:val="18"/>
                <w:color w:val="0000EE"/>
              </w:rPr>
            </w:pPr>
            <w:hyperlink r:id="rId91">
              <w:r>
                <w:rPr>
                  <w:rFonts w:ascii="Arial" w:cs="Arial" w:eastAsia="Arial" w:hAnsi="Arial"/>
                  <w:sz w:val="18"/>
                  <w:szCs w:val="18"/>
                  <w:color w:val="0000EE"/>
                </w:rPr>
                <w:t>Form of Subordinated Note</w:t>
              </w:r>
            </w:hyperlink>
          </w:p>
        </w:tc>
      </w:tr>
      <w:tr>
        <w:trPr>
          <w:trHeight w:val="20"/>
        </w:trPr>
        <w:tc>
          <w:tcPr>
            <w:tcW w:w="112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r>
      <w:tr>
        <w:trPr>
          <w:trHeight w:val="222"/>
        </w:trPr>
        <w:tc>
          <w:tcPr>
            <w:tcW w:w="1120" w:type="dxa"/>
            <w:vAlign w:val="bottom"/>
          </w:tcPr>
          <w:p>
            <w:pPr>
              <w:jc w:val="right"/>
              <w:ind w:right="631"/>
              <w:spacing w:after="0"/>
              <w:rPr>
                <w:sz w:val="20"/>
                <w:szCs w:val="20"/>
                <w:color w:val="auto"/>
              </w:rPr>
            </w:pPr>
            <w:r>
              <w:rPr>
                <w:rFonts w:ascii="Arial" w:cs="Arial" w:eastAsia="Arial" w:hAnsi="Arial"/>
                <w:sz w:val="18"/>
                <w:szCs w:val="18"/>
                <w:color w:val="auto"/>
              </w:rPr>
              <w:t>4.8*</w:t>
            </w:r>
          </w:p>
        </w:tc>
        <w:tc>
          <w:tcPr>
            <w:tcW w:w="9880" w:type="dxa"/>
            <w:vAlign w:val="bottom"/>
            <w:gridSpan w:val="10"/>
          </w:tcPr>
          <w:p>
            <w:pPr>
              <w:spacing w:after="0"/>
              <w:rPr>
                <w:sz w:val="20"/>
                <w:szCs w:val="20"/>
                <w:color w:val="auto"/>
              </w:rPr>
            </w:pPr>
            <w:r>
              <w:rPr>
                <w:rFonts w:ascii="Arial" w:cs="Arial" w:eastAsia="Arial" w:hAnsi="Arial"/>
                <w:sz w:val="18"/>
                <w:szCs w:val="18"/>
                <w:color w:val="auto"/>
              </w:rPr>
              <w:t>Form of Deposit Agreement</w:t>
            </w:r>
          </w:p>
        </w:tc>
      </w:tr>
      <w:tr>
        <w:trPr>
          <w:trHeight w:val="216"/>
        </w:trPr>
        <w:tc>
          <w:tcPr>
            <w:tcW w:w="1120" w:type="dxa"/>
            <w:vAlign w:val="bottom"/>
          </w:tcPr>
          <w:p>
            <w:pPr>
              <w:jc w:val="right"/>
              <w:ind w:right="631"/>
              <w:spacing w:after="0"/>
              <w:rPr>
                <w:sz w:val="20"/>
                <w:szCs w:val="20"/>
                <w:color w:val="auto"/>
              </w:rPr>
            </w:pPr>
            <w:r>
              <w:rPr>
                <w:rFonts w:ascii="Arial" w:cs="Arial" w:eastAsia="Arial" w:hAnsi="Arial"/>
                <w:sz w:val="18"/>
                <w:szCs w:val="18"/>
                <w:color w:val="auto"/>
              </w:rPr>
              <w:t>4.9*</w:t>
            </w:r>
          </w:p>
        </w:tc>
        <w:tc>
          <w:tcPr>
            <w:tcW w:w="9880" w:type="dxa"/>
            <w:vAlign w:val="bottom"/>
            <w:gridSpan w:val="10"/>
          </w:tcPr>
          <w:p>
            <w:pPr>
              <w:spacing w:after="0"/>
              <w:rPr>
                <w:sz w:val="20"/>
                <w:szCs w:val="20"/>
                <w:color w:val="auto"/>
              </w:rPr>
            </w:pPr>
            <w:r>
              <w:rPr>
                <w:rFonts w:ascii="Arial" w:cs="Arial" w:eastAsia="Arial" w:hAnsi="Arial"/>
                <w:sz w:val="18"/>
                <w:szCs w:val="18"/>
                <w:color w:val="auto"/>
              </w:rPr>
              <w:t>Form of Warrant Agreement</w:t>
            </w:r>
          </w:p>
        </w:tc>
      </w:tr>
      <w:tr>
        <w:trPr>
          <w:trHeight w:val="216"/>
        </w:trPr>
        <w:tc>
          <w:tcPr>
            <w:tcW w:w="1120" w:type="dxa"/>
            <w:vAlign w:val="bottom"/>
          </w:tcPr>
          <w:p>
            <w:pPr>
              <w:ind w:left="80"/>
              <w:spacing w:after="0"/>
              <w:rPr>
                <w:sz w:val="20"/>
                <w:szCs w:val="20"/>
                <w:color w:val="auto"/>
              </w:rPr>
            </w:pPr>
            <w:r>
              <w:rPr>
                <w:rFonts w:ascii="Arial" w:cs="Arial" w:eastAsia="Arial" w:hAnsi="Arial"/>
                <w:sz w:val="18"/>
                <w:szCs w:val="18"/>
                <w:color w:val="auto"/>
              </w:rPr>
              <w:t>4.10*</w:t>
            </w:r>
          </w:p>
        </w:tc>
        <w:tc>
          <w:tcPr>
            <w:tcW w:w="9880" w:type="dxa"/>
            <w:vAlign w:val="bottom"/>
            <w:gridSpan w:val="10"/>
          </w:tcPr>
          <w:p>
            <w:pPr>
              <w:spacing w:after="0"/>
              <w:rPr>
                <w:sz w:val="20"/>
                <w:szCs w:val="20"/>
                <w:color w:val="auto"/>
              </w:rPr>
            </w:pPr>
            <w:r>
              <w:rPr>
                <w:rFonts w:ascii="Arial" w:cs="Arial" w:eastAsia="Arial" w:hAnsi="Arial"/>
                <w:sz w:val="18"/>
                <w:szCs w:val="18"/>
                <w:color w:val="auto"/>
              </w:rPr>
              <w:t>Form of Unit Agreement</w:t>
            </w:r>
          </w:p>
        </w:tc>
      </w:tr>
      <w:tr>
        <w:trPr>
          <w:trHeight w:val="190"/>
        </w:trPr>
        <w:tc>
          <w:tcPr>
            <w:tcW w:w="1120" w:type="dxa"/>
            <w:vAlign w:val="bottom"/>
          </w:tcPr>
          <w:p>
            <w:pPr>
              <w:jc w:val="right"/>
              <w:ind w:right="531"/>
              <w:spacing w:after="0" w:line="190" w:lineRule="exact"/>
              <w:rPr>
                <w:sz w:val="20"/>
                <w:szCs w:val="20"/>
                <w:color w:val="auto"/>
              </w:rPr>
            </w:pPr>
            <w:r>
              <w:rPr>
                <w:rFonts w:ascii="Arial" w:cs="Arial" w:eastAsia="Arial" w:hAnsi="Arial"/>
                <w:sz w:val="18"/>
                <w:szCs w:val="18"/>
                <w:color w:val="auto"/>
              </w:rPr>
              <w:t>5.1**</w:t>
            </w:r>
          </w:p>
        </w:tc>
        <w:tc>
          <w:tcPr>
            <w:tcW w:w="9880" w:type="dxa"/>
            <w:vAlign w:val="bottom"/>
            <w:gridSpan w:val="10"/>
          </w:tcPr>
          <w:p>
            <w:pPr>
              <w:spacing w:after="0" w:line="190" w:lineRule="exact"/>
              <w:rPr>
                <w:rFonts w:ascii="Arial" w:cs="Arial" w:eastAsia="Arial" w:hAnsi="Arial"/>
                <w:sz w:val="18"/>
                <w:szCs w:val="18"/>
                <w:color w:val="0000EE"/>
              </w:rPr>
            </w:pPr>
            <w:hyperlink w:anchor="page49">
              <w:r>
                <w:rPr>
                  <w:rFonts w:ascii="Arial" w:cs="Arial" w:eastAsia="Arial" w:hAnsi="Arial"/>
                  <w:sz w:val="18"/>
                  <w:szCs w:val="18"/>
                  <w:color w:val="0000EE"/>
                </w:rPr>
                <w:t>Opinion of Goodwin Procter LLP</w:t>
              </w:r>
            </w:hyperlink>
          </w:p>
        </w:tc>
      </w:tr>
      <w:tr>
        <w:trPr>
          <w:trHeight w:val="20"/>
        </w:trPr>
        <w:tc>
          <w:tcPr>
            <w:tcW w:w="112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240" w:type="dxa"/>
            <w:vAlign w:val="bottom"/>
            <w:gridSpan w:val="5"/>
            <w:shd w:val="clear" w:color="auto" w:fill="0000EE"/>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r>
      <w:tr>
        <w:trPr>
          <w:trHeight w:val="196"/>
        </w:trPr>
        <w:tc>
          <w:tcPr>
            <w:tcW w:w="1120" w:type="dxa"/>
            <w:vAlign w:val="bottom"/>
          </w:tcPr>
          <w:p>
            <w:pPr>
              <w:jc w:val="right"/>
              <w:ind w:right="531"/>
              <w:spacing w:after="0" w:line="196" w:lineRule="exact"/>
              <w:rPr>
                <w:sz w:val="20"/>
                <w:szCs w:val="20"/>
                <w:color w:val="auto"/>
              </w:rPr>
            </w:pPr>
            <w:r>
              <w:rPr>
                <w:rFonts w:ascii="Arial" w:cs="Arial" w:eastAsia="Arial" w:hAnsi="Arial"/>
                <w:sz w:val="18"/>
                <w:szCs w:val="18"/>
                <w:color w:val="auto"/>
                <w:w w:val="97"/>
              </w:rPr>
              <w:t>23.1**</w:t>
            </w:r>
          </w:p>
        </w:tc>
        <w:tc>
          <w:tcPr>
            <w:tcW w:w="9880" w:type="dxa"/>
            <w:vAlign w:val="bottom"/>
            <w:gridSpan w:val="10"/>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Consent of Ernst &amp; Young LLP, independent registered public accounting firm</w:t>
              </w:r>
            </w:hyperlink>
          </w:p>
        </w:tc>
      </w:tr>
      <w:tr>
        <w:trPr>
          <w:trHeight w:val="196"/>
        </w:trPr>
        <w:tc>
          <w:tcPr>
            <w:tcW w:w="1120" w:type="dxa"/>
            <w:vAlign w:val="bottom"/>
          </w:tcPr>
          <w:p>
            <w:pPr>
              <w:jc w:val="right"/>
              <w:ind w:right="531"/>
              <w:spacing w:after="0" w:line="196" w:lineRule="exact"/>
              <w:rPr>
                <w:sz w:val="20"/>
                <w:szCs w:val="20"/>
                <w:color w:val="auto"/>
              </w:rPr>
            </w:pPr>
            <w:r>
              <w:rPr>
                <w:rFonts w:ascii="Arial" w:cs="Arial" w:eastAsia="Arial" w:hAnsi="Arial"/>
                <w:sz w:val="18"/>
                <w:szCs w:val="18"/>
                <w:color w:val="auto"/>
                <w:w w:val="97"/>
              </w:rPr>
              <w:t>23.2**</w:t>
            </w:r>
          </w:p>
        </w:tc>
        <w:tc>
          <w:tcPr>
            <w:tcW w:w="424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2"/>
              </w:rPr>
            </w:pPr>
            <w:hyperlink w:anchor="page49">
              <w:r>
                <w:rPr>
                  <w:rFonts w:ascii="Arial" w:cs="Arial" w:eastAsia="Arial" w:hAnsi="Arial"/>
                  <w:sz w:val="18"/>
                  <w:szCs w:val="18"/>
                  <w:color w:val="0000EE"/>
                  <w:w w:val="92"/>
                </w:rPr>
                <w:t>Consent of Goodwin Procter LLP (included in Exhibit 5.1)</w:t>
              </w:r>
            </w:hyperlink>
          </w:p>
        </w:tc>
        <w:tc>
          <w:tcPr>
            <w:tcW w:w="1420" w:type="dxa"/>
            <w:vAlign w:val="bottom"/>
            <w:tcBorders>
              <w:top w:val="single" w:sz="8" w:color="0000EE"/>
            </w:tcBorders>
          </w:tcPr>
          <w:p>
            <w:pPr>
              <w:spacing w:after="0"/>
              <w:rPr>
                <w:sz w:val="17"/>
                <w:szCs w:val="17"/>
                <w:color w:val="auto"/>
              </w:rPr>
            </w:pPr>
          </w:p>
        </w:tc>
        <w:tc>
          <w:tcPr>
            <w:tcW w:w="4220" w:type="dxa"/>
            <w:vAlign w:val="bottom"/>
            <w:gridSpan w:val="2"/>
          </w:tcPr>
          <w:p>
            <w:pPr>
              <w:spacing w:after="0"/>
              <w:rPr>
                <w:sz w:val="17"/>
                <w:szCs w:val="17"/>
                <w:color w:val="auto"/>
              </w:rPr>
            </w:pPr>
          </w:p>
        </w:tc>
      </w:tr>
      <w:tr>
        <w:trPr>
          <w:trHeight w:val="196"/>
        </w:trPr>
        <w:tc>
          <w:tcPr>
            <w:tcW w:w="1120" w:type="dxa"/>
            <w:vAlign w:val="bottom"/>
          </w:tcPr>
          <w:p>
            <w:pPr>
              <w:jc w:val="right"/>
              <w:ind w:right="711"/>
              <w:spacing w:after="0" w:line="196" w:lineRule="exact"/>
              <w:rPr>
                <w:sz w:val="20"/>
                <w:szCs w:val="20"/>
                <w:color w:val="auto"/>
              </w:rPr>
            </w:pPr>
            <w:r>
              <w:rPr>
                <w:rFonts w:ascii="Arial" w:cs="Arial" w:eastAsia="Arial" w:hAnsi="Arial"/>
                <w:sz w:val="18"/>
                <w:szCs w:val="18"/>
                <w:color w:val="auto"/>
                <w:w w:val="85"/>
              </w:rPr>
              <w:t>24.1</w:t>
            </w:r>
          </w:p>
        </w:tc>
        <w:tc>
          <w:tcPr>
            <w:tcW w:w="9880" w:type="dxa"/>
            <w:vAlign w:val="bottom"/>
            <w:gridSpan w:val="10"/>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Power of Attorney (included in the signature page to the registration statement)</w:t>
              </w:r>
            </w:hyperlink>
          </w:p>
        </w:tc>
      </w:tr>
      <w:tr>
        <w:trPr>
          <w:trHeight w:val="20"/>
        </w:trPr>
        <w:tc>
          <w:tcPr>
            <w:tcW w:w="112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4520" w:type="dxa"/>
            <w:vAlign w:val="bottom"/>
            <w:gridSpan w:val="8"/>
            <w:shd w:val="clear" w:color="auto" w:fill="0000EE"/>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r>
      <w:tr>
        <w:trPr>
          <w:trHeight w:val="222"/>
        </w:trPr>
        <w:tc>
          <w:tcPr>
            <w:tcW w:w="1120" w:type="dxa"/>
            <w:vAlign w:val="bottom"/>
          </w:tcPr>
          <w:p>
            <w:pPr>
              <w:jc w:val="right"/>
              <w:ind w:right="451"/>
              <w:spacing w:after="0"/>
              <w:rPr>
                <w:sz w:val="20"/>
                <w:szCs w:val="20"/>
                <w:color w:val="auto"/>
              </w:rPr>
            </w:pPr>
            <w:r>
              <w:rPr>
                <w:rFonts w:ascii="Arial" w:cs="Arial" w:eastAsia="Arial" w:hAnsi="Arial"/>
                <w:sz w:val="18"/>
                <w:szCs w:val="18"/>
                <w:color w:val="auto"/>
                <w:w w:val="99"/>
              </w:rPr>
              <w:t>25.1***</w:t>
            </w:r>
          </w:p>
        </w:tc>
        <w:tc>
          <w:tcPr>
            <w:tcW w:w="9880" w:type="dxa"/>
            <w:vAlign w:val="bottom"/>
            <w:gridSpan w:val="10"/>
          </w:tcPr>
          <w:p>
            <w:pPr>
              <w:spacing w:after="0"/>
              <w:rPr>
                <w:sz w:val="20"/>
                <w:szCs w:val="20"/>
                <w:color w:val="auto"/>
              </w:rPr>
            </w:pPr>
            <w:r>
              <w:rPr>
                <w:rFonts w:ascii="Arial" w:cs="Arial" w:eastAsia="Arial" w:hAnsi="Arial"/>
                <w:sz w:val="18"/>
                <w:szCs w:val="18"/>
                <w:color w:val="auto"/>
                <w:w w:val="95"/>
              </w:rPr>
              <w:t>Statement of Eligibility on Form T-1 under the Trust Indenture Act of 1939, as amended, of the Trustee under the Senior Indenture</w:t>
            </w:r>
          </w:p>
        </w:tc>
      </w:tr>
      <w:tr>
        <w:trPr>
          <w:trHeight w:val="216"/>
        </w:trPr>
        <w:tc>
          <w:tcPr>
            <w:tcW w:w="1120" w:type="dxa"/>
            <w:vAlign w:val="bottom"/>
          </w:tcPr>
          <w:p>
            <w:pPr>
              <w:jc w:val="right"/>
              <w:ind w:right="451"/>
              <w:spacing w:after="0"/>
              <w:rPr>
                <w:sz w:val="20"/>
                <w:szCs w:val="20"/>
                <w:color w:val="auto"/>
              </w:rPr>
            </w:pPr>
            <w:r>
              <w:rPr>
                <w:rFonts w:ascii="Arial" w:cs="Arial" w:eastAsia="Arial" w:hAnsi="Arial"/>
                <w:sz w:val="18"/>
                <w:szCs w:val="18"/>
                <w:color w:val="auto"/>
                <w:w w:val="99"/>
              </w:rPr>
              <w:t>25.2***</w:t>
            </w:r>
          </w:p>
        </w:tc>
        <w:tc>
          <w:tcPr>
            <w:tcW w:w="9880" w:type="dxa"/>
            <w:vAlign w:val="bottom"/>
            <w:gridSpan w:val="10"/>
          </w:tcPr>
          <w:p>
            <w:pPr>
              <w:spacing w:after="0"/>
              <w:rPr>
                <w:sz w:val="20"/>
                <w:szCs w:val="20"/>
                <w:color w:val="auto"/>
              </w:rPr>
            </w:pPr>
            <w:r>
              <w:rPr>
                <w:rFonts w:ascii="Arial" w:cs="Arial" w:eastAsia="Arial" w:hAnsi="Arial"/>
                <w:sz w:val="18"/>
                <w:szCs w:val="18"/>
                <w:color w:val="auto"/>
                <w:w w:val="90"/>
              </w:rPr>
              <w:t>Statement of Eligibility on Form T-1 under the Trust Indenture Act of 1939, as amended, of the Trustee under the Subordinated Indenture</w:t>
            </w:r>
          </w:p>
        </w:tc>
      </w:tr>
      <w:tr>
        <w:trPr>
          <w:trHeight w:val="190"/>
        </w:trPr>
        <w:tc>
          <w:tcPr>
            <w:tcW w:w="1120" w:type="dxa"/>
            <w:vAlign w:val="bottom"/>
          </w:tcPr>
          <w:p>
            <w:pPr>
              <w:spacing w:after="0" w:line="190" w:lineRule="exact"/>
              <w:rPr>
                <w:sz w:val="20"/>
                <w:szCs w:val="20"/>
                <w:color w:val="auto"/>
              </w:rPr>
            </w:pPr>
            <w:r>
              <w:rPr>
                <w:rFonts w:ascii="Arial" w:cs="Arial" w:eastAsia="Arial" w:hAnsi="Arial"/>
                <w:sz w:val="18"/>
                <w:szCs w:val="18"/>
                <w:color w:val="auto"/>
              </w:rPr>
              <w:t>107**</w:t>
            </w:r>
          </w:p>
        </w:tc>
        <w:tc>
          <w:tcPr>
            <w:tcW w:w="1180" w:type="dxa"/>
            <w:vAlign w:val="bottom"/>
            <w:tcBorders>
              <w:bottom w:val="single" w:sz="8" w:color="0000EE"/>
            </w:tcBorders>
          </w:tcPr>
          <w:p>
            <w:pPr>
              <w:spacing w:after="0" w:line="190" w:lineRule="exact"/>
              <w:rPr>
                <w:rFonts w:ascii="Arial" w:cs="Arial" w:eastAsia="Arial" w:hAnsi="Arial"/>
                <w:sz w:val="18"/>
                <w:szCs w:val="18"/>
                <w:color w:val="0000EE"/>
                <w:w w:val="89"/>
              </w:rPr>
            </w:pPr>
            <w:hyperlink w:anchor="page53">
              <w:r>
                <w:rPr>
                  <w:rFonts w:ascii="Arial" w:cs="Arial" w:eastAsia="Arial" w:hAnsi="Arial"/>
                  <w:sz w:val="18"/>
                  <w:szCs w:val="18"/>
                  <w:color w:val="0000EE"/>
                  <w:w w:val="89"/>
                </w:rPr>
                <w:t>Filing Fee Table</w:t>
              </w:r>
            </w:hyperlink>
          </w:p>
        </w:tc>
        <w:tc>
          <w:tcPr>
            <w:tcW w:w="8700" w:type="dxa"/>
            <w:vAlign w:val="bottom"/>
            <w:gridSpan w:val="9"/>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77152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9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82" w:lineRule="exact"/>
        <w:rPr>
          <w:sz w:val="20"/>
          <w:szCs w:val="20"/>
          <w:color w:val="auto"/>
        </w:rPr>
      </w:pPr>
    </w:p>
    <w:p>
      <w:pPr>
        <w:ind w:left="660" w:right="460" w:hanging="544"/>
        <w:spacing w:after="0" w:line="258"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To be filed, if necessary, by amendment or as an exhibit to a document to be incorporated or deemed to be incorporated by reference in this registration statement, including a Current Report on Form 8-K.</w:t>
      </w:r>
    </w:p>
    <w:p>
      <w:pPr>
        <w:spacing w:after="0" w:line="1" w:lineRule="exact"/>
        <w:rPr>
          <w:sz w:val="20"/>
          <w:szCs w:val="20"/>
          <w:color w:val="auto"/>
        </w:rPr>
      </w:pPr>
    </w:p>
    <w:p>
      <w:pPr>
        <w:ind w:left="660" w:hanging="544"/>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9" w:lineRule="exact"/>
        <w:rPr>
          <w:rFonts w:ascii="Arial" w:cs="Arial" w:eastAsia="Arial" w:hAnsi="Arial"/>
          <w:sz w:val="18"/>
          <w:szCs w:val="18"/>
          <w:color w:val="auto"/>
        </w:rPr>
      </w:pPr>
    </w:p>
    <w:p>
      <w:pPr>
        <w:ind w:left="660" w:hanging="544"/>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To be filed pursuant to Section 305(b)(2) of the Trust Indenture Act of 1939.</w:t>
      </w:r>
    </w:p>
    <w:p>
      <w:pPr>
        <w:spacing w:after="0" w:line="9" w:lineRule="exact"/>
        <w:rPr>
          <w:rFonts w:ascii="Arial" w:cs="Arial" w:eastAsia="Arial" w:hAnsi="Arial"/>
          <w:sz w:val="18"/>
          <w:szCs w:val="18"/>
          <w:color w:val="auto"/>
        </w:rPr>
      </w:pPr>
    </w:p>
    <w:p>
      <w:pPr>
        <w:ind w:left="12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Previously filed.</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17. Undertakings.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undersigned Registrant hereby undertakes:</w:t>
      </w:r>
    </w:p>
    <w:p>
      <w:pPr>
        <w:spacing w:after="0" w:line="131" w:lineRule="exact"/>
        <w:rPr>
          <w:sz w:val="20"/>
          <w:szCs w:val="20"/>
          <w:color w:val="auto"/>
        </w:rPr>
      </w:pPr>
    </w:p>
    <w:p>
      <w:pPr>
        <w:ind w:left="440"/>
        <w:spacing w:after="0"/>
        <w:tabs>
          <w:tab w:leader="none" w:pos="1060" w:val="left"/>
        </w:tabs>
        <w:rPr>
          <w:sz w:val="20"/>
          <w:szCs w:val="20"/>
          <w:color w:val="auto"/>
        </w:rPr>
      </w:pPr>
      <w:r>
        <w:rPr>
          <w:rFonts w:ascii="Arial" w:cs="Arial" w:eastAsia="Arial" w:hAnsi="Arial"/>
          <w:sz w:val="18"/>
          <w:szCs w:val="18"/>
          <w:color w:val="auto"/>
        </w:rPr>
        <w:t>(a)(1)</w:t>
        <w:tab/>
        <w:t>To file, during any period in which offers or sales are being made, a post-effective amendment to this registration statement:</w:t>
      </w:r>
    </w:p>
    <w:p>
      <w:pPr>
        <w:spacing w:after="0" w:line="131" w:lineRule="exact"/>
        <w:rPr>
          <w:sz w:val="20"/>
          <w:szCs w:val="20"/>
          <w:color w:val="auto"/>
        </w:rPr>
      </w:pPr>
    </w:p>
    <w:p>
      <w:pPr>
        <w:ind w:left="1540" w:hanging="439"/>
        <w:spacing w:after="0"/>
        <w:tabs>
          <w:tab w:leader="none" w:pos="15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 as amended (the “Securities Act”);</w:t>
      </w:r>
    </w:p>
    <w:p>
      <w:pPr>
        <w:spacing w:after="0" w:line="130" w:lineRule="exact"/>
        <w:rPr>
          <w:rFonts w:ascii="Arial" w:cs="Arial" w:eastAsia="Arial" w:hAnsi="Arial"/>
          <w:sz w:val="18"/>
          <w:szCs w:val="18"/>
          <w:color w:val="auto"/>
        </w:rPr>
      </w:pPr>
    </w:p>
    <w:p>
      <w:pPr>
        <w:ind w:left="1540" w:right="20" w:hanging="439"/>
        <w:spacing w:after="0" w:line="272" w:lineRule="auto"/>
        <w:tabs>
          <w:tab w:leader="none" w:pos="15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percent change in the maximum aggregate offering price set forth in the “Calculation of Registration Fee” table in the effective registration statement; and</w:t>
      </w:r>
    </w:p>
    <w:p>
      <w:pPr>
        <w:spacing w:after="0" w:line="82" w:lineRule="exact"/>
        <w:rPr>
          <w:rFonts w:ascii="Arial" w:cs="Arial" w:eastAsia="Arial" w:hAnsi="Arial"/>
          <w:sz w:val="17"/>
          <w:szCs w:val="17"/>
          <w:color w:val="auto"/>
        </w:rPr>
      </w:pPr>
    </w:p>
    <w:p>
      <w:pPr>
        <w:ind w:left="1540" w:right="160" w:hanging="439"/>
        <w:spacing w:after="0" w:line="277" w:lineRule="auto"/>
        <w:tabs>
          <w:tab w:leader="none" w:pos="15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this registration statement or any material change to such information in this registration statement;</w:t>
      </w:r>
    </w:p>
    <w:p>
      <w:pPr>
        <w:spacing w:after="0" w:line="62" w:lineRule="exact"/>
        <w:rPr>
          <w:sz w:val="20"/>
          <w:szCs w:val="20"/>
          <w:color w:val="auto"/>
        </w:rPr>
      </w:pPr>
    </w:p>
    <w:p>
      <w:pPr>
        <w:ind w:left="1100" w:right="20"/>
        <w:spacing w:after="0" w:line="301" w:lineRule="auto"/>
        <w:rPr>
          <w:sz w:val="20"/>
          <w:szCs w:val="20"/>
          <w:color w:val="auto"/>
        </w:rPr>
      </w:pP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however</w:t>
      </w:r>
      <w:r>
        <w:rPr>
          <w:rFonts w:ascii="Arial" w:cs="Arial" w:eastAsia="Arial" w:hAnsi="Arial"/>
          <w:sz w:val="16"/>
          <w:szCs w:val="16"/>
          <w:color w:val="auto"/>
        </w:rPr>
        <w:t>, that paragraphs (a)(1)(i), (a)(1)(ii) and (a)(1)(iii) do not apply if the information required to be included in a post-effective amendment by those paragraphs is contained in reports filed with or furnished to the Commission by a Registrant pursuant to Section 13 or Section 15(d) of the Securities Exchange Act of 1934, as amended (the “Exchange Act”), that are incorporated by reference in this registration statement, or is contained in a form of prospectus filed pursuant to Rule 424(b) that is part of this registration statement.</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120"/>
          </w:cols>
          <w:pgMar w:left="320" w:top="459" w:right="4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60" w:hanging="532"/>
        <w:spacing w:after="0" w:line="263"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 xml:space="preserve">That, for the purposes of determining any liability under the Securities Act, each such post-effective amendment shall be deemed to be a new registration statement relating to the securities offered therein, and the offering of such securities at the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89" w:lineRule="exact"/>
        <w:rPr>
          <w:rFonts w:ascii="Arial" w:cs="Arial" w:eastAsia="Arial" w:hAnsi="Arial"/>
          <w:sz w:val="18"/>
          <w:szCs w:val="18"/>
          <w:color w:val="auto"/>
        </w:rPr>
      </w:pPr>
    </w:p>
    <w:p>
      <w:pPr>
        <w:ind w:left="1080" w:right="360" w:hanging="532"/>
        <w:spacing w:after="0" w:line="277"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to any purchaser:</w:t>
      </w:r>
    </w:p>
    <w:p>
      <w:pPr>
        <w:spacing w:after="0" w:line="130" w:lineRule="exact"/>
        <w:rPr>
          <w:rFonts w:ascii="Arial" w:cs="Arial" w:eastAsia="Arial" w:hAnsi="Arial"/>
          <w:sz w:val="18"/>
          <w:szCs w:val="18"/>
          <w:color w:val="auto"/>
        </w:rPr>
      </w:pPr>
    </w:p>
    <w:p>
      <w:pPr>
        <w:ind w:left="1540" w:right="320" w:hanging="439"/>
        <w:spacing w:after="0" w:line="277" w:lineRule="auto"/>
        <w:tabs>
          <w:tab w:leader="none" w:pos="1540" w:val="left"/>
        </w:tabs>
        <w:numPr>
          <w:ilvl w:val="1"/>
          <w:numId w:val="32"/>
        </w:numPr>
        <w:rPr>
          <w:rFonts w:ascii="Arial" w:cs="Arial" w:eastAsia="Arial" w:hAnsi="Arial"/>
          <w:sz w:val="18"/>
          <w:szCs w:val="18"/>
          <w:color w:val="auto"/>
        </w:rPr>
      </w:pPr>
      <w:r>
        <w:rPr>
          <w:rFonts w:ascii="Arial" w:cs="Arial" w:eastAsia="Arial" w:hAnsi="Arial"/>
          <w:sz w:val="18"/>
          <w:szCs w:val="18"/>
          <w:color w:val="auto"/>
        </w:rPr>
        <w:t>each prospectus filed by a Registrant pursuant to Rule 424(b)(3) shall be deemed to be part of the registration statement as of the date the filed prospectus was deemed part of and included in the registration statement; and</w:t>
      </w:r>
    </w:p>
    <w:p>
      <w:pPr>
        <w:spacing w:after="0" w:line="75" w:lineRule="exact"/>
        <w:rPr>
          <w:rFonts w:ascii="Arial" w:cs="Arial" w:eastAsia="Arial" w:hAnsi="Arial"/>
          <w:sz w:val="18"/>
          <w:szCs w:val="18"/>
          <w:color w:val="auto"/>
        </w:rPr>
      </w:pPr>
    </w:p>
    <w:p>
      <w:pPr>
        <w:ind w:left="1540" w:hanging="439"/>
        <w:spacing w:after="0" w:line="287" w:lineRule="auto"/>
        <w:tabs>
          <w:tab w:leader="none" w:pos="1540" w:val="left"/>
        </w:tabs>
        <w:numPr>
          <w:ilvl w:val="1"/>
          <w:numId w:val="32"/>
        </w:numPr>
        <w:rPr>
          <w:rFonts w:ascii="Arial" w:cs="Arial" w:eastAsia="Arial" w:hAnsi="Arial"/>
          <w:sz w:val="16"/>
          <w:szCs w:val="16"/>
          <w:color w:val="auto"/>
        </w:rPr>
      </w:pPr>
      <w:r>
        <w:rPr>
          <w:rFonts w:ascii="Arial" w:cs="Arial" w:eastAsia="Arial" w:hAnsi="Arial"/>
          <w:sz w:val="16"/>
          <w:szCs w:val="16"/>
          <w:color w:val="auto"/>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Arial" w:cs="Arial" w:eastAsia="Arial" w:hAnsi="Arial"/>
          <w:sz w:val="16"/>
          <w:szCs w:val="16"/>
          <w:i w:val="1"/>
          <w:iCs w:val="1"/>
          <w:color w:val="auto"/>
        </w:rPr>
        <w:t xml:space="preserve">bona fide </w:t>
      </w:r>
      <w:r>
        <w:rPr>
          <w:rFonts w:ascii="Arial" w:cs="Arial" w:eastAsia="Arial" w:hAnsi="Arial"/>
          <w:sz w:val="16"/>
          <w:szCs w:val="16"/>
          <w:color w:val="auto"/>
        </w:rPr>
        <w:t>offering thereof;.</w:t>
      </w:r>
      <w:r>
        <w:rPr>
          <w:rFonts w:ascii="Arial" w:cs="Arial" w:eastAsia="Arial" w:hAnsi="Arial"/>
          <w:sz w:val="16"/>
          <w:szCs w:val="16"/>
          <w:i w:val="1"/>
          <w:iCs w:val="1"/>
          <w:color w:val="auto"/>
        </w:rPr>
        <w:t xml:space="preserve"> provided, however</w:t>
      </w:r>
      <w:r>
        <w:rPr>
          <w:rFonts w:ascii="Arial" w:cs="Arial" w:eastAsia="Arial" w:hAnsi="Arial"/>
          <w:sz w:val="16"/>
          <w:szCs w:val="16"/>
          <w:color w:val="auto"/>
        </w:rPr>
        <w:t>, that no statement made in a registration statement or prospectus that is part of the</w:t>
      </w:r>
      <w:r>
        <w:rPr>
          <w:rFonts w:ascii="Arial" w:cs="Arial" w:eastAsia="Arial" w:hAnsi="Arial"/>
          <w:sz w:val="16"/>
          <w:szCs w:val="16"/>
          <w:i w:val="1"/>
          <w:iCs w:val="1"/>
          <w:color w:val="auto"/>
        </w:rPr>
        <w:t xml:space="preserve"> </w:t>
      </w:r>
      <w:r>
        <w:rPr>
          <w:rFonts w:ascii="Arial" w:cs="Arial" w:eastAsia="Arial" w:hAnsi="Arial"/>
          <w:sz w:val="16"/>
          <w:szCs w:val="16"/>
          <w:color w:val="auto"/>
        </w:rPr>
        <w:t>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73" w:lineRule="exact"/>
        <w:rPr>
          <w:rFonts w:ascii="Arial" w:cs="Arial" w:eastAsia="Arial" w:hAnsi="Arial"/>
          <w:sz w:val="16"/>
          <w:szCs w:val="16"/>
          <w:color w:val="auto"/>
        </w:rPr>
      </w:pPr>
    </w:p>
    <w:p>
      <w:pPr>
        <w:ind w:left="1080" w:right="60" w:hanging="532"/>
        <w:spacing w:after="0" w:line="275" w:lineRule="auto"/>
        <w:tabs>
          <w:tab w:leader="none" w:pos="10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That, for the purpose of determining liability of a Registrant under the Securities Act to any purchaser in the initial distribution of the securities, the undersigned Registrant undertakes that in a primary offering of securities of such undersigned Registrant pursuant to this registration statement, regardless of the underwriting method used to sell the securities to the purchaser, if the securities are offered or sold to such purchaser by means of any of the following communications, such undersigned Registrant will be a seller to the purchaser and will be considered to offer or sell such securities to such purchaser:</w:t>
      </w:r>
    </w:p>
    <w:p>
      <w:pPr>
        <w:spacing w:after="0" w:line="81" w:lineRule="exact"/>
        <w:rPr>
          <w:rFonts w:ascii="Arial" w:cs="Arial" w:eastAsia="Arial" w:hAnsi="Arial"/>
          <w:sz w:val="17"/>
          <w:szCs w:val="17"/>
          <w:color w:val="auto"/>
        </w:rPr>
      </w:pPr>
    </w:p>
    <w:p>
      <w:pPr>
        <w:ind w:left="1540" w:right="400" w:hanging="439"/>
        <w:spacing w:after="0" w:line="277" w:lineRule="auto"/>
        <w:tabs>
          <w:tab w:leader="none" w:pos="154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preliminary prospectus or prospectus of such undersigned Registrant relating to the offering required to be filed pursuant to Rule 424;</w:t>
      </w:r>
    </w:p>
    <w:p>
      <w:pPr>
        <w:spacing w:after="0" w:line="75" w:lineRule="exact"/>
        <w:rPr>
          <w:rFonts w:ascii="Arial" w:cs="Arial" w:eastAsia="Arial" w:hAnsi="Arial"/>
          <w:sz w:val="18"/>
          <w:szCs w:val="18"/>
          <w:color w:val="auto"/>
        </w:rPr>
      </w:pPr>
    </w:p>
    <w:p>
      <w:pPr>
        <w:ind w:left="1540" w:right="80" w:hanging="439"/>
        <w:spacing w:after="0" w:line="277" w:lineRule="auto"/>
        <w:tabs>
          <w:tab w:leader="none" w:pos="154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such undersigned Registrant or used or referred to by such undersigned Registrant;</w:t>
      </w:r>
    </w:p>
    <w:p>
      <w:pPr>
        <w:spacing w:after="0" w:line="75" w:lineRule="exact"/>
        <w:rPr>
          <w:rFonts w:ascii="Arial" w:cs="Arial" w:eastAsia="Arial" w:hAnsi="Arial"/>
          <w:sz w:val="18"/>
          <w:szCs w:val="18"/>
          <w:color w:val="auto"/>
        </w:rPr>
      </w:pPr>
    </w:p>
    <w:p>
      <w:pPr>
        <w:ind w:left="1540" w:right="560" w:hanging="439"/>
        <w:spacing w:after="0" w:line="277" w:lineRule="auto"/>
        <w:tabs>
          <w:tab w:leader="none" w:pos="1540" w:val="left"/>
        </w:tabs>
        <w:numPr>
          <w:ilvl w:val="1"/>
          <w:numId w:val="32"/>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75" w:lineRule="exact"/>
        <w:rPr>
          <w:rFonts w:ascii="Arial" w:cs="Arial" w:eastAsia="Arial" w:hAnsi="Arial"/>
          <w:sz w:val="18"/>
          <w:szCs w:val="18"/>
          <w:color w:val="auto"/>
        </w:rPr>
      </w:pPr>
    </w:p>
    <w:p>
      <w:pPr>
        <w:ind w:left="1540" w:hanging="439"/>
        <w:spacing w:after="0"/>
        <w:tabs>
          <w:tab w:leader="none" w:pos="154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such undersigned Registrant to the purchaser.</w:t>
      </w:r>
    </w:p>
    <w:p>
      <w:pPr>
        <w:spacing w:after="0" w:line="131" w:lineRule="exact"/>
        <w:rPr>
          <w:sz w:val="20"/>
          <w:szCs w:val="20"/>
          <w:color w:val="auto"/>
        </w:rPr>
      </w:pPr>
    </w:p>
    <w:p>
      <w:pPr>
        <w:ind w:left="1080" w:right="140" w:hanging="532"/>
        <w:spacing w:after="0" w:line="257"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 xml:space="preserve">The undersigned Registrant hereby undertakes that, for purposes of determining any liability under the Securities Act, each filing of the Registrant’s annual report pursuant to Section 13(a) or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120"/>
          </w:cols>
          <w:pgMar w:left="320" w:top="459" w:right="4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line="253"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Insofar as indemnification for liabilities arising under the Securities Act may be permitted to directors, officers and controlling persons of any Registrant pursuant to the indemnification provisions described herein, or otherwise, each Registrant has been advised that in the opinion of the Commission such indemnification is against public policy as expressed in the Securities Act and is, therefore, unenforceable. In the event that a claim for indemnification against such liabilities (other than the payment by a Registrant of expenses incurred or paid by a director, officer or controlling person of such Registrant in the successful defense of any action, suit or proceeding) is asserted by such director, officer or controlling person in connection with the securities being registered, such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01"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That, for purposes of determining any liability under the Securities Act:</w:t>
      </w:r>
    </w:p>
    <w:p>
      <w:pPr>
        <w:spacing w:after="0" w:line="130" w:lineRule="exact"/>
        <w:rPr>
          <w:rFonts w:ascii="Arial" w:cs="Arial" w:eastAsia="Arial" w:hAnsi="Arial"/>
          <w:sz w:val="18"/>
          <w:szCs w:val="18"/>
          <w:color w:val="auto"/>
        </w:rPr>
      </w:pPr>
    </w:p>
    <w:p>
      <w:pPr>
        <w:ind w:left="1540" w:right="80" w:hanging="439"/>
        <w:spacing w:after="0" w:line="263" w:lineRule="auto"/>
        <w:tabs>
          <w:tab w:leader="none" w:pos="1540" w:val="left"/>
        </w:tabs>
        <w:numPr>
          <w:ilvl w:val="1"/>
          <w:numId w:val="34"/>
        </w:numPr>
        <w:rPr>
          <w:rFonts w:ascii="Arial" w:cs="Arial" w:eastAsia="Arial" w:hAnsi="Arial"/>
          <w:sz w:val="18"/>
          <w:szCs w:val="18"/>
          <w:color w:val="auto"/>
        </w:rPr>
      </w:pPr>
      <w:r>
        <w:rPr>
          <w:rFonts w:ascii="Arial" w:cs="Arial" w:eastAsia="Arial" w:hAnsi="Arial"/>
          <w:sz w:val="18"/>
          <w:szCs w:val="18"/>
          <w:color w:val="auto"/>
        </w:rPr>
        <w:t>the information omitted from the form of prospectus filed as part of the registration statement in reliance upon Rule 430A and contained in the form of prospectus filed by the Registrant pursuant to Rule 424(b)(1) or (4) or 497(h) under the Securities Act shall be deemed to be part of the registration statement as of the time it was declared effective; and</w:t>
      </w:r>
    </w:p>
    <w:p>
      <w:pPr>
        <w:spacing w:after="0" w:line="89" w:lineRule="exact"/>
        <w:rPr>
          <w:rFonts w:ascii="Arial" w:cs="Arial" w:eastAsia="Arial" w:hAnsi="Arial"/>
          <w:sz w:val="18"/>
          <w:szCs w:val="18"/>
          <w:color w:val="auto"/>
        </w:rPr>
      </w:pPr>
    </w:p>
    <w:p>
      <w:pPr>
        <w:jc w:val="both"/>
        <w:ind w:left="1540" w:right="140" w:hanging="439"/>
        <w:spacing w:after="0" w:line="342" w:lineRule="auto"/>
        <w:tabs>
          <w:tab w:leader="none" w:pos="1540" w:val="left"/>
        </w:tabs>
        <w:numPr>
          <w:ilvl w:val="1"/>
          <w:numId w:val="34"/>
        </w:numPr>
        <w:rPr>
          <w:rFonts w:ascii="Arial" w:cs="Arial" w:eastAsia="Arial" w:hAnsi="Arial"/>
          <w:sz w:val="16"/>
          <w:szCs w:val="16"/>
          <w:color w:val="auto"/>
        </w:rPr>
      </w:pPr>
      <w:r>
        <w:rPr>
          <w:rFonts w:ascii="Arial" w:cs="Arial" w:eastAsia="Arial" w:hAnsi="Arial"/>
          <w:sz w:val="16"/>
          <w:szCs w:val="16"/>
          <w:color w:val="auto"/>
        </w:rPr>
        <w:t xml:space="preserve">each post-effective amendment that contains a form of prospectus shall be deemed to be a new registration statement relating to the securities offered therein, and the offering of such securities at that time shall be deemed to be the initial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offering thereof.</w:t>
      </w:r>
    </w:p>
    <w:p>
      <w:pPr>
        <w:spacing w:after="0" w:line="29" w:lineRule="exact"/>
        <w:rPr>
          <w:rFonts w:ascii="Arial" w:cs="Arial" w:eastAsia="Arial" w:hAnsi="Arial"/>
          <w:sz w:val="16"/>
          <w:szCs w:val="16"/>
          <w:color w:val="auto"/>
        </w:rPr>
      </w:pPr>
    </w:p>
    <w:p>
      <w:pPr>
        <w:jc w:val="both"/>
        <w:ind w:left="1080" w:right="100" w:hanging="532"/>
        <w:spacing w:after="0" w:line="263"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undersigned Registrant hereby undertake to file an application for the purpose of determining the eligibility of the trustee to act under subsection (a) of Section 310 of the Trust Indenture Act in accordance with the rules and regulations prescribed by the Commission under Section 305(b)(2) of the Trust Indenture Act.</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120"/>
          </w:cols>
          <w:pgMar w:left="320" w:top="459" w:right="4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jc w:val="both"/>
        <w:ind w:left="120" w:right="80"/>
        <w:spacing w:after="0" w:line="286" w:lineRule="auto"/>
        <w:rPr>
          <w:sz w:val="20"/>
          <w:szCs w:val="20"/>
          <w:color w:val="auto"/>
        </w:rPr>
      </w:pPr>
      <w:r>
        <w:rPr>
          <w:rFonts w:ascii="Arial" w:cs="Arial" w:eastAsia="Arial" w:hAnsi="Arial"/>
          <w:sz w:val="17"/>
          <w:szCs w:val="17"/>
          <w:color w:val="auto"/>
        </w:rPr>
        <w:t>Pursuant to the requirements of the Securities Act of 1933, as amended, the Registrant certifies that it has reasonable grounds to believe that it meets all of the requirements for filing on Form S-3 and has duly caused this Post-Effective Amendment No. 1 to Form S-3 ASR to be signed on its behalf by the undersigned, thereunto duly authorized, in the City of Cambridge, Commonwealth of Massachusetts, on March 2, 2022.</w:t>
      </w:r>
    </w:p>
    <w:p>
      <w:pPr>
        <w:spacing w:after="0" w:line="188"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FULCRUM THERAPEUTICS, INC.</w:t>
      </w:r>
    </w:p>
    <w:p>
      <w:pPr>
        <w:spacing w:after="0" w:line="22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/s/ Bryan E. Stuart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14605</wp:posOffset>
            </wp:positionV>
            <wp:extent cx="259715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6">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Name: Bryan E. Stuart</w:t>
      </w:r>
    </w:p>
    <w:p>
      <w:pPr>
        <w:spacing w:after="0" w:line="23"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Title: President and Chief Executive Officer</w:t>
      </w:r>
    </w:p>
    <w:p>
      <w:pPr>
        <w:spacing w:after="0" w:line="200" w:lineRule="exact"/>
        <w:rPr>
          <w:sz w:val="20"/>
          <w:szCs w:val="20"/>
          <w:color w:val="auto"/>
        </w:rPr>
      </w:pPr>
    </w:p>
    <w:p>
      <w:pPr>
        <w:spacing w:after="0" w:line="22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SIGNATURES AND POWER OF ATTORNEY</w:t>
      </w:r>
    </w:p>
    <w:p>
      <w:pPr>
        <w:spacing w:after="0" w:line="229" w:lineRule="exact"/>
        <w:rPr>
          <w:sz w:val="20"/>
          <w:szCs w:val="20"/>
          <w:color w:val="auto"/>
        </w:rPr>
      </w:pPr>
    </w:p>
    <w:p>
      <w:pPr>
        <w:ind w:left="120" w:right="20"/>
        <w:spacing w:after="0" w:line="270" w:lineRule="auto"/>
        <w:rPr>
          <w:sz w:val="20"/>
          <w:szCs w:val="20"/>
          <w:color w:val="auto"/>
        </w:rPr>
      </w:pPr>
      <w:r>
        <w:rPr>
          <w:rFonts w:ascii="Arial" w:cs="Arial" w:eastAsia="Arial" w:hAnsi="Arial"/>
          <w:sz w:val="17"/>
          <w:szCs w:val="17"/>
          <w:color w:val="auto"/>
        </w:rPr>
        <w:t>We, the undersigned officers and directors of Fulcrum Therapeutics, Inc. hereby severally constitute and appoint Bryan E. Stuart, Esther Rajavelu and Curtis Oltmans, and each of them singly, our true and lawful attorneys-in-fact with full power to any of them, and to each of them singly, to sign for us and in our names in the capacities indicated below the registration statement on Form S-3 filed herewith and any and all amendments (including post-effective amendments) to said registration statement, and any registration statement filed pursuant to Rule 462 under the Securities Act of 1933, as amended, in connection with said registration statement, and to file or cause to be filed the same, with all exhibits thereto and other documents in connection therewith, with the Securities and Exchange Commission, and generally to do all such things in our name and on our behalf in our capacities as officers and directors to enable Fulcrum Therapeutics, Inc. to comply with the provisions of the Securities Act of 1933, as amended, and all requirements of the Securities and Exchange Commission, hereby ratifying and confirming all that said attorneys, and each of them, or their substitute or substitutes, shall do or cause to be done by virtue hereof.</w:t>
      </w:r>
    </w:p>
    <w:p>
      <w:pPr>
        <w:spacing w:after="0" w:line="181" w:lineRule="exact"/>
        <w:rPr>
          <w:sz w:val="20"/>
          <w:szCs w:val="20"/>
          <w:color w:val="auto"/>
        </w:rPr>
      </w:pPr>
    </w:p>
    <w:p>
      <w:pPr>
        <w:ind w:left="120" w:right="400"/>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3780" w:type="dxa"/>
            <w:vAlign w:val="bottom"/>
            <w:tcBorders>
              <w:bottom w:val="single" w:sz="8" w:color="auto"/>
            </w:tcBorders>
          </w:tcPr>
          <w:p>
            <w:pPr>
              <w:ind w:left="1580"/>
              <w:spacing w:after="0"/>
              <w:rPr>
                <w:sz w:val="20"/>
                <w:szCs w:val="20"/>
                <w:color w:val="auto"/>
              </w:rPr>
            </w:pPr>
            <w:r>
              <w:rPr>
                <w:rFonts w:ascii="Arial" w:cs="Arial" w:eastAsia="Arial" w:hAnsi="Arial"/>
                <w:sz w:val="14"/>
                <w:szCs w:val="14"/>
                <w:b w:val="1"/>
                <w:bCs w:val="1"/>
                <w:color w:val="auto"/>
              </w:rPr>
              <w:t>Signature</w:t>
            </w:r>
          </w:p>
        </w:tc>
        <w:tc>
          <w:tcPr>
            <w:tcW w:w="100" w:type="dxa"/>
            <w:vAlign w:val="bottom"/>
          </w:tcPr>
          <w:p>
            <w:pPr>
              <w:spacing w:after="0"/>
              <w:rPr>
                <w:sz w:val="16"/>
                <w:szCs w:val="16"/>
                <w:color w:val="auto"/>
              </w:rPr>
            </w:pPr>
          </w:p>
        </w:tc>
        <w:tc>
          <w:tcPr>
            <w:tcW w:w="4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c>
          <w:tcPr>
            <w:tcW w:w="220" w:type="dxa"/>
            <w:vAlign w:val="bottom"/>
          </w:tcPr>
          <w:p>
            <w:pPr>
              <w:spacing w:after="0"/>
              <w:rPr>
                <w:sz w:val="16"/>
                <w:szCs w:val="16"/>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r>
      <w:tr>
        <w:trPr>
          <w:trHeight w:val="412"/>
        </w:trPr>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Bryan E. Stuart</w:t>
            </w:r>
          </w:p>
        </w:tc>
        <w:tc>
          <w:tcPr>
            <w:tcW w:w="100" w:type="dxa"/>
            <w:vAlign w:val="bottom"/>
          </w:tcPr>
          <w:p>
            <w:pPr>
              <w:spacing w:after="0"/>
              <w:rPr>
                <w:sz w:val="24"/>
                <w:szCs w:val="24"/>
                <w:color w:val="auto"/>
              </w:rPr>
            </w:pPr>
          </w:p>
        </w:tc>
        <w:tc>
          <w:tcPr>
            <w:tcW w:w="512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President and Chief Executive Officer, Director</w:t>
            </w:r>
          </w:p>
        </w:tc>
        <w:tc>
          <w:tcPr>
            <w:tcW w:w="2020" w:type="dxa"/>
            <w:vAlign w:val="bottom"/>
          </w:tcPr>
          <w:p>
            <w:pPr>
              <w:jc w:val="center"/>
              <w:spacing w:after="0"/>
              <w:rPr>
                <w:sz w:val="20"/>
                <w:szCs w:val="20"/>
                <w:color w:val="auto"/>
              </w:rPr>
            </w:pPr>
            <w:r>
              <w:rPr>
                <w:rFonts w:ascii="Arial" w:cs="Arial" w:eastAsia="Arial" w:hAnsi="Arial"/>
                <w:sz w:val="18"/>
                <w:szCs w:val="18"/>
                <w:color w:val="auto"/>
                <w:w w:val="92"/>
              </w:rPr>
              <w:t>March 2, 2022</w:t>
            </w:r>
          </w:p>
        </w:tc>
      </w:tr>
      <w:tr>
        <w:trPr>
          <w:trHeight w:val="224"/>
        </w:trPr>
        <w:tc>
          <w:tcPr>
            <w:tcW w:w="3780" w:type="dxa"/>
            <w:vAlign w:val="bottom"/>
          </w:tcPr>
          <w:p>
            <w:pPr>
              <w:spacing w:after="0"/>
              <w:rPr>
                <w:sz w:val="20"/>
                <w:szCs w:val="20"/>
                <w:color w:val="auto"/>
              </w:rPr>
            </w:pPr>
            <w:r>
              <w:rPr>
                <w:rFonts w:ascii="Arial" w:cs="Arial" w:eastAsia="Arial" w:hAnsi="Arial"/>
                <w:sz w:val="18"/>
                <w:szCs w:val="18"/>
                <w:color w:val="auto"/>
              </w:rPr>
              <w:t>Bryan E. Stuart</w:t>
            </w:r>
          </w:p>
        </w:tc>
        <w:tc>
          <w:tcPr>
            <w:tcW w:w="100" w:type="dxa"/>
            <w:vAlign w:val="bottom"/>
          </w:tcPr>
          <w:p>
            <w:pPr>
              <w:spacing w:after="0"/>
              <w:rPr>
                <w:sz w:val="19"/>
                <w:szCs w:val="19"/>
                <w:color w:val="auto"/>
              </w:rPr>
            </w:pPr>
          </w:p>
        </w:tc>
        <w:tc>
          <w:tcPr>
            <w:tcW w:w="512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(Principal Executive Officer)</w:t>
            </w:r>
          </w:p>
        </w:tc>
        <w:tc>
          <w:tcPr>
            <w:tcW w:w="2020" w:type="dxa"/>
            <w:vAlign w:val="bottom"/>
          </w:tcPr>
          <w:p>
            <w:pPr>
              <w:spacing w:after="0"/>
              <w:rPr>
                <w:sz w:val="19"/>
                <w:szCs w:val="19"/>
                <w:color w:val="auto"/>
              </w:rPr>
            </w:pPr>
          </w:p>
        </w:tc>
      </w:tr>
      <w:tr>
        <w:trPr>
          <w:trHeight w:val="431"/>
        </w:trPr>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Esther Rajavelu</w:t>
            </w:r>
          </w:p>
        </w:tc>
        <w:tc>
          <w:tcPr>
            <w:tcW w:w="100" w:type="dxa"/>
            <w:vAlign w:val="bottom"/>
          </w:tcPr>
          <w:p>
            <w:pPr>
              <w:spacing w:after="0"/>
              <w:rPr>
                <w:sz w:val="24"/>
                <w:szCs w:val="24"/>
                <w:color w:val="auto"/>
              </w:rPr>
            </w:pPr>
          </w:p>
        </w:tc>
        <w:tc>
          <w:tcPr>
            <w:tcW w:w="5120" w:type="dxa"/>
            <w:vAlign w:val="bottom"/>
            <w:gridSpan w:val="2"/>
          </w:tcPr>
          <w:p>
            <w:pPr>
              <w:jc w:val="center"/>
              <w:ind w:right="200"/>
              <w:spacing w:after="0"/>
              <w:rPr>
                <w:sz w:val="20"/>
                <w:szCs w:val="20"/>
                <w:color w:val="auto"/>
              </w:rPr>
            </w:pPr>
            <w:r>
              <w:rPr>
                <w:rFonts w:ascii="Arial" w:cs="Arial" w:eastAsia="Arial" w:hAnsi="Arial"/>
                <w:sz w:val="18"/>
                <w:szCs w:val="18"/>
                <w:color w:val="auto"/>
                <w:w w:val="94"/>
              </w:rPr>
              <w:t>Chief Financial Officer</w:t>
            </w:r>
          </w:p>
        </w:tc>
        <w:tc>
          <w:tcPr>
            <w:tcW w:w="2020" w:type="dxa"/>
            <w:vAlign w:val="bottom"/>
          </w:tcPr>
          <w:p>
            <w:pPr>
              <w:jc w:val="center"/>
              <w:spacing w:after="0"/>
              <w:rPr>
                <w:sz w:val="20"/>
                <w:szCs w:val="20"/>
                <w:color w:val="auto"/>
              </w:rPr>
            </w:pPr>
            <w:r>
              <w:rPr>
                <w:rFonts w:ascii="Arial" w:cs="Arial" w:eastAsia="Arial" w:hAnsi="Arial"/>
                <w:sz w:val="18"/>
                <w:szCs w:val="18"/>
                <w:color w:val="auto"/>
                <w:w w:val="92"/>
              </w:rPr>
              <w:t>March 2, 2022</w:t>
            </w:r>
          </w:p>
        </w:tc>
      </w:tr>
      <w:tr>
        <w:trPr>
          <w:trHeight w:val="224"/>
        </w:trPr>
        <w:tc>
          <w:tcPr>
            <w:tcW w:w="3780" w:type="dxa"/>
            <w:vAlign w:val="bottom"/>
          </w:tcPr>
          <w:p>
            <w:pPr>
              <w:spacing w:after="0"/>
              <w:rPr>
                <w:sz w:val="20"/>
                <w:szCs w:val="20"/>
                <w:color w:val="auto"/>
              </w:rPr>
            </w:pPr>
            <w:r>
              <w:rPr>
                <w:rFonts w:ascii="Arial" w:cs="Arial" w:eastAsia="Arial" w:hAnsi="Arial"/>
                <w:sz w:val="18"/>
                <w:szCs w:val="18"/>
                <w:color w:val="auto"/>
              </w:rPr>
              <w:t>Esther Rajavelu</w:t>
            </w:r>
          </w:p>
        </w:tc>
        <w:tc>
          <w:tcPr>
            <w:tcW w:w="100" w:type="dxa"/>
            <w:vAlign w:val="bottom"/>
          </w:tcPr>
          <w:p>
            <w:pPr>
              <w:spacing w:after="0"/>
              <w:rPr>
                <w:sz w:val="19"/>
                <w:szCs w:val="19"/>
                <w:color w:val="auto"/>
              </w:rPr>
            </w:pPr>
          </w:p>
        </w:tc>
        <w:tc>
          <w:tcPr>
            <w:tcW w:w="5120" w:type="dxa"/>
            <w:vAlign w:val="bottom"/>
            <w:gridSpan w:val="2"/>
          </w:tcPr>
          <w:p>
            <w:pPr>
              <w:jc w:val="center"/>
              <w:ind w:right="200"/>
              <w:spacing w:after="0"/>
              <w:rPr>
                <w:sz w:val="20"/>
                <w:szCs w:val="20"/>
                <w:color w:val="auto"/>
              </w:rPr>
            </w:pPr>
            <w:r>
              <w:rPr>
                <w:rFonts w:ascii="Arial" w:cs="Arial" w:eastAsia="Arial" w:hAnsi="Arial"/>
                <w:sz w:val="18"/>
                <w:szCs w:val="18"/>
                <w:color w:val="auto"/>
                <w:w w:val="94"/>
              </w:rPr>
              <w:t>(Principal Financial Officer)</w:t>
            </w:r>
          </w:p>
        </w:tc>
        <w:tc>
          <w:tcPr>
            <w:tcW w:w="2020" w:type="dxa"/>
            <w:vAlign w:val="bottom"/>
          </w:tcPr>
          <w:p>
            <w:pPr>
              <w:spacing w:after="0"/>
              <w:rPr>
                <w:sz w:val="19"/>
                <w:szCs w:val="19"/>
                <w:color w:val="auto"/>
              </w:rPr>
            </w:pPr>
          </w:p>
        </w:tc>
      </w:tr>
      <w:tr>
        <w:trPr>
          <w:trHeight w:val="431"/>
        </w:trPr>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Peter Thomson</w:t>
            </w:r>
          </w:p>
        </w:tc>
        <w:tc>
          <w:tcPr>
            <w:tcW w:w="100" w:type="dxa"/>
            <w:vAlign w:val="bottom"/>
          </w:tcPr>
          <w:p>
            <w:pPr>
              <w:spacing w:after="0"/>
              <w:rPr>
                <w:sz w:val="24"/>
                <w:szCs w:val="24"/>
                <w:color w:val="auto"/>
              </w:rPr>
            </w:pPr>
          </w:p>
        </w:tc>
        <w:tc>
          <w:tcPr>
            <w:tcW w:w="512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Vice President, Finance &amp; Accounting</w:t>
            </w:r>
          </w:p>
        </w:tc>
        <w:tc>
          <w:tcPr>
            <w:tcW w:w="2020" w:type="dxa"/>
            <w:vAlign w:val="bottom"/>
          </w:tcPr>
          <w:p>
            <w:pPr>
              <w:jc w:val="center"/>
              <w:spacing w:after="0"/>
              <w:rPr>
                <w:sz w:val="20"/>
                <w:szCs w:val="20"/>
                <w:color w:val="auto"/>
              </w:rPr>
            </w:pPr>
            <w:r>
              <w:rPr>
                <w:rFonts w:ascii="Arial" w:cs="Arial" w:eastAsia="Arial" w:hAnsi="Arial"/>
                <w:sz w:val="18"/>
                <w:szCs w:val="18"/>
                <w:color w:val="auto"/>
                <w:w w:val="92"/>
              </w:rPr>
              <w:t>March 2, 2022</w:t>
            </w:r>
          </w:p>
        </w:tc>
      </w:tr>
      <w:tr>
        <w:trPr>
          <w:trHeight w:val="224"/>
        </w:trPr>
        <w:tc>
          <w:tcPr>
            <w:tcW w:w="3780" w:type="dxa"/>
            <w:vAlign w:val="bottom"/>
          </w:tcPr>
          <w:p>
            <w:pPr>
              <w:spacing w:after="0"/>
              <w:rPr>
                <w:sz w:val="20"/>
                <w:szCs w:val="20"/>
                <w:color w:val="auto"/>
              </w:rPr>
            </w:pPr>
            <w:r>
              <w:rPr>
                <w:rFonts w:ascii="Arial" w:cs="Arial" w:eastAsia="Arial" w:hAnsi="Arial"/>
                <w:sz w:val="18"/>
                <w:szCs w:val="18"/>
                <w:color w:val="auto"/>
              </w:rPr>
              <w:t>Peter Thomson</w:t>
            </w:r>
          </w:p>
        </w:tc>
        <w:tc>
          <w:tcPr>
            <w:tcW w:w="100" w:type="dxa"/>
            <w:vAlign w:val="bottom"/>
          </w:tcPr>
          <w:p>
            <w:pPr>
              <w:spacing w:after="0"/>
              <w:rPr>
                <w:sz w:val="19"/>
                <w:szCs w:val="19"/>
                <w:color w:val="auto"/>
              </w:rPr>
            </w:pPr>
          </w:p>
        </w:tc>
        <w:tc>
          <w:tcPr>
            <w:tcW w:w="512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(Principal Accounting Officer)</w:t>
            </w:r>
          </w:p>
        </w:tc>
        <w:tc>
          <w:tcPr>
            <w:tcW w:w="2020" w:type="dxa"/>
            <w:vAlign w:val="bottom"/>
          </w:tcPr>
          <w:p>
            <w:pPr>
              <w:spacing w:after="0"/>
              <w:rPr>
                <w:sz w:val="19"/>
                <w:szCs w:val="19"/>
                <w:color w:val="auto"/>
              </w:rPr>
            </w:pPr>
          </w:p>
        </w:tc>
      </w:tr>
      <w:tr>
        <w:trPr>
          <w:trHeight w:val="431"/>
        </w:trPr>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Kate Haviland</w:t>
            </w:r>
          </w:p>
        </w:tc>
        <w:tc>
          <w:tcPr>
            <w:tcW w:w="100" w:type="dxa"/>
            <w:vAlign w:val="bottom"/>
          </w:tcPr>
          <w:p>
            <w:pPr>
              <w:spacing w:after="0"/>
              <w:rPr>
                <w:sz w:val="24"/>
                <w:szCs w:val="24"/>
                <w:color w:val="auto"/>
              </w:rPr>
            </w:pPr>
          </w:p>
        </w:tc>
        <w:tc>
          <w:tcPr>
            <w:tcW w:w="512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Chairman of the Board</w:t>
            </w:r>
          </w:p>
        </w:tc>
        <w:tc>
          <w:tcPr>
            <w:tcW w:w="2020" w:type="dxa"/>
            <w:vAlign w:val="bottom"/>
          </w:tcPr>
          <w:p>
            <w:pPr>
              <w:jc w:val="center"/>
              <w:spacing w:after="0"/>
              <w:rPr>
                <w:sz w:val="20"/>
                <w:szCs w:val="20"/>
                <w:color w:val="auto"/>
              </w:rPr>
            </w:pPr>
            <w:r>
              <w:rPr>
                <w:rFonts w:ascii="Arial" w:cs="Arial" w:eastAsia="Arial" w:hAnsi="Arial"/>
                <w:sz w:val="18"/>
                <w:szCs w:val="18"/>
                <w:color w:val="auto"/>
                <w:w w:val="92"/>
              </w:rPr>
              <w:t>March 2, 2022</w:t>
            </w:r>
          </w:p>
        </w:tc>
      </w:tr>
      <w:tr>
        <w:trPr>
          <w:trHeight w:val="224"/>
        </w:trPr>
        <w:tc>
          <w:tcPr>
            <w:tcW w:w="3780" w:type="dxa"/>
            <w:vAlign w:val="bottom"/>
          </w:tcPr>
          <w:p>
            <w:pPr>
              <w:spacing w:after="0"/>
              <w:rPr>
                <w:sz w:val="20"/>
                <w:szCs w:val="20"/>
                <w:color w:val="auto"/>
              </w:rPr>
            </w:pPr>
            <w:r>
              <w:rPr>
                <w:rFonts w:ascii="Arial" w:cs="Arial" w:eastAsia="Arial" w:hAnsi="Arial"/>
                <w:sz w:val="18"/>
                <w:szCs w:val="18"/>
                <w:color w:val="auto"/>
              </w:rPr>
              <w:t>Kate Haviland</w:t>
            </w:r>
          </w:p>
        </w:tc>
        <w:tc>
          <w:tcPr>
            <w:tcW w:w="100" w:type="dxa"/>
            <w:vAlign w:val="bottom"/>
          </w:tcPr>
          <w:p>
            <w:pPr>
              <w:spacing w:after="0"/>
              <w:rPr>
                <w:sz w:val="19"/>
                <w:szCs w:val="19"/>
                <w:color w:val="auto"/>
              </w:rPr>
            </w:pPr>
          </w:p>
        </w:tc>
        <w:tc>
          <w:tcPr>
            <w:tcW w:w="4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31"/>
        </w:trPr>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Sonja Banks</w:t>
            </w:r>
          </w:p>
        </w:tc>
        <w:tc>
          <w:tcPr>
            <w:tcW w:w="100" w:type="dxa"/>
            <w:vAlign w:val="bottom"/>
          </w:tcPr>
          <w:p>
            <w:pPr>
              <w:spacing w:after="0"/>
              <w:rPr>
                <w:sz w:val="24"/>
                <w:szCs w:val="24"/>
                <w:color w:val="auto"/>
              </w:rPr>
            </w:pPr>
          </w:p>
        </w:tc>
        <w:tc>
          <w:tcPr>
            <w:tcW w:w="512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Director</w:t>
            </w:r>
          </w:p>
        </w:tc>
        <w:tc>
          <w:tcPr>
            <w:tcW w:w="2020" w:type="dxa"/>
            <w:vAlign w:val="bottom"/>
          </w:tcPr>
          <w:p>
            <w:pPr>
              <w:jc w:val="center"/>
              <w:spacing w:after="0"/>
              <w:rPr>
                <w:sz w:val="20"/>
                <w:szCs w:val="20"/>
                <w:color w:val="auto"/>
              </w:rPr>
            </w:pPr>
            <w:r>
              <w:rPr>
                <w:rFonts w:ascii="Arial" w:cs="Arial" w:eastAsia="Arial" w:hAnsi="Arial"/>
                <w:sz w:val="18"/>
                <w:szCs w:val="18"/>
                <w:color w:val="auto"/>
                <w:w w:val="92"/>
              </w:rPr>
              <w:t>March 2, 2022</w:t>
            </w:r>
          </w:p>
        </w:tc>
      </w:tr>
      <w:tr>
        <w:trPr>
          <w:trHeight w:val="224"/>
        </w:trPr>
        <w:tc>
          <w:tcPr>
            <w:tcW w:w="3780" w:type="dxa"/>
            <w:vAlign w:val="bottom"/>
          </w:tcPr>
          <w:p>
            <w:pPr>
              <w:spacing w:after="0"/>
              <w:rPr>
                <w:sz w:val="20"/>
                <w:szCs w:val="20"/>
                <w:color w:val="auto"/>
              </w:rPr>
            </w:pPr>
            <w:r>
              <w:rPr>
                <w:rFonts w:ascii="Arial" w:cs="Arial" w:eastAsia="Arial" w:hAnsi="Arial"/>
                <w:sz w:val="18"/>
                <w:szCs w:val="18"/>
                <w:color w:val="auto"/>
              </w:rPr>
              <w:t>Sonja Banks</w:t>
            </w:r>
          </w:p>
        </w:tc>
        <w:tc>
          <w:tcPr>
            <w:tcW w:w="100" w:type="dxa"/>
            <w:vAlign w:val="bottom"/>
          </w:tcPr>
          <w:p>
            <w:pPr>
              <w:spacing w:after="0"/>
              <w:rPr>
                <w:sz w:val="19"/>
                <w:szCs w:val="19"/>
                <w:color w:val="auto"/>
              </w:rPr>
            </w:pPr>
          </w:p>
        </w:tc>
        <w:tc>
          <w:tcPr>
            <w:tcW w:w="4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31"/>
        </w:trPr>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J. Collins</w:t>
            </w:r>
          </w:p>
        </w:tc>
        <w:tc>
          <w:tcPr>
            <w:tcW w:w="100" w:type="dxa"/>
            <w:vAlign w:val="bottom"/>
          </w:tcPr>
          <w:p>
            <w:pPr>
              <w:spacing w:after="0"/>
              <w:rPr>
                <w:sz w:val="24"/>
                <w:szCs w:val="24"/>
                <w:color w:val="auto"/>
              </w:rPr>
            </w:pPr>
          </w:p>
        </w:tc>
        <w:tc>
          <w:tcPr>
            <w:tcW w:w="512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Director</w:t>
            </w:r>
          </w:p>
        </w:tc>
        <w:tc>
          <w:tcPr>
            <w:tcW w:w="2020" w:type="dxa"/>
            <w:vAlign w:val="bottom"/>
          </w:tcPr>
          <w:p>
            <w:pPr>
              <w:jc w:val="center"/>
              <w:spacing w:after="0"/>
              <w:rPr>
                <w:sz w:val="20"/>
                <w:szCs w:val="20"/>
                <w:color w:val="auto"/>
              </w:rPr>
            </w:pPr>
            <w:r>
              <w:rPr>
                <w:rFonts w:ascii="Arial" w:cs="Arial" w:eastAsia="Arial" w:hAnsi="Arial"/>
                <w:sz w:val="18"/>
                <w:szCs w:val="18"/>
                <w:color w:val="auto"/>
                <w:w w:val="92"/>
              </w:rPr>
              <w:t>March 2, 2022</w:t>
            </w:r>
          </w:p>
        </w:tc>
      </w:tr>
      <w:tr>
        <w:trPr>
          <w:trHeight w:val="224"/>
        </w:trPr>
        <w:tc>
          <w:tcPr>
            <w:tcW w:w="3780" w:type="dxa"/>
            <w:vAlign w:val="bottom"/>
          </w:tcPr>
          <w:p>
            <w:pPr>
              <w:spacing w:after="0"/>
              <w:rPr>
                <w:sz w:val="20"/>
                <w:szCs w:val="20"/>
                <w:color w:val="auto"/>
              </w:rPr>
            </w:pPr>
            <w:r>
              <w:rPr>
                <w:rFonts w:ascii="Arial" w:cs="Arial" w:eastAsia="Arial" w:hAnsi="Arial"/>
                <w:sz w:val="18"/>
                <w:szCs w:val="18"/>
                <w:color w:val="auto"/>
              </w:rPr>
              <w:t>James J. Collins</w:t>
            </w:r>
          </w:p>
        </w:tc>
        <w:tc>
          <w:tcPr>
            <w:tcW w:w="100" w:type="dxa"/>
            <w:vAlign w:val="bottom"/>
          </w:tcPr>
          <w:p>
            <w:pPr>
              <w:spacing w:after="0"/>
              <w:rPr>
                <w:sz w:val="19"/>
                <w:szCs w:val="19"/>
                <w:color w:val="auto"/>
              </w:rPr>
            </w:pPr>
          </w:p>
        </w:tc>
        <w:tc>
          <w:tcPr>
            <w:tcW w:w="4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364"/>
        </w:trPr>
        <w:tc>
          <w:tcPr>
            <w:tcW w:w="3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120" w:type="dxa"/>
            <w:vAlign w:val="bottom"/>
            <w:gridSpan w:val="2"/>
          </w:tcPr>
          <w:p>
            <w:pPr>
              <w:ind w:left="1480"/>
              <w:spacing w:after="0"/>
              <w:rPr>
                <w:sz w:val="20"/>
                <w:szCs w:val="20"/>
                <w:color w:val="auto"/>
              </w:rPr>
            </w:pPr>
            <w:r>
              <w:rPr>
                <w:rFonts w:ascii="Arial" w:cs="Arial" w:eastAsia="Arial" w:hAnsi="Arial"/>
                <w:sz w:val="18"/>
                <w:szCs w:val="18"/>
                <w:color w:val="auto"/>
              </w:rPr>
              <w:t>II-6</w:t>
            </w:r>
          </w:p>
        </w:tc>
        <w:tc>
          <w:tcPr>
            <w:tcW w:w="202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5"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Katina Dorton</w:t>
            </w:r>
          </w:p>
        </w:tc>
        <w:tc>
          <w:tcPr>
            <w:tcW w:w="4280" w:type="dxa"/>
            <w:vAlign w:val="bottom"/>
          </w:tcPr>
          <w:p>
            <w:pPr>
              <w:ind w:left="2260"/>
              <w:spacing w:after="0"/>
              <w:rPr>
                <w:sz w:val="20"/>
                <w:szCs w:val="20"/>
                <w:color w:val="auto"/>
              </w:rPr>
            </w:pPr>
            <w:r>
              <w:rPr>
                <w:rFonts w:ascii="Arial" w:cs="Arial" w:eastAsia="Arial" w:hAnsi="Arial"/>
                <w:sz w:val="18"/>
                <w:szCs w:val="18"/>
                <w:color w:val="auto"/>
              </w:rPr>
              <w:t>Director</w:t>
            </w:r>
          </w:p>
        </w:tc>
        <w:tc>
          <w:tcPr>
            <w:tcW w:w="2480" w:type="dxa"/>
            <w:vAlign w:val="bottom"/>
          </w:tcPr>
          <w:p>
            <w:pPr>
              <w:ind w:left="1420"/>
              <w:spacing w:after="0"/>
              <w:rPr>
                <w:sz w:val="20"/>
                <w:szCs w:val="20"/>
                <w:color w:val="auto"/>
              </w:rPr>
            </w:pPr>
            <w:r>
              <w:rPr>
                <w:rFonts w:ascii="Arial" w:cs="Arial" w:eastAsia="Arial" w:hAnsi="Arial"/>
                <w:sz w:val="18"/>
                <w:szCs w:val="18"/>
                <w:color w:val="auto"/>
                <w:w w:val="90"/>
              </w:rPr>
              <w:t>March 2, 2022</w:t>
            </w:r>
          </w:p>
        </w:tc>
      </w:tr>
      <w:tr>
        <w:trPr>
          <w:trHeight w:val="224"/>
        </w:trPr>
        <w:tc>
          <w:tcPr>
            <w:tcW w:w="3780" w:type="dxa"/>
            <w:vAlign w:val="bottom"/>
          </w:tcPr>
          <w:p>
            <w:pPr>
              <w:spacing w:after="0"/>
              <w:rPr>
                <w:sz w:val="20"/>
                <w:szCs w:val="20"/>
                <w:color w:val="auto"/>
              </w:rPr>
            </w:pPr>
            <w:r>
              <w:rPr>
                <w:rFonts w:ascii="Arial" w:cs="Arial" w:eastAsia="Arial" w:hAnsi="Arial"/>
                <w:sz w:val="18"/>
                <w:szCs w:val="18"/>
                <w:color w:val="auto"/>
              </w:rPr>
              <w:t>Katina Dorton</w:t>
            </w:r>
          </w:p>
        </w:tc>
        <w:tc>
          <w:tcPr>
            <w:tcW w:w="4280" w:type="dxa"/>
            <w:vAlign w:val="bottom"/>
          </w:tcPr>
          <w:p>
            <w:pPr>
              <w:spacing w:after="0"/>
              <w:rPr>
                <w:sz w:val="19"/>
                <w:szCs w:val="19"/>
                <w:color w:val="auto"/>
              </w:rPr>
            </w:pPr>
          </w:p>
        </w:tc>
        <w:tc>
          <w:tcPr>
            <w:tcW w:w="2480" w:type="dxa"/>
            <w:vAlign w:val="bottom"/>
          </w:tcPr>
          <w:p>
            <w:pPr>
              <w:spacing w:after="0"/>
              <w:rPr>
                <w:sz w:val="19"/>
                <w:szCs w:val="19"/>
                <w:color w:val="auto"/>
              </w:rPr>
            </w:pPr>
          </w:p>
        </w:tc>
      </w:tr>
      <w:tr>
        <w:trPr>
          <w:trHeight w:val="431"/>
        </w:trPr>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Alan Ezekowitz</w:t>
            </w:r>
          </w:p>
        </w:tc>
        <w:tc>
          <w:tcPr>
            <w:tcW w:w="4280" w:type="dxa"/>
            <w:vAlign w:val="bottom"/>
          </w:tcPr>
          <w:p>
            <w:pPr>
              <w:ind w:left="2260"/>
              <w:spacing w:after="0"/>
              <w:rPr>
                <w:sz w:val="20"/>
                <w:szCs w:val="20"/>
                <w:color w:val="auto"/>
              </w:rPr>
            </w:pPr>
            <w:r>
              <w:rPr>
                <w:rFonts w:ascii="Arial" w:cs="Arial" w:eastAsia="Arial" w:hAnsi="Arial"/>
                <w:sz w:val="18"/>
                <w:szCs w:val="18"/>
                <w:color w:val="auto"/>
              </w:rPr>
              <w:t>Director</w:t>
            </w:r>
          </w:p>
        </w:tc>
        <w:tc>
          <w:tcPr>
            <w:tcW w:w="2480" w:type="dxa"/>
            <w:vAlign w:val="bottom"/>
          </w:tcPr>
          <w:p>
            <w:pPr>
              <w:ind w:left="1420"/>
              <w:spacing w:after="0"/>
              <w:rPr>
                <w:sz w:val="20"/>
                <w:szCs w:val="20"/>
                <w:color w:val="auto"/>
              </w:rPr>
            </w:pPr>
            <w:r>
              <w:rPr>
                <w:rFonts w:ascii="Arial" w:cs="Arial" w:eastAsia="Arial" w:hAnsi="Arial"/>
                <w:sz w:val="18"/>
                <w:szCs w:val="18"/>
                <w:color w:val="auto"/>
                <w:w w:val="90"/>
              </w:rPr>
              <w:t>March 2, 2022</w:t>
            </w:r>
          </w:p>
        </w:tc>
      </w:tr>
      <w:tr>
        <w:trPr>
          <w:trHeight w:val="224"/>
        </w:trPr>
        <w:tc>
          <w:tcPr>
            <w:tcW w:w="3780" w:type="dxa"/>
            <w:vAlign w:val="bottom"/>
          </w:tcPr>
          <w:p>
            <w:pPr>
              <w:spacing w:after="0"/>
              <w:rPr>
                <w:sz w:val="20"/>
                <w:szCs w:val="20"/>
                <w:color w:val="auto"/>
              </w:rPr>
            </w:pPr>
            <w:r>
              <w:rPr>
                <w:rFonts w:ascii="Arial" w:cs="Arial" w:eastAsia="Arial" w:hAnsi="Arial"/>
                <w:sz w:val="18"/>
                <w:szCs w:val="18"/>
                <w:color w:val="auto"/>
              </w:rPr>
              <w:t>Alan Ezekowitz</w:t>
            </w:r>
          </w:p>
        </w:tc>
        <w:tc>
          <w:tcPr>
            <w:tcW w:w="4280" w:type="dxa"/>
            <w:vAlign w:val="bottom"/>
          </w:tcPr>
          <w:p>
            <w:pPr>
              <w:spacing w:after="0"/>
              <w:rPr>
                <w:sz w:val="19"/>
                <w:szCs w:val="19"/>
                <w:color w:val="auto"/>
              </w:rPr>
            </w:pPr>
          </w:p>
        </w:tc>
        <w:tc>
          <w:tcPr>
            <w:tcW w:w="2480" w:type="dxa"/>
            <w:vAlign w:val="bottom"/>
          </w:tcPr>
          <w:p>
            <w:pPr>
              <w:spacing w:after="0"/>
              <w:rPr>
                <w:sz w:val="19"/>
                <w:szCs w:val="19"/>
                <w:color w:val="auto"/>
              </w:rPr>
            </w:pPr>
          </w:p>
        </w:tc>
      </w:tr>
      <w:tr>
        <w:trPr>
          <w:trHeight w:val="431"/>
        </w:trPr>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Geraghty</w:t>
            </w:r>
          </w:p>
        </w:tc>
        <w:tc>
          <w:tcPr>
            <w:tcW w:w="4280" w:type="dxa"/>
            <w:vAlign w:val="bottom"/>
          </w:tcPr>
          <w:p>
            <w:pPr>
              <w:ind w:left="2260"/>
              <w:spacing w:after="0"/>
              <w:rPr>
                <w:sz w:val="20"/>
                <w:szCs w:val="20"/>
                <w:color w:val="auto"/>
              </w:rPr>
            </w:pPr>
            <w:r>
              <w:rPr>
                <w:rFonts w:ascii="Arial" w:cs="Arial" w:eastAsia="Arial" w:hAnsi="Arial"/>
                <w:sz w:val="18"/>
                <w:szCs w:val="18"/>
                <w:color w:val="auto"/>
              </w:rPr>
              <w:t>Director</w:t>
            </w:r>
          </w:p>
        </w:tc>
        <w:tc>
          <w:tcPr>
            <w:tcW w:w="2480" w:type="dxa"/>
            <w:vAlign w:val="bottom"/>
          </w:tcPr>
          <w:p>
            <w:pPr>
              <w:ind w:left="1420"/>
              <w:spacing w:after="0"/>
              <w:rPr>
                <w:sz w:val="20"/>
                <w:szCs w:val="20"/>
                <w:color w:val="auto"/>
              </w:rPr>
            </w:pPr>
            <w:r>
              <w:rPr>
                <w:rFonts w:ascii="Arial" w:cs="Arial" w:eastAsia="Arial" w:hAnsi="Arial"/>
                <w:sz w:val="18"/>
                <w:szCs w:val="18"/>
                <w:color w:val="auto"/>
                <w:w w:val="90"/>
              </w:rPr>
              <w:t>March 2, 2022</w:t>
            </w:r>
          </w:p>
        </w:tc>
      </w:tr>
      <w:tr>
        <w:trPr>
          <w:trHeight w:val="224"/>
        </w:trPr>
        <w:tc>
          <w:tcPr>
            <w:tcW w:w="3780" w:type="dxa"/>
            <w:vAlign w:val="bottom"/>
          </w:tcPr>
          <w:p>
            <w:pPr>
              <w:spacing w:after="0"/>
              <w:rPr>
                <w:sz w:val="20"/>
                <w:szCs w:val="20"/>
                <w:color w:val="auto"/>
              </w:rPr>
            </w:pPr>
            <w:r>
              <w:rPr>
                <w:rFonts w:ascii="Arial" w:cs="Arial" w:eastAsia="Arial" w:hAnsi="Arial"/>
                <w:sz w:val="18"/>
                <w:szCs w:val="18"/>
                <w:color w:val="auto"/>
              </w:rPr>
              <w:t>James Geraghty</w:t>
            </w:r>
          </w:p>
        </w:tc>
        <w:tc>
          <w:tcPr>
            <w:tcW w:w="4280" w:type="dxa"/>
            <w:vAlign w:val="bottom"/>
          </w:tcPr>
          <w:p>
            <w:pPr>
              <w:spacing w:after="0"/>
              <w:rPr>
                <w:sz w:val="19"/>
                <w:szCs w:val="19"/>
                <w:color w:val="auto"/>
              </w:rPr>
            </w:pPr>
          </w:p>
        </w:tc>
        <w:tc>
          <w:tcPr>
            <w:tcW w:w="2480" w:type="dxa"/>
            <w:vAlign w:val="bottom"/>
          </w:tcPr>
          <w:p>
            <w:pPr>
              <w:spacing w:after="0"/>
              <w:rPr>
                <w:sz w:val="19"/>
                <w:szCs w:val="19"/>
                <w:color w:val="auto"/>
              </w:rPr>
            </w:pPr>
          </w:p>
        </w:tc>
      </w:tr>
      <w:tr>
        <w:trPr>
          <w:trHeight w:val="431"/>
        </w:trPr>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J. Gould</w:t>
            </w:r>
          </w:p>
        </w:tc>
        <w:tc>
          <w:tcPr>
            <w:tcW w:w="4280" w:type="dxa"/>
            <w:vAlign w:val="bottom"/>
          </w:tcPr>
          <w:p>
            <w:pPr>
              <w:ind w:left="2260"/>
              <w:spacing w:after="0"/>
              <w:rPr>
                <w:sz w:val="20"/>
                <w:szCs w:val="20"/>
                <w:color w:val="auto"/>
              </w:rPr>
            </w:pPr>
            <w:r>
              <w:rPr>
                <w:rFonts w:ascii="Arial" w:cs="Arial" w:eastAsia="Arial" w:hAnsi="Arial"/>
                <w:sz w:val="18"/>
                <w:szCs w:val="18"/>
                <w:color w:val="auto"/>
              </w:rPr>
              <w:t>Director</w:t>
            </w:r>
          </w:p>
        </w:tc>
        <w:tc>
          <w:tcPr>
            <w:tcW w:w="2480" w:type="dxa"/>
            <w:vAlign w:val="bottom"/>
          </w:tcPr>
          <w:p>
            <w:pPr>
              <w:ind w:left="1420"/>
              <w:spacing w:after="0"/>
              <w:rPr>
                <w:sz w:val="20"/>
                <w:szCs w:val="20"/>
                <w:color w:val="auto"/>
              </w:rPr>
            </w:pPr>
            <w:r>
              <w:rPr>
                <w:rFonts w:ascii="Arial" w:cs="Arial" w:eastAsia="Arial" w:hAnsi="Arial"/>
                <w:sz w:val="18"/>
                <w:szCs w:val="18"/>
                <w:color w:val="auto"/>
                <w:w w:val="90"/>
              </w:rPr>
              <w:t>March 2, 2022</w:t>
            </w:r>
          </w:p>
        </w:tc>
      </w:tr>
      <w:tr>
        <w:trPr>
          <w:trHeight w:val="224"/>
        </w:trPr>
        <w:tc>
          <w:tcPr>
            <w:tcW w:w="3780" w:type="dxa"/>
            <w:vAlign w:val="bottom"/>
          </w:tcPr>
          <w:p>
            <w:pPr>
              <w:spacing w:after="0"/>
              <w:rPr>
                <w:sz w:val="20"/>
                <w:szCs w:val="20"/>
                <w:color w:val="auto"/>
              </w:rPr>
            </w:pPr>
            <w:r>
              <w:rPr>
                <w:rFonts w:ascii="Arial" w:cs="Arial" w:eastAsia="Arial" w:hAnsi="Arial"/>
                <w:sz w:val="18"/>
                <w:szCs w:val="18"/>
                <w:color w:val="auto"/>
              </w:rPr>
              <w:t>Robert J. Gould</w:t>
            </w:r>
          </w:p>
        </w:tc>
        <w:tc>
          <w:tcPr>
            <w:tcW w:w="4280" w:type="dxa"/>
            <w:vAlign w:val="bottom"/>
          </w:tcPr>
          <w:p>
            <w:pPr>
              <w:spacing w:after="0"/>
              <w:rPr>
                <w:sz w:val="19"/>
                <w:szCs w:val="19"/>
                <w:color w:val="auto"/>
              </w:rPr>
            </w:pPr>
          </w:p>
        </w:tc>
        <w:tc>
          <w:tcPr>
            <w:tcW w:w="2480" w:type="dxa"/>
            <w:vAlign w:val="bottom"/>
          </w:tcPr>
          <w:p>
            <w:pPr>
              <w:spacing w:after="0"/>
              <w:rPr>
                <w:sz w:val="19"/>
                <w:szCs w:val="19"/>
                <w:color w:val="auto"/>
              </w:rPr>
            </w:pPr>
          </w:p>
        </w:tc>
      </w:tr>
      <w:tr>
        <w:trPr>
          <w:trHeight w:val="431"/>
        </w:trPr>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Mark Levin</w:t>
            </w:r>
          </w:p>
        </w:tc>
        <w:tc>
          <w:tcPr>
            <w:tcW w:w="4280" w:type="dxa"/>
            <w:vAlign w:val="bottom"/>
          </w:tcPr>
          <w:p>
            <w:pPr>
              <w:ind w:left="2260"/>
              <w:spacing w:after="0"/>
              <w:rPr>
                <w:sz w:val="20"/>
                <w:szCs w:val="20"/>
                <w:color w:val="auto"/>
              </w:rPr>
            </w:pPr>
            <w:r>
              <w:rPr>
                <w:rFonts w:ascii="Arial" w:cs="Arial" w:eastAsia="Arial" w:hAnsi="Arial"/>
                <w:sz w:val="18"/>
                <w:szCs w:val="18"/>
                <w:color w:val="auto"/>
              </w:rPr>
              <w:t>Director</w:t>
            </w:r>
          </w:p>
        </w:tc>
        <w:tc>
          <w:tcPr>
            <w:tcW w:w="2480" w:type="dxa"/>
            <w:vAlign w:val="bottom"/>
          </w:tcPr>
          <w:p>
            <w:pPr>
              <w:ind w:left="1420"/>
              <w:spacing w:after="0"/>
              <w:rPr>
                <w:sz w:val="20"/>
                <w:szCs w:val="20"/>
                <w:color w:val="auto"/>
              </w:rPr>
            </w:pPr>
            <w:r>
              <w:rPr>
                <w:rFonts w:ascii="Arial" w:cs="Arial" w:eastAsia="Arial" w:hAnsi="Arial"/>
                <w:sz w:val="18"/>
                <w:szCs w:val="18"/>
                <w:color w:val="auto"/>
                <w:w w:val="90"/>
              </w:rPr>
              <w:t>March 2, 2022</w:t>
            </w:r>
          </w:p>
        </w:tc>
      </w:tr>
      <w:tr>
        <w:trPr>
          <w:trHeight w:val="224"/>
        </w:trPr>
        <w:tc>
          <w:tcPr>
            <w:tcW w:w="3780" w:type="dxa"/>
            <w:vAlign w:val="bottom"/>
          </w:tcPr>
          <w:p>
            <w:pPr>
              <w:spacing w:after="0"/>
              <w:rPr>
                <w:sz w:val="20"/>
                <w:szCs w:val="20"/>
                <w:color w:val="auto"/>
              </w:rPr>
            </w:pPr>
            <w:r>
              <w:rPr>
                <w:rFonts w:ascii="Arial" w:cs="Arial" w:eastAsia="Arial" w:hAnsi="Arial"/>
                <w:sz w:val="18"/>
                <w:szCs w:val="18"/>
                <w:color w:val="auto"/>
              </w:rPr>
              <w:t>Mark Levin</w:t>
            </w:r>
          </w:p>
        </w:tc>
        <w:tc>
          <w:tcPr>
            <w:tcW w:w="4280" w:type="dxa"/>
            <w:vAlign w:val="bottom"/>
          </w:tcPr>
          <w:p>
            <w:pPr>
              <w:spacing w:after="0"/>
              <w:rPr>
                <w:sz w:val="19"/>
                <w:szCs w:val="19"/>
                <w:color w:val="auto"/>
              </w:rPr>
            </w:pPr>
          </w:p>
        </w:tc>
        <w:tc>
          <w:tcPr>
            <w:tcW w:w="2480" w:type="dxa"/>
            <w:vAlign w:val="bottom"/>
          </w:tcPr>
          <w:p>
            <w:pPr>
              <w:spacing w:after="0"/>
              <w:rPr>
                <w:sz w:val="19"/>
                <w:szCs w:val="19"/>
                <w:color w:val="auto"/>
              </w:rPr>
            </w:pPr>
          </w:p>
        </w:tc>
      </w:tr>
      <w:tr>
        <w:trPr>
          <w:trHeight w:val="364"/>
        </w:trPr>
        <w:tc>
          <w:tcPr>
            <w:tcW w:w="3780" w:type="dxa"/>
            <w:vAlign w:val="bottom"/>
          </w:tcPr>
          <w:p>
            <w:pPr>
              <w:spacing w:after="0"/>
              <w:rPr>
                <w:sz w:val="24"/>
                <w:szCs w:val="24"/>
                <w:color w:val="auto"/>
              </w:rPr>
            </w:pPr>
          </w:p>
        </w:tc>
        <w:tc>
          <w:tcPr>
            <w:tcW w:w="4280" w:type="dxa"/>
            <w:vAlign w:val="bottom"/>
          </w:tcPr>
          <w:p>
            <w:pPr>
              <w:ind w:left="1580"/>
              <w:spacing w:after="0"/>
              <w:rPr>
                <w:sz w:val="20"/>
                <w:szCs w:val="20"/>
                <w:color w:val="auto"/>
              </w:rPr>
            </w:pPr>
            <w:r>
              <w:rPr>
                <w:rFonts w:ascii="Arial" w:cs="Arial" w:eastAsia="Arial" w:hAnsi="Arial"/>
                <w:sz w:val="18"/>
                <w:szCs w:val="18"/>
                <w:color w:val="auto"/>
              </w:rPr>
              <w:t>II-7</w:t>
            </w:r>
          </w:p>
        </w:tc>
        <w:tc>
          <w:tcPr>
            <w:tcW w:w="2480" w:type="dxa"/>
            <w:vAlign w:val="bottom"/>
          </w:tcPr>
          <w:p>
            <w:pPr>
              <w:spacing w:after="0"/>
              <w:rPr>
                <w:sz w:val="24"/>
                <w:szCs w:val="24"/>
                <w:color w:val="auto"/>
              </w:rPr>
            </w:pPr>
          </w:p>
        </w:tc>
      </w:tr>
    </w:tbl>
    <w:p>
      <w:pPr>
        <w:sectPr>
          <w:pgSz w:w="11900" w:h="16838" w:orient="portrait"/>
          <w:cols w:equalWidth="0" w:num="1">
            <w:col w:w="10660"/>
          </w:cols>
          <w:pgMar w:left="320" w:top="459" w:right="919" w:bottom="1440" w:gutter="0" w:footer="0" w:header="0"/>
        </w:sectPr>
      </w:pPr>
    </w:p>
    <w:bookmarkStart w:id="48" w:name="page49"/>
    <w:bookmarkEnd w:id="48"/>
    <w:p>
      <w:pPr>
        <w:ind w:left="10180"/>
        <w:spacing w:after="0"/>
        <w:rPr>
          <w:sz w:val="20"/>
          <w:szCs w:val="20"/>
          <w:color w:val="auto"/>
        </w:rPr>
      </w:pPr>
      <w:r>
        <w:rPr>
          <w:rFonts w:ascii="Arial" w:cs="Arial" w:eastAsia="Arial" w:hAnsi="Arial"/>
          <w:sz w:val="16"/>
          <w:szCs w:val="16"/>
          <w:b w:val="1"/>
          <w:bCs w:val="1"/>
          <w:color w:val="auto"/>
        </w:rPr>
        <w:t>Exhibit 5.1</w:t>
      </w:r>
    </w:p>
    <w:p>
      <w:pPr>
        <w:spacing w:after="0" w:line="279" w:lineRule="exact"/>
        <w:rPr>
          <w:sz w:val="20"/>
          <w:szCs w:val="20"/>
          <w:color w:val="auto"/>
        </w:rPr>
      </w:pPr>
    </w:p>
    <w:p>
      <w:pPr>
        <w:ind w:left="9260"/>
        <w:spacing w:after="0"/>
        <w:rPr>
          <w:sz w:val="20"/>
          <w:szCs w:val="20"/>
          <w:color w:val="auto"/>
        </w:rPr>
      </w:pPr>
      <w:r>
        <w:rPr>
          <w:rFonts w:ascii="Arial" w:cs="Arial" w:eastAsia="Arial" w:hAnsi="Arial"/>
          <w:sz w:val="18"/>
          <w:szCs w:val="18"/>
          <w:color w:val="auto"/>
        </w:rPr>
        <w:t xml:space="preserve">Goodwin Procter </w:t>
      </w:r>
      <w:r>
        <w:rPr>
          <w:rFonts w:ascii="Arial" w:cs="Arial" w:eastAsia="Arial" w:hAnsi="Arial"/>
          <w:sz w:val="14"/>
          <w:szCs w:val="14"/>
          <w:color w:val="auto"/>
        </w:rPr>
        <w:t>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-121920</wp:posOffset>
            </wp:positionV>
            <wp:extent cx="1791335" cy="40322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8">
                      <a:extLst>
                        <a:ext uri="{28A0092B-C50C-407E-A947-70E740481C1C}"/>
                      </a:extLst>
                    </a:blip>
                    <a:srcRect/>
                    <a:stretch>
                      <a:fillRect/>
                    </a:stretch>
                  </pic:blipFill>
                  <pic:spPr bwMode="auto">
                    <a:xfrm>
                      <a:off x="0" y="0"/>
                      <a:ext cx="1791335" cy="403225"/>
                    </a:xfrm>
                    <a:prstGeom prst="rect">
                      <a:avLst/>
                    </a:prstGeom>
                    <a:noFill/>
                  </pic:spPr>
                </pic:pic>
              </a:graphicData>
            </a:graphic>
          </wp:anchor>
        </w:drawing>
      </w:r>
    </w:p>
    <w:p>
      <w:pPr>
        <w:spacing w:after="0" w:line="3" w:lineRule="exact"/>
        <w:rPr>
          <w:sz w:val="20"/>
          <w:szCs w:val="20"/>
          <w:color w:val="auto"/>
        </w:rPr>
      </w:pPr>
    </w:p>
    <w:p>
      <w:pPr>
        <w:ind w:left="9260"/>
        <w:spacing w:after="0"/>
        <w:rPr>
          <w:sz w:val="20"/>
          <w:szCs w:val="20"/>
          <w:color w:val="auto"/>
        </w:rPr>
      </w:pPr>
      <w:r>
        <w:rPr>
          <w:rFonts w:ascii="Arial" w:cs="Arial" w:eastAsia="Arial" w:hAnsi="Arial"/>
          <w:sz w:val="18"/>
          <w:szCs w:val="18"/>
          <w:color w:val="auto"/>
        </w:rPr>
        <w:t>100 Northern Avenue</w:t>
      </w:r>
    </w:p>
    <w:p>
      <w:pPr>
        <w:spacing w:after="0" w:line="9" w:lineRule="exact"/>
        <w:rPr>
          <w:sz w:val="20"/>
          <w:szCs w:val="20"/>
          <w:color w:val="auto"/>
        </w:rPr>
      </w:pPr>
    </w:p>
    <w:p>
      <w:pPr>
        <w:ind w:left="9260"/>
        <w:spacing w:after="0"/>
        <w:rPr>
          <w:sz w:val="20"/>
          <w:szCs w:val="20"/>
          <w:color w:val="auto"/>
        </w:rPr>
      </w:pPr>
      <w:r>
        <w:rPr>
          <w:rFonts w:ascii="Arial" w:cs="Arial" w:eastAsia="Arial" w:hAnsi="Arial"/>
          <w:sz w:val="18"/>
          <w:szCs w:val="18"/>
          <w:color w:val="auto"/>
        </w:rPr>
        <w:t>Boston, MA 02210</w:t>
      </w:r>
    </w:p>
    <w:p>
      <w:pPr>
        <w:spacing w:after="0" w:line="238" w:lineRule="exact"/>
        <w:rPr>
          <w:sz w:val="20"/>
          <w:szCs w:val="20"/>
          <w:color w:val="auto"/>
        </w:rPr>
      </w:pPr>
    </w:p>
    <w:p>
      <w:pPr>
        <w:ind w:left="9260"/>
        <w:spacing w:after="0"/>
        <w:rPr>
          <w:sz w:val="20"/>
          <w:szCs w:val="20"/>
          <w:color w:val="auto"/>
        </w:rPr>
      </w:pPr>
      <w:r>
        <w:rPr>
          <w:rFonts w:ascii="Arial" w:cs="Arial" w:eastAsia="Arial" w:hAnsi="Arial"/>
          <w:sz w:val="18"/>
          <w:szCs w:val="18"/>
          <w:color w:val="auto"/>
        </w:rPr>
        <w:t>goodwinlaw.com</w:t>
      </w:r>
    </w:p>
    <w:p>
      <w:pPr>
        <w:spacing w:after="0" w:line="23" w:lineRule="exact"/>
        <w:rPr>
          <w:sz w:val="20"/>
          <w:szCs w:val="20"/>
          <w:color w:val="auto"/>
        </w:rPr>
      </w:pPr>
    </w:p>
    <w:p>
      <w:pPr>
        <w:ind w:left="9260"/>
        <w:spacing w:after="0"/>
        <w:rPr>
          <w:sz w:val="20"/>
          <w:szCs w:val="20"/>
          <w:color w:val="auto"/>
        </w:rPr>
      </w:pPr>
      <w:r>
        <w:rPr>
          <w:rFonts w:ascii="Arial" w:cs="Arial" w:eastAsia="Arial" w:hAnsi="Arial"/>
          <w:sz w:val="18"/>
          <w:szCs w:val="18"/>
          <w:color w:val="auto"/>
        </w:rPr>
        <w:t>+1 617 570 1000</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March 2,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Fulcrum Therapeutics,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26 Landsdowne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Cambridge, Massachusetts 02139</w:t>
      </w:r>
    </w:p>
    <w:p>
      <w:pPr>
        <w:spacing w:after="0" w:line="23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6"/>
          <w:szCs w:val="16"/>
          <w:u w:val="single" w:color="auto"/>
          <w:color w:val="auto"/>
        </w:rPr>
        <w:t>Securities Being Registered under Registration Statement on Form S-3</w:t>
      </w:r>
    </w:p>
    <w:p>
      <w:pPr>
        <w:spacing w:after="0" w:line="225"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We have acted as counsel to you in connection with your filing of a Post-Effective Amendment No. 1 (the “Amendment”) to the Registration Statement on Form S-3 (File No. 333-260754) (as amended or supplemented, the “Registration Statement”) pursuant to the Securities Act of 1933, as amended (the “Securities Act”), relating to the offering by Fulcrum Therapeutics, Inc., a Delaware corporation (the “Company”), of up to $250,000,000 of any combination of (i) common stock, par value $0.001 per share, of the Company (the “Common Stock”), (ii) preferred stock, par value $0.001 per share, of the Company (the “Preferred Stock”), (iii) debt securities of the Company (“Debt Securities”), (iv) depositary shares representing fractional interests in a share or multiple shares of Preferred Stock (“Depositary Shares”), (v) warrants to purchase Common Stock, Preferred Stock, Debt Securities or Depositary Shares (“Warrants”) and (vi) units comprised of Common Stock, Preferred Stock, Debt Securities, Depositary Shares, or Warrants and other securities in any combination (“Units”). The Common Stock, Preferred Stock, Debt Securities, Depositary Shares, Warrants and Units are sometimes referred to collectively herein as the “Securities.” Pursuant to the Amendment, up to $250,000,000 of Securities may be issued in an unspecified number (with respect to Common Stock, Preferred Stock, Depositary Shares, Warrants and Units) or up to $250,000,000 in an unspecified principal amount (with respect to Debt Securities). The Registration Statement provides that the Securities may be offered separately or together, in separate series, in amounts, at prices and on terms to be set forth in one or more prospectus supplements (each a “Prospectus Supplement”) to the prospectus contained in the Registration Statement.</w:t>
      </w:r>
    </w:p>
    <w:p>
      <w:pPr>
        <w:spacing w:after="0" w:line="186"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We have reviewed such documents and made such examination of law as we have deemed appropriate to give the opinions set forth below. We have relied, without independent verification, on certificates of public officials and, as to matters of fact material to the opinions set forth below, on certificates of officers of the Company.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opinions set forth below are limited to the Delaware General Corporation Law and the law of New York.</w:t>
      </w:r>
    </w:p>
    <w:p>
      <w:pPr>
        <w:spacing w:after="0" w:line="225"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For purposes of the opinions set forth below, without limiting any other exceptions or qualifications set forth herein, we have assumed that (i) each of the Depositary Shares, Debt Securities, Warrants and Units, and the indentures, warrant agreements, unit agreements and other agreements governing Securities offered pursuant to the Registration Statement will be governed by the internal law of New York and (ii) after the issuance of any Securities offered pursuant to the Registration Statement, the total number of issued shares of Common Stock or Preferred Stock, as applicable, together with the total number of shares of such stock issuable upon the exercise, exchange, conversion or settlement, as the case may be, of any exercisable, exchangeable or convertible security (including without limitation any Unit), as the case may be, then outstanding, will not exceed the total number of authorized shares of Common Stock or Preferred Stock, as applicable, available for issuance under the Company’s certificate of incorporation as then in effect (the “Charter”).</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the opinions set forth below, we refer to the following as the “Future Authorization and Issuance” of Securities:</w:t>
      </w:r>
    </w:p>
    <w:p>
      <w:pPr>
        <w:sectPr>
          <w:pgSz w:w="11900" w:h="16838" w:orient="portrait"/>
          <w:cols w:equalWidth="0" w:num="1">
            <w:col w:w="11020"/>
          </w:cols>
          <w:pgMar w:left="440" w:top="121" w:right="439" w:bottom="1440" w:gutter="0" w:footer="0" w:header="0"/>
        </w:sectPr>
      </w:pPr>
    </w:p>
    <w:bookmarkStart w:id="49" w:name="page50"/>
    <w:bookmarkEnd w:id="4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Fulcrum Therapeutics,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 2022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43" w:lineRule="exact"/>
        <w:rPr>
          <w:sz w:val="20"/>
          <w:szCs w:val="20"/>
          <w:color w:val="auto"/>
        </w:rPr>
      </w:pPr>
    </w:p>
    <w:p>
      <w:pPr>
        <w:ind w:left="960" w:right="20" w:hanging="424"/>
        <w:spacing w:after="0" w:line="259" w:lineRule="auto"/>
        <w:tabs>
          <w:tab w:leader="none" w:pos="9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with respect to any of the Securities, (a) the authorization by the Company of the amount, terms and issuance of such Securities (the “Authorization”) and (b) the issuance of such Securities in accordance with the Authorization therefor upon the receipt by the Company of the consideration (which, in the case of shares of Common Stock or Preferred Stock, is not less than the par value of such shares) to be paid therefor in accordance with the Authorization;</w:t>
      </w:r>
    </w:p>
    <w:p>
      <w:pPr>
        <w:spacing w:after="0" w:line="92" w:lineRule="exact"/>
        <w:rPr>
          <w:rFonts w:ascii="Arial" w:cs="Arial" w:eastAsia="Arial" w:hAnsi="Arial"/>
          <w:sz w:val="18"/>
          <w:szCs w:val="18"/>
          <w:color w:val="auto"/>
        </w:rPr>
      </w:pPr>
    </w:p>
    <w:p>
      <w:pPr>
        <w:ind w:left="960" w:right="60" w:hanging="424"/>
        <w:spacing w:after="0" w:line="311" w:lineRule="auto"/>
        <w:tabs>
          <w:tab w:leader="none" w:pos="9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with respect to Preferred Stock, (a) the establishment of the terms of such Preferred Stock by the Company in conformity with the Charter and applicable law and (b) the execution, acknowledgement and filing with the Delaware Secretary of State, and the effectiveness of, a certificate of designations to the Charter setting forth the terms of such Preferred Stock in accordance with the Charter and applicable law;</w:t>
      </w:r>
    </w:p>
    <w:p>
      <w:pPr>
        <w:spacing w:after="0" w:line="54" w:lineRule="exact"/>
        <w:rPr>
          <w:rFonts w:ascii="Arial" w:cs="Arial" w:eastAsia="Arial" w:hAnsi="Arial"/>
          <w:sz w:val="16"/>
          <w:szCs w:val="16"/>
          <w:color w:val="auto"/>
        </w:rPr>
      </w:pPr>
    </w:p>
    <w:p>
      <w:pPr>
        <w:ind w:left="960" w:right="100" w:hanging="424"/>
        <w:spacing w:after="0" w:line="301" w:lineRule="auto"/>
        <w:tabs>
          <w:tab w:leader="none" w:pos="9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with respect to Debt Securities, (a) the authorization, execution and delivery of the indenture or a supplemental indenture relating to such Securities by the Company and the trustee thereunder and/or (b) the establishment of the terms of such Securities by the Company in conformity with the applicable indenture or supplemental indenture and applicable law, and (c) the execution, authentication and issuance of such Securities in accordance with the applicable indenture or supplemental indenture and applicable law;</w:t>
      </w:r>
    </w:p>
    <w:p>
      <w:pPr>
        <w:spacing w:after="0" w:line="62" w:lineRule="exact"/>
        <w:rPr>
          <w:rFonts w:ascii="Arial" w:cs="Arial" w:eastAsia="Arial" w:hAnsi="Arial"/>
          <w:sz w:val="16"/>
          <w:szCs w:val="16"/>
          <w:color w:val="auto"/>
        </w:rPr>
      </w:pPr>
    </w:p>
    <w:p>
      <w:pPr>
        <w:ind w:left="960" w:hanging="424"/>
        <w:spacing w:after="0" w:line="286" w:lineRule="auto"/>
        <w:tabs>
          <w:tab w:leader="none" w:pos="9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with respect to Depositary Shares, when (a) the Authorization by the Company of the amount, terms and issuance of such Securities, the terms of the offering thereof and related matters, including the adoption of a Certificate of Designation relating to the Preferred Stock underlying the Depositary Shares and the filing of the Certificate of Designation with the Secretary of State of the State of Delaware, and such Certificate of Designation has been duly filed, (b) the applicable Depositary Agreement relating to the Depositary Shares has been duly authorized, executed and delivered; any depositary receipts evidencing rights in the Depositary Shares have been executed; and the depositary appointed by the Company, (c) the terms of the issuance and sale of the Depositary Shares have been duly established in conformity with the Charter, Bylaws and Authorization, (d) the Depositary Shares have been issued and delivered as contemplated by the Registration Statement, the prospectus and any applicable Prospectus Supplement in accordance with the applicable underwriting or other purchase agreement against payment therefor, (e) the shares of Preferred Stock underlying the Depositary Shares have been deposited with a bank or trust company (which meets the requirements for the depositary set forth in the Registration Statement), and (f) the Company has received the consideration provided for in the Authorization and the applicable underwriting agreement or other purchase agreement, the Depositary Shares will be legally issued and will entitle the holders of such Depositary Shares to the rights specified in the applicable Depositary Agreement and the applicable depositary receipts; and</w:t>
      </w:r>
    </w:p>
    <w:p>
      <w:pPr>
        <w:spacing w:after="0" w:line="79" w:lineRule="exact"/>
        <w:rPr>
          <w:rFonts w:ascii="Arial" w:cs="Arial" w:eastAsia="Arial" w:hAnsi="Arial"/>
          <w:sz w:val="16"/>
          <w:szCs w:val="16"/>
          <w:color w:val="auto"/>
        </w:rPr>
      </w:pPr>
    </w:p>
    <w:p>
      <w:pPr>
        <w:ind w:left="960" w:right="100" w:hanging="424"/>
        <w:spacing w:after="0" w:line="286" w:lineRule="auto"/>
        <w:tabs>
          <w:tab w:leader="none" w:pos="9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with respect to Warrants or Units, (a) the authorization, execution and delivery by the Company and the other parties thereto of any agreement under which such Securities are to be issued, and (b) the establishment of the terms of such Securities and the issuance of such Securities in conformity with those terms, the terms of any applicable agreement and applicable law.</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Based upon the foregoing, and subject to the additional qualifications set forth below, we are of the opinion that:</w:t>
      </w:r>
    </w:p>
    <w:p>
      <w:pPr>
        <w:spacing w:after="0" w:line="225" w:lineRule="exact"/>
        <w:rPr>
          <w:sz w:val="20"/>
          <w:szCs w:val="20"/>
          <w:color w:val="auto"/>
        </w:rPr>
      </w:pPr>
    </w:p>
    <w:p>
      <w:pPr>
        <w:ind w:right="160" w:firstLine="436"/>
        <w:spacing w:after="0" w:line="277" w:lineRule="auto"/>
        <w:tabs>
          <w:tab w:leader="none" w:pos="6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Upon the Future Authorization and Issuance of shares of Common Stock, such shares of Common Stock will be validly issued, fully paid and nonassessable.</w:t>
      </w:r>
    </w:p>
    <w:p>
      <w:pPr>
        <w:spacing w:after="0" w:line="170" w:lineRule="exact"/>
        <w:rPr>
          <w:rFonts w:ascii="Arial" w:cs="Arial" w:eastAsia="Arial" w:hAnsi="Arial"/>
          <w:sz w:val="18"/>
          <w:szCs w:val="18"/>
          <w:color w:val="auto"/>
        </w:rPr>
      </w:pPr>
    </w:p>
    <w:p>
      <w:pPr>
        <w:ind w:right="180" w:firstLine="436"/>
        <w:spacing w:after="0" w:line="277" w:lineRule="auto"/>
        <w:tabs>
          <w:tab w:leader="none" w:pos="6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Upon the Future Authorization and Issuance of shares of Preferred Stock, such shares of Preferred Stock will be validly issued, fully paid and nonassessable.</w:t>
      </w:r>
    </w:p>
    <w:p>
      <w:pPr>
        <w:spacing w:after="0" w:line="170" w:lineRule="exact"/>
        <w:rPr>
          <w:rFonts w:ascii="Arial" w:cs="Arial" w:eastAsia="Arial" w:hAnsi="Arial"/>
          <w:sz w:val="18"/>
          <w:szCs w:val="18"/>
          <w:color w:val="auto"/>
        </w:rPr>
      </w:pPr>
    </w:p>
    <w:p>
      <w:pPr>
        <w:ind w:left="620" w:hanging="184"/>
        <w:spacing w:after="0"/>
        <w:tabs>
          <w:tab w:leader="none" w:pos="620" w:val="left"/>
        </w:tabs>
        <w:numPr>
          <w:ilvl w:val="0"/>
          <w:numId w:val="36"/>
        </w:numPr>
        <w:rPr>
          <w:rFonts w:ascii="Arial" w:cs="Arial" w:eastAsia="Arial" w:hAnsi="Arial"/>
          <w:sz w:val="16"/>
          <w:szCs w:val="16"/>
          <w:color w:val="auto"/>
        </w:rPr>
      </w:pPr>
      <w:r>
        <w:rPr>
          <w:rFonts w:ascii="Arial" w:cs="Arial" w:eastAsia="Arial" w:hAnsi="Arial"/>
          <w:sz w:val="16"/>
          <w:szCs w:val="16"/>
          <w:color w:val="auto"/>
        </w:rPr>
        <w:t>Upon the Future Authorization and Issuance of Debt Securities, such Debt Securities will be valid and binding obligations of the Company.</w:t>
      </w:r>
    </w:p>
    <w:p>
      <w:pPr>
        <w:sectPr>
          <w:pgSz w:w="11900" w:h="16838" w:orient="portrait"/>
          <w:cols w:equalWidth="0" w:num="1">
            <w:col w:w="10980"/>
          </w:cols>
          <w:pgMar w:left="440" w:top="274" w:right="479" w:bottom="1440" w:gutter="0" w:footer="0" w:header="0"/>
        </w:sectPr>
      </w:pPr>
    </w:p>
    <w:bookmarkStart w:id="50" w:name="page51"/>
    <w:bookmarkEnd w:id="5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Fulcrum Therapeutics,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 2022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43" w:lineRule="exact"/>
        <w:rPr>
          <w:sz w:val="20"/>
          <w:szCs w:val="20"/>
          <w:color w:val="auto"/>
        </w:rPr>
      </w:pPr>
    </w:p>
    <w:p>
      <w:pPr>
        <w:ind w:right="700" w:firstLine="436"/>
        <w:spacing w:after="0" w:line="277" w:lineRule="auto"/>
        <w:tabs>
          <w:tab w:leader="none" w:pos="6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Upon the Future Authorization and Issuance of Depositary Shares, such Depositary Shares will be valid and binding obligations of the Company.</w:t>
      </w:r>
    </w:p>
    <w:p>
      <w:pPr>
        <w:spacing w:after="0" w:line="170" w:lineRule="exact"/>
        <w:rPr>
          <w:rFonts w:ascii="Arial" w:cs="Arial" w:eastAsia="Arial" w:hAnsi="Arial"/>
          <w:sz w:val="18"/>
          <w:szCs w:val="18"/>
          <w:color w:val="auto"/>
        </w:rPr>
      </w:pPr>
    </w:p>
    <w:p>
      <w:pPr>
        <w:ind w:left="620" w:hanging="184"/>
        <w:spacing w:after="0"/>
        <w:tabs>
          <w:tab w:leader="none" w:pos="6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Upon the Future Authorization and Issuance of Warrants, such Warrants will be valid and binding obligations of the Company.</w:t>
      </w:r>
    </w:p>
    <w:p>
      <w:pPr>
        <w:spacing w:after="0" w:line="225" w:lineRule="exact"/>
        <w:rPr>
          <w:rFonts w:ascii="Arial" w:cs="Arial" w:eastAsia="Arial" w:hAnsi="Arial"/>
          <w:sz w:val="18"/>
          <w:szCs w:val="18"/>
          <w:color w:val="auto"/>
        </w:rPr>
      </w:pPr>
    </w:p>
    <w:p>
      <w:pPr>
        <w:ind w:left="620" w:hanging="184"/>
        <w:spacing w:after="0"/>
        <w:tabs>
          <w:tab w:leader="none" w:pos="6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Upon the Future Authorization and Issuance of Units, such Units will be valid and binding obligations of the Company.</w:t>
      </w:r>
    </w:p>
    <w:p>
      <w:pPr>
        <w:spacing w:after="0" w:line="22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opinions expressed above are subject to bankruptcy, insolvency, fraudulent transfer, reorganization, moratorium and other similar laws of general application affecting the rights and remedies of creditors and to general principles of equity.</w:t>
      </w:r>
    </w:p>
    <w:p>
      <w:pPr>
        <w:spacing w:after="0" w:line="170"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 xml:space="preserve">This opinion letter and the opinions it contains shall be interpreted in accordance with the Core Opinion Principles as published in 74 </w:t>
      </w:r>
      <w:r>
        <w:rPr>
          <w:rFonts w:ascii="Arial" w:cs="Arial" w:eastAsia="Arial" w:hAnsi="Arial"/>
          <w:sz w:val="18"/>
          <w:szCs w:val="18"/>
          <w:i w:val="1"/>
          <w:iCs w:val="1"/>
          <w:color w:val="auto"/>
        </w:rPr>
        <w:t>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Lawyer </w:t>
      </w:r>
      <w:r>
        <w:rPr>
          <w:rFonts w:ascii="Arial" w:cs="Arial" w:eastAsia="Arial" w:hAnsi="Arial"/>
          <w:sz w:val="18"/>
          <w:szCs w:val="18"/>
          <w:color w:val="auto"/>
        </w:rPr>
        <w:t>815 (Summer 2019).</w:t>
      </w:r>
    </w:p>
    <w:p>
      <w:pPr>
        <w:spacing w:after="0" w:line="170"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We hereby consent to the inclusion of this opinion as Exhibit 5.1 to the Registration Statement and to the references to our firm under the caption “Legal Matters” in the Registration Statement. In giving our consent, we do not admit that we are in the category of persons whose consent is required under Section 7 of the Securities Act or the rules and regulations thereunder.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Goodwin Procter LLP</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GOODWIN PROCTER LLP</w:t>
      </w:r>
    </w:p>
    <w:p>
      <w:pPr>
        <w:sectPr>
          <w:pgSz w:w="11900" w:h="16838" w:orient="portrait"/>
          <w:cols w:equalWidth="0" w:num="1">
            <w:col w:w="10980"/>
          </w:cols>
          <w:pgMar w:left="440" w:top="274" w:right="47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We consent to the reference to our firm under the caption “Experts” in Post-Effective Amendment No. 1 to the Registration Statement (Form S-3</w:t>
      </w:r>
    </w:p>
    <w:p>
      <w:pPr>
        <w:spacing w:after="0" w:line="35"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No. 333-260754) and related Prospectus of Fulcrum Therapeutics, Inc. for the registration of debt securities, common stock, preferred stock, depositary shares, units and/or warrants and to the incorporation by reference therein of our report dated March 4, 2021, with respect to the consolidated financial statements of Fulcrum Therapeutics, Inc. included in its Annual Report (Form 10-K) for the year ended December 31, 2020, filed with the Securities and Exchange Commission.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 2022</w:t>
      </w:r>
    </w:p>
    <w:p>
      <w:pPr>
        <w:sectPr>
          <w:pgSz w:w="11900" w:h="16838" w:orient="portrait"/>
          <w:cols w:equalWidth="0" w:num="1">
            <w:col w:w="11020"/>
          </w:cols>
          <w:pgMar w:left="440" w:top="121" w:right="439" w:bottom="1440" w:gutter="0" w:footer="0" w:header="0"/>
        </w:sectPr>
      </w:pPr>
    </w:p>
    <w:bookmarkStart w:id="52" w:name="page53"/>
    <w:bookmarkEnd w:id="52"/>
    <w:p>
      <w:pPr>
        <w:spacing w:after="0" w:line="20"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Exhibit 107</w:t>
      </w:r>
    </w:p>
    <w:p>
      <w:pPr>
        <w:spacing w:after="0" w:line="200" w:lineRule="exact"/>
        <w:rPr>
          <w:sz w:val="20"/>
          <w:szCs w:val="20"/>
          <w:color w:val="auto"/>
        </w:rPr>
      </w:pPr>
    </w:p>
    <w:p>
      <w:pPr>
        <w:spacing w:after="0" w:line="223"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Calculation of Filing Fee Tables</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Post-Effective Amendment to Form S-3</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(Form Type)</w:t>
      </w:r>
    </w:p>
    <w:p>
      <w:pPr>
        <w:spacing w:after="0" w:line="20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Fulcrum Therapeutics, Inc.</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(Exact Name of Registrant as Specified in its Charter)</w:t>
      </w:r>
    </w:p>
    <w:p>
      <w:pPr>
        <w:spacing w:after="0" w:line="211" w:lineRule="exact"/>
        <w:rPr>
          <w:sz w:val="20"/>
          <w:szCs w:val="20"/>
          <w:color w:val="auto"/>
        </w:rPr>
      </w:pPr>
    </w:p>
    <w:p>
      <w:pPr>
        <w:jc w:val="center"/>
        <w:ind w:right="-3"/>
        <w:spacing w:after="0"/>
        <w:rPr>
          <w:sz w:val="20"/>
          <w:szCs w:val="20"/>
          <w:color w:val="auto"/>
        </w:rPr>
      </w:pPr>
      <w:r>
        <w:rPr>
          <w:rFonts w:ascii="Arial" w:cs="Arial" w:eastAsia="Arial" w:hAnsi="Arial"/>
          <w:sz w:val="18"/>
          <w:szCs w:val="18"/>
          <w:u w:val="single" w:color="auto"/>
          <w:color w:val="auto"/>
        </w:rPr>
        <w:t>Table 1: Newly Registered and Carry Forward Securities</w:t>
      </w:r>
    </w:p>
    <w:p>
      <w:pPr>
        <w:spacing w:after="0" w:line="221"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CALCULATION OF REGISTRATION FEE</w:t>
      </w:r>
    </w:p>
    <w:p>
      <w:pPr>
        <w:spacing w:after="0" w:line="250" w:lineRule="exact"/>
        <w:rPr>
          <w:sz w:val="20"/>
          <w:szCs w:val="20"/>
          <w:color w:val="auto"/>
        </w:rPr>
      </w:pPr>
    </w:p>
    <w:tbl>
      <w:tblPr>
        <w:tblLayout w:type="fixed"/>
        <w:tblInd w:w="34" w:type="dxa"/>
        <w:tblCellMar>
          <w:top w:w="0" w:type="dxa"/>
          <w:left w:w="0" w:type="dxa"/>
          <w:bottom w:w="0" w:type="dxa"/>
          <w:right w:w="0" w:type="dxa"/>
        </w:tblCellMar>
      </w:tblPr>
      <w:tr>
        <w:trPr>
          <w:trHeight w:val="139"/>
        </w:trPr>
        <w:tc>
          <w:tcPr>
            <w:tcW w:w="760" w:type="dxa"/>
            <w:vAlign w:val="bottom"/>
            <w:tcBorders>
              <w:top w:val="single" w:sz="8" w:color="auto"/>
              <w:left w:val="single" w:sz="8" w:color="auto"/>
              <w:right w:val="single" w:sz="8" w:color="auto"/>
            </w:tcBorders>
          </w:tcPr>
          <w:p>
            <w:pPr>
              <w:spacing w:after="0"/>
              <w:rPr>
                <w:sz w:val="12"/>
                <w:szCs w:val="12"/>
                <w:color w:val="auto"/>
              </w:rPr>
            </w:pPr>
          </w:p>
        </w:tc>
        <w:tc>
          <w:tcPr>
            <w:tcW w:w="740" w:type="dxa"/>
            <w:vAlign w:val="bottom"/>
            <w:tcBorders>
              <w:top w:val="single" w:sz="8" w:color="auto"/>
              <w:right w:val="single" w:sz="8" w:color="auto"/>
            </w:tcBorders>
          </w:tcPr>
          <w:p>
            <w:pPr>
              <w:spacing w:after="0"/>
              <w:rPr>
                <w:sz w:val="12"/>
                <w:szCs w:val="12"/>
                <w:color w:val="auto"/>
              </w:rPr>
            </w:pPr>
          </w:p>
        </w:tc>
        <w:tc>
          <w:tcPr>
            <w:tcW w:w="720" w:type="dxa"/>
            <w:vAlign w:val="bottom"/>
            <w:tcBorders>
              <w:top w:val="single" w:sz="8" w:color="auto"/>
              <w:right w:val="single" w:sz="8" w:color="auto"/>
            </w:tcBorders>
          </w:tcPr>
          <w:p>
            <w:pPr>
              <w:spacing w:after="0"/>
              <w:rPr>
                <w:sz w:val="12"/>
                <w:szCs w:val="12"/>
                <w:color w:val="auto"/>
              </w:rPr>
            </w:pPr>
          </w:p>
        </w:tc>
        <w:tc>
          <w:tcPr>
            <w:tcW w:w="820" w:type="dxa"/>
            <w:vAlign w:val="bottom"/>
            <w:tcBorders>
              <w:top w:val="single" w:sz="8" w:color="auto"/>
              <w:right w:val="single" w:sz="8" w:color="auto"/>
            </w:tcBorders>
          </w:tcPr>
          <w:p>
            <w:pPr>
              <w:spacing w:after="0"/>
              <w:rPr>
                <w:sz w:val="12"/>
                <w:szCs w:val="12"/>
                <w:color w:val="auto"/>
              </w:rPr>
            </w:pPr>
          </w:p>
        </w:tc>
        <w:tc>
          <w:tcPr>
            <w:tcW w:w="1180" w:type="dxa"/>
            <w:vAlign w:val="bottom"/>
            <w:tcBorders>
              <w:top w:val="single" w:sz="8" w:color="auto"/>
              <w:right w:val="single" w:sz="8" w:color="auto"/>
            </w:tcBorders>
          </w:tcPr>
          <w:p>
            <w:pPr>
              <w:spacing w:after="0"/>
              <w:rPr>
                <w:sz w:val="12"/>
                <w:szCs w:val="12"/>
                <w:color w:val="auto"/>
              </w:rPr>
            </w:pPr>
          </w:p>
        </w:tc>
        <w:tc>
          <w:tcPr>
            <w:tcW w:w="680" w:type="dxa"/>
            <w:vAlign w:val="bottom"/>
            <w:tcBorders>
              <w:top w:val="single" w:sz="8" w:color="auto"/>
              <w:right w:val="single" w:sz="8" w:color="auto"/>
            </w:tcBorders>
          </w:tcPr>
          <w:p>
            <w:pPr>
              <w:spacing w:after="0"/>
              <w:rPr>
                <w:sz w:val="12"/>
                <w:szCs w:val="12"/>
                <w:color w:val="auto"/>
              </w:rPr>
            </w:pPr>
          </w:p>
        </w:tc>
        <w:tc>
          <w:tcPr>
            <w:tcW w:w="1100" w:type="dxa"/>
            <w:vAlign w:val="bottom"/>
            <w:tcBorders>
              <w:top w:val="single" w:sz="8" w:color="auto"/>
              <w:right w:val="single" w:sz="8" w:color="auto"/>
            </w:tcBorders>
          </w:tcPr>
          <w:p>
            <w:pPr>
              <w:spacing w:after="0"/>
              <w:rPr>
                <w:sz w:val="12"/>
                <w:szCs w:val="12"/>
                <w:color w:val="auto"/>
              </w:rPr>
            </w:pPr>
          </w:p>
        </w:tc>
        <w:tc>
          <w:tcPr>
            <w:tcW w:w="760" w:type="dxa"/>
            <w:vAlign w:val="bottom"/>
            <w:tcBorders>
              <w:top w:val="single" w:sz="8" w:color="auto"/>
              <w:right w:val="single" w:sz="8" w:color="auto"/>
            </w:tcBorders>
          </w:tcPr>
          <w:p>
            <w:pPr>
              <w:spacing w:after="0"/>
              <w:rPr>
                <w:sz w:val="12"/>
                <w:szCs w:val="12"/>
                <w:color w:val="auto"/>
              </w:rPr>
            </w:pPr>
          </w:p>
        </w:tc>
        <w:tc>
          <w:tcPr>
            <w:tcW w:w="960" w:type="dxa"/>
            <w:vAlign w:val="bottom"/>
            <w:tcBorders>
              <w:top w:val="single" w:sz="8" w:color="auto"/>
              <w:right w:val="single" w:sz="8" w:color="auto"/>
            </w:tcBorders>
          </w:tcPr>
          <w:p>
            <w:pPr>
              <w:spacing w:after="0"/>
              <w:rPr>
                <w:sz w:val="12"/>
                <w:szCs w:val="12"/>
                <w:color w:val="auto"/>
              </w:rPr>
            </w:pPr>
          </w:p>
        </w:tc>
        <w:tc>
          <w:tcPr>
            <w:tcW w:w="640" w:type="dxa"/>
            <w:vAlign w:val="bottom"/>
            <w:tcBorders>
              <w:top w:val="single" w:sz="8" w:color="auto"/>
              <w:right w:val="single" w:sz="8" w:color="auto"/>
            </w:tcBorders>
          </w:tcPr>
          <w:p>
            <w:pPr>
              <w:spacing w:after="0"/>
              <w:rPr>
                <w:sz w:val="12"/>
                <w:szCs w:val="12"/>
                <w:color w:val="auto"/>
              </w:rPr>
            </w:pPr>
          </w:p>
        </w:tc>
        <w:tc>
          <w:tcPr>
            <w:tcW w:w="840" w:type="dxa"/>
            <w:vAlign w:val="bottom"/>
            <w:tcBorders>
              <w:top w:val="single" w:sz="8" w:color="auto"/>
              <w:right w:val="single" w:sz="8" w:color="auto"/>
            </w:tcBorders>
          </w:tcPr>
          <w:p>
            <w:pPr>
              <w:spacing w:after="0"/>
              <w:rPr>
                <w:sz w:val="12"/>
                <w:szCs w:val="12"/>
                <w:color w:val="auto"/>
              </w:rPr>
            </w:pPr>
          </w:p>
        </w:tc>
        <w:tc>
          <w:tcPr>
            <w:tcW w:w="900" w:type="dxa"/>
            <w:vAlign w:val="bottom"/>
            <w:tcBorders>
              <w:top w:val="single" w:sz="8" w:color="auto"/>
              <w:right w:val="single" w:sz="8" w:color="auto"/>
            </w:tcBorders>
          </w:tcPr>
          <w:p>
            <w:pPr>
              <w:spacing w:after="0"/>
              <w:rPr>
                <w:sz w:val="12"/>
                <w:szCs w:val="12"/>
                <w:color w:val="auto"/>
              </w:rPr>
            </w:pPr>
          </w:p>
        </w:tc>
        <w:tc>
          <w:tcPr>
            <w:tcW w:w="880" w:type="dxa"/>
            <w:vAlign w:val="bottom"/>
            <w:tcBorders>
              <w:top w:val="single" w:sz="8" w:color="auto"/>
              <w:right w:val="single" w:sz="8" w:color="auto"/>
            </w:tcBorders>
          </w:tcPr>
          <w:p>
            <w:pPr>
              <w:jc w:val="center"/>
              <w:spacing w:after="0" w:line="139" w:lineRule="exact"/>
              <w:rPr>
                <w:sz w:val="20"/>
                <w:szCs w:val="20"/>
                <w:color w:val="auto"/>
              </w:rPr>
            </w:pPr>
            <w:r>
              <w:rPr>
                <w:rFonts w:ascii="Arial" w:cs="Arial" w:eastAsia="Arial" w:hAnsi="Arial"/>
                <w:sz w:val="14"/>
                <w:szCs w:val="14"/>
                <w:b w:val="1"/>
                <w:bCs w:val="1"/>
                <w:color w:val="auto"/>
                <w:w w:val="94"/>
              </w:rPr>
              <w:t>Filing Fee</w:t>
            </w:r>
          </w:p>
        </w:tc>
        <w:tc>
          <w:tcPr>
            <w:tcW w:w="0" w:type="dxa"/>
            <w:vAlign w:val="bottom"/>
          </w:tcPr>
          <w:p>
            <w:pPr>
              <w:spacing w:after="0"/>
              <w:rPr>
                <w:sz w:val="1"/>
                <w:szCs w:val="1"/>
                <w:color w:val="auto"/>
              </w:rPr>
            </w:pPr>
          </w:p>
        </w:tc>
      </w:tr>
      <w:tr>
        <w:trPr>
          <w:trHeight w:val="148"/>
        </w:trPr>
        <w:tc>
          <w:tcPr>
            <w:tcW w:w="760" w:type="dxa"/>
            <w:vAlign w:val="bottom"/>
            <w:tcBorders>
              <w:left w:val="single" w:sz="8" w:color="auto"/>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110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0"/>
              </w:rPr>
              <w:t>Previously</w:t>
            </w:r>
          </w:p>
        </w:tc>
        <w:tc>
          <w:tcPr>
            <w:tcW w:w="0" w:type="dxa"/>
            <w:vAlign w:val="bottom"/>
          </w:tcPr>
          <w:p>
            <w:pPr>
              <w:spacing w:after="0"/>
              <w:rPr>
                <w:sz w:val="1"/>
                <w:szCs w:val="1"/>
                <w:color w:val="auto"/>
              </w:rPr>
            </w:pPr>
          </w:p>
        </w:tc>
      </w:tr>
      <w:tr>
        <w:trPr>
          <w:trHeight w:val="148"/>
        </w:trPr>
        <w:tc>
          <w:tcPr>
            <w:tcW w:w="760" w:type="dxa"/>
            <w:vAlign w:val="bottom"/>
            <w:tcBorders>
              <w:left w:val="single" w:sz="8" w:color="auto"/>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110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5"/>
              </w:rPr>
              <w:t>Paid in</w:t>
            </w:r>
          </w:p>
        </w:tc>
        <w:tc>
          <w:tcPr>
            <w:tcW w:w="0" w:type="dxa"/>
            <w:vAlign w:val="bottom"/>
          </w:tcPr>
          <w:p>
            <w:pPr>
              <w:spacing w:after="0"/>
              <w:rPr>
                <w:sz w:val="1"/>
                <w:szCs w:val="1"/>
                <w:color w:val="auto"/>
              </w:rPr>
            </w:pPr>
          </w:p>
        </w:tc>
      </w:tr>
      <w:tr>
        <w:trPr>
          <w:trHeight w:val="148"/>
        </w:trPr>
        <w:tc>
          <w:tcPr>
            <w:tcW w:w="760" w:type="dxa"/>
            <w:vAlign w:val="bottom"/>
            <w:tcBorders>
              <w:left w:val="single" w:sz="8" w:color="auto"/>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110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0"/>
              </w:rPr>
              <w:t>Connection</w:t>
            </w:r>
          </w:p>
        </w:tc>
        <w:tc>
          <w:tcPr>
            <w:tcW w:w="0" w:type="dxa"/>
            <w:vAlign w:val="bottom"/>
          </w:tcPr>
          <w:p>
            <w:pPr>
              <w:spacing w:after="0"/>
              <w:rPr>
                <w:sz w:val="1"/>
                <w:szCs w:val="1"/>
                <w:color w:val="auto"/>
              </w:rPr>
            </w:pPr>
          </w:p>
        </w:tc>
      </w:tr>
      <w:tr>
        <w:trPr>
          <w:trHeight w:val="149"/>
        </w:trPr>
        <w:tc>
          <w:tcPr>
            <w:tcW w:w="760" w:type="dxa"/>
            <w:vAlign w:val="bottom"/>
            <w:tcBorders>
              <w:left w:val="single" w:sz="8" w:color="auto"/>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82"/>
              </w:rPr>
              <w:t>Fee</w:t>
            </w:r>
          </w:p>
        </w:tc>
        <w:tc>
          <w:tcPr>
            <w:tcW w:w="118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89"/>
              </w:rPr>
              <w:t>Proposed</w:t>
            </w:r>
          </w:p>
        </w:tc>
        <w:tc>
          <w:tcPr>
            <w:tcW w:w="110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rPr>
              <w:t>Carry</w:t>
            </w:r>
          </w:p>
        </w:tc>
        <w:tc>
          <w:tcPr>
            <w:tcW w:w="8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2"/>
              </w:rPr>
              <w:t>with</w:t>
            </w:r>
          </w:p>
        </w:tc>
        <w:tc>
          <w:tcPr>
            <w:tcW w:w="0" w:type="dxa"/>
            <w:vAlign w:val="bottom"/>
          </w:tcPr>
          <w:p>
            <w:pPr>
              <w:spacing w:after="0"/>
              <w:rPr>
                <w:sz w:val="1"/>
                <w:szCs w:val="1"/>
                <w:color w:val="auto"/>
              </w:rPr>
            </w:pPr>
          </w:p>
        </w:tc>
      </w:tr>
      <w:tr>
        <w:trPr>
          <w:trHeight w:val="148"/>
        </w:trPr>
        <w:tc>
          <w:tcPr>
            <w:tcW w:w="760" w:type="dxa"/>
            <w:vAlign w:val="bottom"/>
            <w:tcBorders>
              <w:left w:val="single" w:sz="8" w:color="auto"/>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vMerge w:val="continue"/>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vMerge w:val="continue"/>
          </w:tcPr>
          <w:p>
            <w:pPr>
              <w:spacing w:after="0"/>
              <w:rPr>
                <w:sz w:val="12"/>
                <w:szCs w:val="12"/>
                <w:color w:val="auto"/>
              </w:rPr>
            </w:pPr>
          </w:p>
        </w:tc>
        <w:tc>
          <w:tcPr>
            <w:tcW w:w="110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rPr>
              <w:t>Carry</w:t>
            </w:r>
          </w:p>
        </w:tc>
        <w:tc>
          <w:tcPr>
            <w:tcW w:w="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rPr>
              <w:t>Carry</w:t>
            </w:r>
          </w:p>
        </w:tc>
        <w:tc>
          <w:tcPr>
            <w:tcW w:w="900" w:type="dxa"/>
            <w:vAlign w:val="bottom"/>
            <w:tcBorders>
              <w:right w:val="single" w:sz="8" w:color="auto"/>
            </w:tcBorders>
            <w:vMerge w:val="continue"/>
          </w:tcPr>
          <w:p>
            <w:pPr>
              <w:spacing w:after="0"/>
              <w:rPr>
                <w:sz w:val="12"/>
                <w:szCs w:val="12"/>
                <w:color w:val="auto"/>
              </w:rPr>
            </w:pPr>
          </w:p>
        </w:tc>
        <w:tc>
          <w:tcPr>
            <w:tcW w:w="8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8"/>
              </w:rPr>
              <w:t>Unsold</w:t>
            </w:r>
          </w:p>
        </w:tc>
        <w:tc>
          <w:tcPr>
            <w:tcW w:w="0" w:type="dxa"/>
            <w:vAlign w:val="bottom"/>
          </w:tcPr>
          <w:p>
            <w:pPr>
              <w:spacing w:after="0"/>
              <w:rPr>
                <w:sz w:val="1"/>
                <w:szCs w:val="1"/>
                <w:color w:val="auto"/>
              </w:rPr>
            </w:pPr>
          </w:p>
        </w:tc>
      </w:tr>
      <w:tr>
        <w:trPr>
          <w:trHeight w:val="148"/>
        </w:trPr>
        <w:tc>
          <w:tcPr>
            <w:tcW w:w="760" w:type="dxa"/>
            <w:vAlign w:val="bottom"/>
            <w:tcBorders>
              <w:left w:val="single" w:sz="8" w:color="auto"/>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5"/>
              </w:rPr>
              <w:t>Calculation</w:t>
            </w:r>
          </w:p>
        </w:tc>
        <w:tc>
          <w:tcPr>
            <w:tcW w:w="118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9"/>
              </w:rPr>
              <w:t>Maximum</w:t>
            </w:r>
          </w:p>
        </w:tc>
        <w:tc>
          <w:tcPr>
            <w:tcW w:w="11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9"/>
              </w:rPr>
              <w:t>Maximum</w:t>
            </w:r>
          </w:p>
        </w:tc>
        <w:tc>
          <w:tcPr>
            <w:tcW w:w="76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4"/>
              </w:rPr>
              <w:t>Amount of</w:t>
            </w:r>
          </w:p>
        </w:tc>
        <w:tc>
          <w:tcPr>
            <w:tcW w:w="640" w:type="dxa"/>
            <w:vAlign w:val="bottom"/>
            <w:tcBorders>
              <w:right w:val="single" w:sz="8" w:color="auto"/>
            </w:tcBorders>
            <w:vMerge w:val="continue"/>
          </w:tcPr>
          <w:p>
            <w:pPr>
              <w:spacing w:after="0"/>
              <w:rPr>
                <w:sz w:val="12"/>
                <w:szCs w:val="12"/>
                <w:color w:val="auto"/>
              </w:rPr>
            </w:pPr>
          </w:p>
        </w:tc>
        <w:tc>
          <w:tcPr>
            <w:tcW w:w="840" w:type="dxa"/>
            <w:vAlign w:val="bottom"/>
            <w:tcBorders>
              <w:right w:val="single" w:sz="8" w:color="auto"/>
            </w:tcBorders>
            <w:vMerge w:val="continue"/>
          </w:tcPr>
          <w:p>
            <w:pPr>
              <w:spacing w:after="0"/>
              <w:rPr>
                <w:sz w:val="12"/>
                <w:szCs w:val="12"/>
                <w:color w:val="auto"/>
              </w:rPr>
            </w:pP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7"/>
              </w:rPr>
              <w:t>Forward</w:t>
            </w:r>
          </w:p>
        </w:tc>
        <w:tc>
          <w:tcPr>
            <w:tcW w:w="8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9"/>
              </w:rPr>
              <w:t>Securities</w:t>
            </w:r>
          </w:p>
        </w:tc>
        <w:tc>
          <w:tcPr>
            <w:tcW w:w="0" w:type="dxa"/>
            <w:vAlign w:val="bottom"/>
          </w:tcPr>
          <w:p>
            <w:pPr>
              <w:spacing w:after="0"/>
              <w:rPr>
                <w:sz w:val="1"/>
                <w:szCs w:val="1"/>
                <w:color w:val="auto"/>
              </w:rPr>
            </w:pPr>
          </w:p>
        </w:tc>
      </w:tr>
      <w:tr>
        <w:trPr>
          <w:trHeight w:val="144"/>
        </w:trPr>
        <w:tc>
          <w:tcPr>
            <w:tcW w:w="760" w:type="dxa"/>
            <w:vAlign w:val="bottom"/>
            <w:tcBorders>
              <w:left w:val="single" w:sz="8" w:color="auto"/>
              <w:right w:val="single" w:sz="8" w:color="auto"/>
            </w:tcBorders>
          </w:tcPr>
          <w:p>
            <w:pPr>
              <w:spacing w:after="0"/>
              <w:rPr>
                <w:sz w:val="12"/>
                <w:szCs w:val="12"/>
                <w:color w:val="auto"/>
              </w:rPr>
            </w:pPr>
          </w:p>
        </w:tc>
        <w:tc>
          <w:tcPr>
            <w:tcW w:w="7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4"/>
              </w:rPr>
              <w:t>Security</w:t>
            </w:r>
          </w:p>
        </w:tc>
        <w:tc>
          <w:tcPr>
            <w:tcW w:w="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0"/>
              </w:rPr>
              <w:t>Security</w:t>
            </w:r>
          </w:p>
        </w:tc>
        <w:tc>
          <w:tcPr>
            <w:tcW w:w="820" w:type="dxa"/>
            <w:vAlign w:val="bottom"/>
            <w:tcBorders>
              <w:right w:val="single" w:sz="8" w:color="auto"/>
            </w:tcBorders>
          </w:tcPr>
          <w:p>
            <w:pPr>
              <w:jc w:val="center"/>
              <w:spacing w:after="0" w:line="145" w:lineRule="exact"/>
              <w:rPr>
                <w:sz w:val="20"/>
                <w:szCs w:val="20"/>
                <w:color w:val="auto"/>
              </w:rPr>
            </w:pPr>
            <w:r>
              <w:rPr>
                <w:rFonts w:ascii="Arial" w:cs="Arial" w:eastAsia="Arial" w:hAnsi="Arial"/>
                <w:sz w:val="14"/>
                <w:szCs w:val="14"/>
                <w:b w:val="1"/>
                <w:bCs w:val="1"/>
                <w:color w:val="auto"/>
              </w:rPr>
              <w:t>or Carry</w:t>
            </w:r>
          </w:p>
        </w:tc>
        <w:tc>
          <w:tcPr>
            <w:tcW w:w="1180" w:type="dxa"/>
            <w:vAlign w:val="bottom"/>
            <w:tcBorders>
              <w:right w:val="single" w:sz="8" w:color="auto"/>
            </w:tcBorders>
            <w:vMerge w:val="restart"/>
          </w:tcPr>
          <w:p>
            <w:pPr>
              <w:jc w:val="right"/>
              <w:ind w:right="388"/>
              <w:spacing w:after="0"/>
              <w:rPr>
                <w:sz w:val="20"/>
                <w:szCs w:val="20"/>
                <w:color w:val="auto"/>
              </w:rPr>
            </w:pPr>
            <w:r>
              <w:rPr>
                <w:rFonts w:ascii="Arial" w:cs="Arial" w:eastAsia="Arial" w:hAnsi="Arial"/>
                <w:sz w:val="14"/>
                <w:szCs w:val="14"/>
                <w:b w:val="1"/>
                <w:bCs w:val="1"/>
                <w:color w:val="auto"/>
              </w:rPr>
              <w:t>Amount</w:t>
            </w:r>
          </w:p>
        </w:tc>
        <w:tc>
          <w:tcPr>
            <w:tcW w:w="680" w:type="dxa"/>
            <w:vAlign w:val="bottom"/>
            <w:tcBorders>
              <w:right w:val="single" w:sz="8" w:color="auto"/>
            </w:tcBorders>
          </w:tcPr>
          <w:p>
            <w:pPr>
              <w:jc w:val="center"/>
              <w:spacing w:after="0" w:line="145" w:lineRule="exact"/>
              <w:rPr>
                <w:sz w:val="20"/>
                <w:szCs w:val="20"/>
                <w:color w:val="auto"/>
              </w:rPr>
            </w:pPr>
            <w:r>
              <w:rPr>
                <w:rFonts w:ascii="Arial" w:cs="Arial" w:eastAsia="Arial" w:hAnsi="Arial"/>
                <w:sz w:val="14"/>
                <w:szCs w:val="14"/>
                <w:b w:val="1"/>
                <w:bCs w:val="1"/>
                <w:color w:val="auto"/>
                <w:w w:val="99"/>
              </w:rPr>
              <w:t>Offering</w:t>
            </w:r>
          </w:p>
        </w:tc>
        <w:tc>
          <w:tcPr>
            <w:tcW w:w="1100" w:type="dxa"/>
            <w:vAlign w:val="bottom"/>
            <w:tcBorders>
              <w:right w:val="single" w:sz="8" w:color="auto"/>
            </w:tcBorders>
            <w:vMerge w:val="continue"/>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vMerge w:val="continue"/>
          </w:tcPr>
          <w:p>
            <w:pPr>
              <w:spacing w:after="0"/>
              <w:rPr>
                <w:sz w:val="12"/>
                <w:szCs w:val="12"/>
                <w:color w:val="auto"/>
              </w:rPr>
            </w:pPr>
          </w:p>
        </w:tc>
        <w:tc>
          <w:tcPr>
            <w:tcW w:w="640" w:type="dxa"/>
            <w:vAlign w:val="bottom"/>
            <w:tcBorders>
              <w:right w:val="single" w:sz="8" w:color="auto"/>
            </w:tcBorders>
          </w:tcPr>
          <w:p>
            <w:pPr>
              <w:jc w:val="center"/>
              <w:spacing w:after="0" w:line="145" w:lineRule="exact"/>
              <w:rPr>
                <w:sz w:val="20"/>
                <w:szCs w:val="20"/>
                <w:color w:val="auto"/>
              </w:rPr>
            </w:pPr>
            <w:r>
              <w:rPr>
                <w:rFonts w:ascii="Arial" w:cs="Arial" w:eastAsia="Arial" w:hAnsi="Arial"/>
                <w:sz w:val="14"/>
                <w:szCs w:val="14"/>
                <w:b w:val="1"/>
                <w:bCs w:val="1"/>
                <w:color w:val="auto"/>
                <w:w w:val="97"/>
              </w:rPr>
              <w:t>Forward</w:t>
            </w:r>
          </w:p>
        </w:tc>
        <w:tc>
          <w:tcPr>
            <w:tcW w:w="840" w:type="dxa"/>
            <w:vAlign w:val="bottom"/>
            <w:tcBorders>
              <w:right w:val="single" w:sz="8" w:color="auto"/>
            </w:tcBorders>
          </w:tcPr>
          <w:p>
            <w:pPr>
              <w:jc w:val="center"/>
              <w:spacing w:after="0" w:line="145" w:lineRule="exact"/>
              <w:rPr>
                <w:sz w:val="20"/>
                <w:szCs w:val="20"/>
                <w:color w:val="auto"/>
              </w:rPr>
            </w:pPr>
            <w:r>
              <w:rPr>
                <w:rFonts w:ascii="Arial" w:cs="Arial" w:eastAsia="Arial" w:hAnsi="Arial"/>
                <w:sz w:val="14"/>
                <w:szCs w:val="14"/>
                <w:b w:val="1"/>
                <w:bCs w:val="1"/>
                <w:color w:val="auto"/>
                <w:w w:val="97"/>
              </w:rPr>
              <w:t>Forward</w:t>
            </w:r>
          </w:p>
        </w:tc>
        <w:tc>
          <w:tcPr>
            <w:tcW w:w="900" w:type="dxa"/>
            <w:vAlign w:val="bottom"/>
            <w:tcBorders>
              <w:right w:val="single" w:sz="8" w:color="auto"/>
            </w:tcBorders>
          </w:tcPr>
          <w:p>
            <w:pPr>
              <w:jc w:val="center"/>
              <w:spacing w:after="0" w:line="145" w:lineRule="exact"/>
              <w:rPr>
                <w:sz w:val="20"/>
                <w:szCs w:val="20"/>
                <w:color w:val="auto"/>
              </w:rPr>
            </w:pPr>
            <w:r>
              <w:rPr>
                <w:rFonts w:ascii="Arial" w:cs="Arial" w:eastAsia="Arial" w:hAnsi="Arial"/>
                <w:sz w:val="14"/>
                <w:szCs w:val="14"/>
                <w:b w:val="1"/>
                <w:bCs w:val="1"/>
                <w:color w:val="auto"/>
              </w:rPr>
              <w:t>Initial</w:t>
            </w:r>
          </w:p>
        </w:tc>
        <w:tc>
          <w:tcPr>
            <w:tcW w:w="880" w:type="dxa"/>
            <w:vAlign w:val="bottom"/>
            <w:tcBorders>
              <w:right w:val="single" w:sz="8" w:color="auto"/>
            </w:tcBorders>
          </w:tcPr>
          <w:p>
            <w:pPr>
              <w:jc w:val="center"/>
              <w:spacing w:after="0" w:line="145" w:lineRule="exact"/>
              <w:rPr>
                <w:sz w:val="20"/>
                <w:szCs w:val="20"/>
                <w:color w:val="auto"/>
              </w:rPr>
            </w:pPr>
            <w:r>
              <w:rPr>
                <w:rFonts w:ascii="Arial" w:cs="Arial" w:eastAsia="Arial" w:hAnsi="Arial"/>
                <w:sz w:val="14"/>
                <w:szCs w:val="14"/>
                <w:b w:val="1"/>
                <w:bCs w:val="1"/>
                <w:color w:val="auto"/>
                <w:w w:val="89"/>
              </w:rPr>
              <w:t>to be</w:t>
            </w:r>
          </w:p>
        </w:tc>
        <w:tc>
          <w:tcPr>
            <w:tcW w:w="0" w:type="dxa"/>
            <w:vAlign w:val="bottom"/>
          </w:tcPr>
          <w:p>
            <w:pPr>
              <w:spacing w:after="0"/>
              <w:rPr>
                <w:sz w:val="1"/>
                <w:szCs w:val="1"/>
                <w:color w:val="auto"/>
              </w:rPr>
            </w:pPr>
          </w:p>
        </w:tc>
      </w:tr>
      <w:tr>
        <w:trPr>
          <w:trHeight w:val="148"/>
        </w:trPr>
        <w:tc>
          <w:tcPr>
            <w:tcW w:w="760" w:type="dxa"/>
            <w:vAlign w:val="bottom"/>
            <w:tcBorders>
              <w:left w:val="single" w:sz="8" w:color="auto"/>
              <w:right w:val="single" w:sz="8" w:color="auto"/>
            </w:tcBorders>
          </w:tcPr>
          <w:p>
            <w:pPr>
              <w:spacing w:after="0"/>
              <w:rPr>
                <w:sz w:val="12"/>
                <w:szCs w:val="12"/>
                <w:color w:val="auto"/>
              </w:rPr>
            </w:pPr>
          </w:p>
        </w:tc>
        <w:tc>
          <w:tcPr>
            <w:tcW w:w="740" w:type="dxa"/>
            <w:vAlign w:val="bottom"/>
            <w:tcBorders>
              <w:right w:val="single" w:sz="8" w:color="auto"/>
            </w:tcBorders>
            <w:vMerge w:val="continue"/>
          </w:tcPr>
          <w:p>
            <w:pPr>
              <w:spacing w:after="0"/>
              <w:rPr>
                <w:sz w:val="12"/>
                <w:szCs w:val="12"/>
                <w:color w:val="auto"/>
              </w:rPr>
            </w:pPr>
          </w:p>
        </w:tc>
        <w:tc>
          <w:tcPr>
            <w:tcW w:w="720" w:type="dxa"/>
            <w:vAlign w:val="bottom"/>
            <w:tcBorders>
              <w:right w:val="single" w:sz="8" w:color="auto"/>
            </w:tcBorders>
            <w:vMerge w:val="continue"/>
          </w:tcPr>
          <w:p>
            <w:pPr>
              <w:spacing w:after="0"/>
              <w:rPr>
                <w:sz w:val="12"/>
                <w:szCs w:val="12"/>
                <w:color w:val="auto"/>
              </w:rPr>
            </w:pPr>
          </w:p>
        </w:tc>
        <w:tc>
          <w:tcPr>
            <w:tcW w:w="8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7"/>
              </w:rPr>
              <w:t>Forward</w:t>
            </w:r>
          </w:p>
        </w:tc>
        <w:tc>
          <w:tcPr>
            <w:tcW w:w="1180" w:type="dxa"/>
            <w:vAlign w:val="bottom"/>
            <w:tcBorders>
              <w:right w:val="single" w:sz="8" w:color="auto"/>
            </w:tcBorders>
            <w:vMerge w:val="continue"/>
          </w:tcPr>
          <w:p>
            <w:pPr>
              <w:spacing w:after="0"/>
              <w:rPr>
                <w:sz w:val="12"/>
                <w:szCs w:val="12"/>
                <w:color w:val="auto"/>
              </w:rPr>
            </w:pPr>
          </w:p>
        </w:tc>
        <w:tc>
          <w:tcPr>
            <w:tcW w:w="6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3"/>
              </w:rPr>
              <w:t>Price</w:t>
            </w:r>
          </w:p>
        </w:tc>
        <w:tc>
          <w:tcPr>
            <w:tcW w:w="11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2"/>
              </w:rPr>
              <w:t>Aggregate</w:t>
            </w:r>
          </w:p>
        </w:tc>
        <w:tc>
          <w:tcPr>
            <w:tcW w:w="760" w:type="dxa"/>
            <w:vAlign w:val="bottom"/>
            <w:tcBorders>
              <w:right w:val="single" w:sz="8" w:color="auto"/>
            </w:tcBorders>
            <w:vMerge w:val="restart"/>
          </w:tcPr>
          <w:p>
            <w:pPr>
              <w:ind w:left="100"/>
              <w:spacing w:after="0"/>
              <w:rPr>
                <w:sz w:val="20"/>
                <w:szCs w:val="20"/>
                <w:color w:val="auto"/>
              </w:rPr>
            </w:pPr>
            <w:r>
              <w:rPr>
                <w:rFonts w:ascii="Arial" w:cs="Arial" w:eastAsia="Arial" w:hAnsi="Arial"/>
                <w:sz w:val="14"/>
                <w:szCs w:val="14"/>
                <w:b w:val="1"/>
                <w:bCs w:val="1"/>
                <w:color w:val="auto"/>
              </w:rPr>
              <w:t>Fee Rate</w:t>
            </w:r>
          </w:p>
        </w:tc>
        <w:tc>
          <w:tcPr>
            <w:tcW w:w="9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2"/>
              </w:rPr>
              <w:t>Registration</w:t>
            </w:r>
          </w:p>
        </w:tc>
        <w:tc>
          <w:tcPr>
            <w:tcW w:w="6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7"/>
              </w:rPr>
              <w:t>Form</w:t>
            </w:r>
          </w:p>
        </w:tc>
        <w:tc>
          <w:tcPr>
            <w:tcW w:w="8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0"/>
              </w:rPr>
              <w:t>File</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2"/>
              </w:rPr>
              <w:t>Effective</w:t>
            </w:r>
          </w:p>
        </w:tc>
        <w:tc>
          <w:tcPr>
            <w:tcW w:w="8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rPr>
              <w:t>Carried</w:t>
            </w:r>
          </w:p>
        </w:tc>
        <w:tc>
          <w:tcPr>
            <w:tcW w:w="0" w:type="dxa"/>
            <w:vAlign w:val="bottom"/>
          </w:tcPr>
          <w:p>
            <w:pPr>
              <w:spacing w:after="0"/>
              <w:rPr>
                <w:sz w:val="1"/>
                <w:szCs w:val="1"/>
                <w:color w:val="auto"/>
              </w:rPr>
            </w:pPr>
          </w:p>
        </w:tc>
      </w:tr>
      <w:tr>
        <w:trPr>
          <w:trHeight w:val="176"/>
        </w:trPr>
        <w:tc>
          <w:tcPr>
            <w:tcW w:w="760" w:type="dxa"/>
            <w:vAlign w:val="bottom"/>
            <w:tcBorders>
              <w:left w:val="single" w:sz="8" w:color="auto"/>
              <w:bottom w:val="single" w:sz="8" w:color="auto"/>
              <w:right w:val="single" w:sz="8" w:color="auto"/>
            </w:tcBorders>
          </w:tcPr>
          <w:p>
            <w:pPr>
              <w:spacing w:after="0"/>
              <w:rPr>
                <w:sz w:val="15"/>
                <w:szCs w:val="15"/>
                <w:color w:val="auto"/>
              </w:rPr>
            </w:pPr>
          </w:p>
        </w:tc>
        <w:tc>
          <w:tcPr>
            <w:tcW w:w="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Type</w:t>
            </w:r>
          </w:p>
        </w:tc>
        <w:tc>
          <w:tcPr>
            <w:tcW w:w="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Class Title</w:t>
            </w: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Rule</w:t>
            </w:r>
          </w:p>
        </w:tc>
        <w:tc>
          <w:tcPr>
            <w:tcW w:w="1180" w:type="dxa"/>
            <w:vAlign w:val="bottom"/>
            <w:tcBorders>
              <w:bottom w:val="single" w:sz="8" w:color="auto"/>
              <w:right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Registered</w:t>
            </w:r>
          </w:p>
        </w:tc>
        <w:tc>
          <w:tcPr>
            <w:tcW w:w="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Per Unit</w:t>
            </w:r>
          </w:p>
        </w:tc>
        <w:tc>
          <w:tcPr>
            <w:tcW w:w="1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Offering Price</w:t>
            </w:r>
          </w:p>
        </w:tc>
        <w:tc>
          <w:tcPr>
            <w:tcW w:w="760" w:type="dxa"/>
            <w:vAlign w:val="bottom"/>
            <w:tcBorders>
              <w:bottom w:val="single" w:sz="8" w:color="auto"/>
              <w:right w:val="single" w:sz="8" w:color="auto"/>
            </w:tcBorders>
            <w:vMerge w:val="continue"/>
          </w:tcPr>
          <w:p>
            <w:pPr>
              <w:spacing w:after="0"/>
              <w:rPr>
                <w:sz w:val="15"/>
                <w:szCs w:val="15"/>
                <w:color w:val="auto"/>
              </w:rPr>
            </w:pP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Fee</w:t>
            </w:r>
          </w:p>
        </w:tc>
        <w:tc>
          <w:tcPr>
            <w:tcW w:w="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Type</w:t>
            </w: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Forward</w:t>
            </w:r>
          </w:p>
        </w:tc>
        <w:tc>
          <w:tcPr>
            <w:tcW w:w="0" w:type="dxa"/>
            <w:vAlign w:val="bottom"/>
          </w:tcPr>
          <w:p>
            <w:pPr>
              <w:spacing w:after="0"/>
              <w:rPr>
                <w:sz w:val="1"/>
                <w:szCs w:val="1"/>
                <w:color w:val="auto"/>
              </w:rPr>
            </w:pPr>
          </w:p>
        </w:tc>
      </w:tr>
      <w:tr>
        <w:trPr>
          <w:trHeight w:val="142"/>
        </w:trPr>
        <w:tc>
          <w:tcPr>
            <w:tcW w:w="760" w:type="dxa"/>
            <w:vAlign w:val="bottom"/>
            <w:tcBorders>
              <w:left w:val="single" w:sz="8" w:color="auto"/>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spacing w:after="0"/>
              <w:rPr>
                <w:sz w:val="12"/>
                <w:szCs w:val="12"/>
                <w:color w:val="auto"/>
              </w:rPr>
            </w:pPr>
          </w:p>
        </w:tc>
        <w:tc>
          <w:tcPr>
            <w:tcW w:w="2540" w:type="dxa"/>
            <w:vAlign w:val="bottom"/>
            <w:tcBorders>
              <w:bottom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91"/>
              </w:rPr>
              <w:t>Newly Registered Securities</w:t>
            </w:r>
          </w:p>
        </w:tc>
        <w:tc>
          <w:tcPr>
            <w:tcW w:w="9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88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60" w:type="dxa"/>
            <w:vAlign w:val="bottom"/>
            <w:tcBorders>
              <w:left w:val="single" w:sz="8" w:color="auto"/>
              <w:bottom w:val="single" w:sz="8" w:color="auto"/>
            </w:tcBorders>
          </w:tcPr>
          <w:p>
            <w:pPr>
              <w:spacing w:after="0"/>
              <w:rPr>
                <w:sz w:val="12"/>
                <w:szCs w:val="12"/>
                <w:color w:val="auto"/>
              </w:rPr>
            </w:pPr>
          </w:p>
        </w:tc>
        <w:tc>
          <w:tcPr>
            <w:tcW w:w="2280" w:type="dxa"/>
            <w:vAlign w:val="bottom"/>
            <w:tcBorders>
              <w:bottom w:val="single" w:sz="8" w:color="auto"/>
            </w:tcBorders>
            <w:gridSpan w:val="3"/>
          </w:tcPr>
          <w:p>
            <w:pPr>
              <w:jc w:val="right"/>
              <w:ind w:right="308"/>
              <w:spacing w:after="0" w:line="142" w:lineRule="exact"/>
              <w:rPr>
                <w:sz w:val="20"/>
                <w:szCs w:val="20"/>
                <w:color w:val="auto"/>
              </w:rPr>
            </w:pPr>
            <w:r>
              <w:rPr>
                <w:rFonts w:ascii="Arial" w:cs="Arial" w:eastAsia="Arial" w:hAnsi="Arial"/>
                <w:sz w:val="14"/>
                <w:szCs w:val="14"/>
                <w:b w:val="1"/>
                <w:bCs w:val="1"/>
                <w:color w:val="auto"/>
                <w:w w:val="94"/>
              </w:rPr>
              <w:t>Primary Offering of Securities</w:t>
            </w:r>
          </w:p>
        </w:tc>
        <w:tc>
          <w:tcPr>
            <w:tcW w:w="1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88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760" w:type="dxa"/>
            <w:vAlign w:val="bottom"/>
            <w:tcBorders>
              <w:left w:val="single" w:sz="8" w:color="auto"/>
              <w:right w:val="single" w:sz="8" w:color="auto"/>
            </w:tcBorders>
          </w:tcPr>
          <w:p>
            <w:pPr>
              <w:ind w:left="160"/>
              <w:spacing w:after="0" w:line="123" w:lineRule="exact"/>
              <w:rPr>
                <w:sz w:val="20"/>
                <w:szCs w:val="20"/>
                <w:color w:val="auto"/>
              </w:rPr>
            </w:pPr>
            <w:r>
              <w:rPr>
                <w:rFonts w:ascii="Arial" w:cs="Arial" w:eastAsia="Arial" w:hAnsi="Arial"/>
                <w:sz w:val="14"/>
                <w:szCs w:val="14"/>
                <w:color w:val="auto"/>
              </w:rPr>
              <w:t>Fees to</w:t>
            </w:r>
          </w:p>
        </w:tc>
        <w:tc>
          <w:tcPr>
            <w:tcW w:w="740" w:type="dxa"/>
            <w:vAlign w:val="bottom"/>
            <w:tcBorders>
              <w:right w:val="single" w:sz="8" w:color="auto"/>
            </w:tcBorders>
          </w:tcPr>
          <w:p>
            <w:pPr>
              <w:spacing w:after="0"/>
              <w:rPr>
                <w:sz w:val="10"/>
                <w:szCs w:val="10"/>
                <w:color w:val="auto"/>
              </w:rPr>
            </w:pPr>
          </w:p>
        </w:tc>
        <w:tc>
          <w:tcPr>
            <w:tcW w:w="720" w:type="dxa"/>
            <w:vAlign w:val="bottom"/>
            <w:tcBorders>
              <w:right w:val="single" w:sz="8" w:color="auto"/>
            </w:tcBorders>
          </w:tcPr>
          <w:p>
            <w:pPr>
              <w:jc w:val="center"/>
              <w:spacing w:after="0" w:line="123" w:lineRule="exact"/>
              <w:rPr>
                <w:sz w:val="20"/>
                <w:szCs w:val="20"/>
                <w:color w:val="auto"/>
              </w:rPr>
            </w:pPr>
            <w:r>
              <w:rPr>
                <w:rFonts w:ascii="Arial" w:cs="Arial" w:eastAsia="Arial" w:hAnsi="Arial"/>
                <w:sz w:val="14"/>
                <w:szCs w:val="14"/>
                <w:color w:val="auto"/>
                <w:w w:val="94"/>
              </w:rPr>
              <w:t>Debt</w:t>
            </w:r>
          </w:p>
        </w:tc>
        <w:tc>
          <w:tcPr>
            <w:tcW w:w="820" w:type="dxa"/>
            <w:vAlign w:val="bottom"/>
            <w:tcBorders>
              <w:right w:val="single" w:sz="8" w:color="auto"/>
            </w:tcBorders>
          </w:tcPr>
          <w:p>
            <w:pPr>
              <w:spacing w:after="0"/>
              <w:rPr>
                <w:sz w:val="10"/>
                <w:szCs w:val="10"/>
                <w:color w:val="auto"/>
              </w:rPr>
            </w:pPr>
          </w:p>
        </w:tc>
        <w:tc>
          <w:tcPr>
            <w:tcW w:w="1180" w:type="dxa"/>
            <w:vAlign w:val="bottom"/>
            <w:tcBorders>
              <w:right w:val="single" w:sz="8" w:color="auto"/>
            </w:tcBorders>
          </w:tcPr>
          <w:p>
            <w:pPr>
              <w:spacing w:after="0"/>
              <w:rPr>
                <w:sz w:val="10"/>
                <w:szCs w:val="10"/>
                <w:color w:val="auto"/>
              </w:rPr>
            </w:pPr>
          </w:p>
        </w:tc>
        <w:tc>
          <w:tcPr>
            <w:tcW w:w="680" w:type="dxa"/>
            <w:vAlign w:val="bottom"/>
            <w:tcBorders>
              <w:right w:val="single" w:sz="8" w:color="auto"/>
            </w:tcBorders>
          </w:tcPr>
          <w:p>
            <w:pPr>
              <w:spacing w:after="0"/>
              <w:rPr>
                <w:sz w:val="10"/>
                <w:szCs w:val="10"/>
                <w:color w:val="auto"/>
              </w:rPr>
            </w:pPr>
          </w:p>
        </w:tc>
        <w:tc>
          <w:tcPr>
            <w:tcW w:w="1100" w:type="dxa"/>
            <w:vAlign w:val="bottom"/>
            <w:tcBorders>
              <w:right w:val="single" w:sz="8" w:color="auto"/>
            </w:tcBorders>
          </w:tcPr>
          <w:p>
            <w:pPr>
              <w:spacing w:after="0"/>
              <w:rPr>
                <w:sz w:val="10"/>
                <w:szCs w:val="10"/>
                <w:color w:val="auto"/>
              </w:rPr>
            </w:pPr>
          </w:p>
        </w:tc>
        <w:tc>
          <w:tcPr>
            <w:tcW w:w="760" w:type="dxa"/>
            <w:vAlign w:val="bottom"/>
            <w:tcBorders>
              <w:right w:val="single" w:sz="8" w:color="auto"/>
            </w:tcBorders>
          </w:tcPr>
          <w:p>
            <w:pPr>
              <w:spacing w:after="0"/>
              <w:rPr>
                <w:sz w:val="10"/>
                <w:szCs w:val="10"/>
                <w:color w:val="auto"/>
              </w:rPr>
            </w:pPr>
          </w:p>
        </w:tc>
        <w:tc>
          <w:tcPr>
            <w:tcW w:w="960" w:type="dxa"/>
            <w:vAlign w:val="bottom"/>
            <w:tcBorders>
              <w:right w:val="single" w:sz="8" w:color="auto"/>
            </w:tcBorders>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840" w:type="dxa"/>
            <w:vAlign w:val="bottom"/>
            <w:tcBorders>
              <w:right w:val="single" w:sz="8" w:color="auto"/>
            </w:tcBorders>
          </w:tcPr>
          <w:p>
            <w:pPr>
              <w:spacing w:after="0"/>
              <w:rPr>
                <w:sz w:val="10"/>
                <w:szCs w:val="10"/>
                <w:color w:val="auto"/>
              </w:rPr>
            </w:pPr>
          </w:p>
        </w:tc>
        <w:tc>
          <w:tcPr>
            <w:tcW w:w="900" w:type="dxa"/>
            <w:vAlign w:val="bottom"/>
            <w:tcBorders>
              <w:right w:val="single" w:sz="8" w:color="auto"/>
            </w:tcBorders>
          </w:tcPr>
          <w:p>
            <w:pPr>
              <w:spacing w:after="0"/>
              <w:rPr>
                <w:sz w:val="10"/>
                <w:szCs w:val="10"/>
                <w:color w:val="auto"/>
              </w:rPr>
            </w:pPr>
          </w:p>
        </w:tc>
        <w:tc>
          <w:tcPr>
            <w:tcW w:w="8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76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4"/>
                <w:szCs w:val="14"/>
                <w:color w:val="auto"/>
              </w:rPr>
              <w:t>be Paid</w:t>
            </w:r>
          </w:p>
        </w:tc>
        <w:tc>
          <w:tcPr>
            <w:tcW w:w="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Debt</w:t>
            </w:r>
          </w:p>
        </w:tc>
        <w:tc>
          <w:tcPr>
            <w:tcW w:w="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Securities</w:t>
            </w:r>
          </w:p>
        </w:tc>
        <w:tc>
          <w:tcPr>
            <w:tcW w:w="82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457(r)</w:t>
            </w:r>
          </w:p>
        </w:tc>
        <w:tc>
          <w:tcPr>
            <w:tcW w:w="1180" w:type="dxa"/>
            <w:vAlign w:val="bottom"/>
            <w:tcBorders>
              <w:bottom w:val="single" w:sz="8" w:color="auto"/>
              <w:right w:val="single" w:sz="8" w:color="auto"/>
            </w:tcBorders>
          </w:tcPr>
          <w:p>
            <w:pPr>
              <w:jc w:val="right"/>
              <w:ind w:right="508"/>
              <w:spacing w:after="0"/>
              <w:rPr>
                <w:sz w:val="20"/>
                <w:szCs w:val="20"/>
                <w:color w:val="auto"/>
              </w:rPr>
            </w:pPr>
            <w:r>
              <w:rPr>
                <w:rFonts w:ascii="Arial" w:cs="Arial" w:eastAsia="Arial" w:hAnsi="Arial"/>
                <w:sz w:val="14"/>
                <w:szCs w:val="14"/>
                <w:color w:val="auto"/>
              </w:rPr>
              <w:t>(1)</w:t>
            </w:r>
          </w:p>
        </w:tc>
        <w:tc>
          <w:tcPr>
            <w:tcW w:w="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(2)</w:t>
            </w:r>
          </w:p>
        </w:tc>
        <w:tc>
          <w:tcPr>
            <w:tcW w:w="1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(3)</w:t>
            </w:r>
          </w:p>
        </w:tc>
        <w:tc>
          <w:tcPr>
            <w:tcW w:w="76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(4)</w:t>
            </w:r>
          </w:p>
        </w:tc>
        <w:tc>
          <w:tcPr>
            <w:tcW w:w="640" w:type="dxa"/>
            <w:vAlign w:val="bottom"/>
            <w:tcBorders>
              <w:bottom w:val="single" w:sz="8" w:color="auto"/>
              <w:right w:val="single" w:sz="8" w:color="auto"/>
            </w:tcBorders>
          </w:tcPr>
          <w:p>
            <w:pPr>
              <w:spacing w:after="0"/>
              <w:rPr>
                <w:sz w:val="14"/>
                <w:szCs w:val="14"/>
                <w:color w:val="auto"/>
              </w:rPr>
            </w:pPr>
          </w:p>
        </w:tc>
        <w:tc>
          <w:tcPr>
            <w:tcW w:w="840" w:type="dxa"/>
            <w:vAlign w:val="bottom"/>
            <w:tcBorders>
              <w:bottom w:val="single" w:sz="8" w:color="auto"/>
              <w:right w:val="single" w:sz="8" w:color="auto"/>
            </w:tcBorders>
          </w:tcPr>
          <w:p>
            <w:pPr>
              <w:spacing w:after="0"/>
              <w:rPr>
                <w:sz w:val="14"/>
                <w:szCs w:val="14"/>
                <w:color w:val="auto"/>
              </w:rPr>
            </w:pPr>
          </w:p>
        </w:tc>
        <w:tc>
          <w:tcPr>
            <w:tcW w:w="900" w:type="dxa"/>
            <w:vAlign w:val="bottom"/>
            <w:tcBorders>
              <w:bottom w:val="single" w:sz="8" w:color="auto"/>
              <w:right w:val="single" w:sz="8" w:color="auto"/>
            </w:tcBorders>
          </w:tcPr>
          <w:p>
            <w:pPr>
              <w:spacing w:after="0"/>
              <w:rPr>
                <w:sz w:val="14"/>
                <w:szCs w:val="14"/>
                <w:color w:val="auto"/>
              </w:rPr>
            </w:pPr>
          </w:p>
        </w:tc>
        <w:tc>
          <w:tcPr>
            <w:tcW w:w="8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760" w:type="dxa"/>
            <w:vAlign w:val="bottom"/>
            <w:tcBorders>
              <w:left w:val="single" w:sz="8" w:color="auto"/>
              <w:right w:val="single" w:sz="8" w:color="auto"/>
            </w:tcBorders>
          </w:tcPr>
          <w:p>
            <w:pPr>
              <w:spacing w:after="0"/>
              <w:rPr>
                <w:sz w:val="10"/>
                <w:szCs w:val="10"/>
                <w:color w:val="auto"/>
              </w:rPr>
            </w:pPr>
          </w:p>
        </w:tc>
        <w:tc>
          <w:tcPr>
            <w:tcW w:w="740" w:type="dxa"/>
            <w:vAlign w:val="bottom"/>
            <w:tcBorders>
              <w:right w:val="single" w:sz="8" w:color="auto"/>
            </w:tcBorders>
          </w:tcPr>
          <w:p>
            <w:pPr>
              <w:spacing w:after="0"/>
              <w:rPr>
                <w:sz w:val="10"/>
                <w:szCs w:val="10"/>
                <w:color w:val="auto"/>
              </w:rPr>
            </w:pPr>
          </w:p>
        </w:tc>
        <w:tc>
          <w:tcPr>
            <w:tcW w:w="720" w:type="dxa"/>
            <w:vAlign w:val="bottom"/>
            <w:tcBorders>
              <w:right w:val="single" w:sz="8" w:color="auto"/>
            </w:tcBorders>
          </w:tcPr>
          <w:p>
            <w:pPr>
              <w:jc w:val="center"/>
              <w:spacing w:after="0" w:line="123" w:lineRule="exact"/>
              <w:rPr>
                <w:sz w:val="20"/>
                <w:szCs w:val="20"/>
                <w:color w:val="auto"/>
              </w:rPr>
            </w:pPr>
            <w:r>
              <w:rPr>
                <w:rFonts w:ascii="Arial" w:cs="Arial" w:eastAsia="Arial" w:hAnsi="Arial"/>
                <w:sz w:val="14"/>
                <w:szCs w:val="14"/>
                <w:color w:val="auto"/>
                <w:w w:val="95"/>
              </w:rPr>
              <w:t>Common</w:t>
            </w:r>
          </w:p>
        </w:tc>
        <w:tc>
          <w:tcPr>
            <w:tcW w:w="820" w:type="dxa"/>
            <w:vAlign w:val="bottom"/>
            <w:tcBorders>
              <w:right w:val="single" w:sz="8" w:color="auto"/>
            </w:tcBorders>
          </w:tcPr>
          <w:p>
            <w:pPr>
              <w:spacing w:after="0"/>
              <w:rPr>
                <w:sz w:val="10"/>
                <w:szCs w:val="10"/>
                <w:color w:val="auto"/>
              </w:rPr>
            </w:pPr>
          </w:p>
        </w:tc>
        <w:tc>
          <w:tcPr>
            <w:tcW w:w="1180" w:type="dxa"/>
            <w:vAlign w:val="bottom"/>
            <w:tcBorders>
              <w:right w:val="single" w:sz="8" w:color="auto"/>
            </w:tcBorders>
          </w:tcPr>
          <w:p>
            <w:pPr>
              <w:spacing w:after="0"/>
              <w:rPr>
                <w:sz w:val="10"/>
                <w:szCs w:val="10"/>
                <w:color w:val="auto"/>
              </w:rPr>
            </w:pPr>
          </w:p>
        </w:tc>
        <w:tc>
          <w:tcPr>
            <w:tcW w:w="680" w:type="dxa"/>
            <w:vAlign w:val="bottom"/>
            <w:tcBorders>
              <w:right w:val="single" w:sz="8" w:color="auto"/>
            </w:tcBorders>
          </w:tcPr>
          <w:p>
            <w:pPr>
              <w:spacing w:after="0"/>
              <w:rPr>
                <w:sz w:val="10"/>
                <w:szCs w:val="10"/>
                <w:color w:val="auto"/>
              </w:rPr>
            </w:pPr>
          </w:p>
        </w:tc>
        <w:tc>
          <w:tcPr>
            <w:tcW w:w="1100" w:type="dxa"/>
            <w:vAlign w:val="bottom"/>
            <w:tcBorders>
              <w:right w:val="single" w:sz="8" w:color="auto"/>
            </w:tcBorders>
          </w:tcPr>
          <w:p>
            <w:pPr>
              <w:spacing w:after="0"/>
              <w:rPr>
                <w:sz w:val="10"/>
                <w:szCs w:val="10"/>
                <w:color w:val="auto"/>
              </w:rPr>
            </w:pPr>
          </w:p>
        </w:tc>
        <w:tc>
          <w:tcPr>
            <w:tcW w:w="760" w:type="dxa"/>
            <w:vAlign w:val="bottom"/>
            <w:tcBorders>
              <w:right w:val="single" w:sz="8" w:color="auto"/>
            </w:tcBorders>
          </w:tcPr>
          <w:p>
            <w:pPr>
              <w:spacing w:after="0"/>
              <w:rPr>
                <w:sz w:val="10"/>
                <w:szCs w:val="10"/>
                <w:color w:val="auto"/>
              </w:rPr>
            </w:pPr>
          </w:p>
        </w:tc>
        <w:tc>
          <w:tcPr>
            <w:tcW w:w="960" w:type="dxa"/>
            <w:vAlign w:val="bottom"/>
            <w:tcBorders>
              <w:right w:val="single" w:sz="8" w:color="auto"/>
            </w:tcBorders>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840" w:type="dxa"/>
            <w:vAlign w:val="bottom"/>
            <w:tcBorders>
              <w:right w:val="single" w:sz="8" w:color="auto"/>
            </w:tcBorders>
          </w:tcPr>
          <w:p>
            <w:pPr>
              <w:spacing w:after="0"/>
              <w:rPr>
                <w:sz w:val="10"/>
                <w:szCs w:val="10"/>
                <w:color w:val="auto"/>
              </w:rPr>
            </w:pPr>
          </w:p>
        </w:tc>
        <w:tc>
          <w:tcPr>
            <w:tcW w:w="900" w:type="dxa"/>
            <w:vAlign w:val="bottom"/>
            <w:tcBorders>
              <w:right w:val="single" w:sz="8" w:color="auto"/>
            </w:tcBorders>
          </w:tcPr>
          <w:p>
            <w:pPr>
              <w:spacing w:after="0"/>
              <w:rPr>
                <w:sz w:val="10"/>
                <w:szCs w:val="10"/>
                <w:color w:val="auto"/>
              </w:rPr>
            </w:pPr>
          </w:p>
        </w:tc>
        <w:tc>
          <w:tcPr>
            <w:tcW w:w="8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760" w:type="dxa"/>
            <w:vAlign w:val="bottom"/>
            <w:tcBorders>
              <w:left w:val="single" w:sz="8" w:color="auto"/>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1"/>
              </w:rPr>
              <w:t>Stock, par</w:t>
            </w:r>
          </w:p>
        </w:tc>
        <w:tc>
          <w:tcPr>
            <w:tcW w:w="820" w:type="dxa"/>
            <w:vAlign w:val="bottom"/>
            <w:tcBorders>
              <w:right w:val="single" w:sz="8" w:color="auto"/>
            </w:tcBorders>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110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60" w:type="dxa"/>
            <w:vAlign w:val="bottom"/>
            <w:tcBorders>
              <w:left w:val="single" w:sz="8" w:color="auto"/>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89"/>
              </w:rPr>
              <w:t>value</w:t>
            </w:r>
          </w:p>
        </w:tc>
        <w:tc>
          <w:tcPr>
            <w:tcW w:w="820" w:type="dxa"/>
            <w:vAlign w:val="bottom"/>
            <w:tcBorders>
              <w:right w:val="single" w:sz="8" w:color="auto"/>
            </w:tcBorders>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110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60" w:type="dxa"/>
            <w:vAlign w:val="bottom"/>
            <w:tcBorders>
              <w:left w:val="single" w:sz="8" w:color="auto"/>
              <w:right w:val="single" w:sz="8" w:color="auto"/>
            </w:tcBorders>
          </w:tcPr>
          <w:p>
            <w:pPr>
              <w:ind w:left="160"/>
              <w:spacing w:after="0" w:line="149" w:lineRule="exact"/>
              <w:rPr>
                <w:sz w:val="20"/>
                <w:szCs w:val="20"/>
                <w:color w:val="auto"/>
              </w:rPr>
            </w:pPr>
            <w:r>
              <w:rPr>
                <w:rFonts w:ascii="Arial" w:cs="Arial" w:eastAsia="Arial" w:hAnsi="Arial"/>
                <w:sz w:val="14"/>
                <w:szCs w:val="14"/>
                <w:color w:val="auto"/>
              </w:rPr>
              <w:t>Fees to</w:t>
            </w:r>
          </w:p>
        </w:tc>
        <w:tc>
          <w:tcPr>
            <w:tcW w:w="74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2"/>
              </w:rPr>
              <w:t>$0.001 per</w:t>
            </w:r>
          </w:p>
        </w:tc>
        <w:tc>
          <w:tcPr>
            <w:tcW w:w="820" w:type="dxa"/>
            <w:vAlign w:val="bottom"/>
            <w:tcBorders>
              <w:right w:val="single" w:sz="8" w:color="auto"/>
            </w:tcBorders>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110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76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4"/>
                <w:szCs w:val="14"/>
                <w:color w:val="auto"/>
              </w:rPr>
              <w:t>be Paid</w:t>
            </w:r>
          </w:p>
        </w:tc>
        <w:tc>
          <w:tcPr>
            <w:tcW w:w="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7"/>
              </w:rPr>
              <w:t>Equity</w:t>
            </w:r>
          </w:p>
        </w:tc>
        <w:tc>
          <w:tcPr>
            <w:tcW w:w="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5"/>
              </w:rPr>
              <w:t>share</w:t>
            </w:r>
          </w:p>
        </w:tc>
        <w:tc>
          <w:tcPr>
            <w:tcW w:w="82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457(r)</w:t>
            </w:r>
          </w:p>
        </w:tc>
        <w:tc>
          <w:tcPr>
            <w:tcW w:w="1180" w:type="dxa"/>
            <w:vAlign w:val="bottom"/>
            <w:tcBorders>
              <w:bottom w:val="single" w:sz="8" w:color="auto"/>
              <w:right w:val="single" w:sz="8" w:color="auto"/>
            </w:tcBorders>
          </w:tcPr>
          <w:p>
            <w:pPr>
              <w:jc w:val="right"/>
              <w:ind w:right="508"/>
              <w:spacing w:after="0"/>
              <w:rPr>
                <w:sz w:val="20"/>
                <w:szCs w:val="20"/>
                <w:color w:val="auto"/>
              </w:rPr>
            </w:pPr>
            <w:r>
              <w:rPr>
                <w:rFonts w:ascii="Arial" w:cs="Arial" w:eastAsia="Arial" w:hAnsi="Arial"/>
                <w:sz w:val="14"/>
                <w:szCs w:val="14"/>
                <w:color w:val="auto"/>
              </w:rPr>
              <w:t>(1)</w:t>
            </w:r>
          </w:p>
        </w:tc>
        <w:tc>
          <w:tcPr>
            <w:tcW w:w="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(2)</w:t>
            </w:r>
          </w:p>
        </w:tc>
        <w:tc>
          <w:tcPr>
            <w:tcW w:w="1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(3)</w:t>
            </w:r>
          </w:p>
        </w:tc>
        <w:tc>
          <w:tcPr>
            <w:tcW w:w="76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(4)</w:t>
            </w:r>
          </w:p>
        </w:tc>
        <w:tc>
          <w:tcPr>
            <w:tcW w:w="640" w:type="dxa"/>
            <w:vAlign w:val="bottom"/>
            <w:tcBorders>
              <w:bottom w:val="single" w:sz="8" w:color="auto"/>
              <w:right w:val="single" w:sz="8" w:color="auto"/>
            </w:tcBorders>
          </w:tcPr>
          <w:p>
            <w:pPr>
              <w:spacing w:after="0"/>
              <w:rPr>
                <w:sz w:val="14"/>
                <w:szCs w:val="14"/>
                <w:color w:val="auto"/>
              </w:rPr>
            </w:pPr>
          </w:p>
        </w:tc>
        <w:tc>
          <w:tcPr>
            <w:tcW w:w="840" w:type="dxa"/>
            <w:vAlign w:val="bottom"/>
            <w:tcBorders>
              <w:bottom w:val="single" w:sz="8" w:color="auto"/>
              <w:right w:val="single" w:sz="8" w:color="auto"/>
            </w:tcBorders>
          </w:tcPr>
          <w:p>
            <w:pPr>
              <w:spacing w:after="0"/>
              <w:rPr>
                <w:sz w:val="14"/>
                <w:szCs w:val="14"/>
                <w:color w:val="auto"/>
              </w:rPr>
            </w:pPr>
          </w:p>
        </w:tc>
        <w:tc>
          <w:tcPr>
            <w:tcW w:w="900" w:type="dxa"/>
            <w:vAlign w:val="bottom"/>
            <w:tcBorders>
              <w:bottom w:val="single" w:sz="8" w:color="auto"/>
              <w:right w:val="single" w:sz="8" w:color="auto"/>
            </w:tcBorders>
          </w:tcPr>
          <w:p>
            <w:pPr>
              <w:spacing w:after="0"/>
              <w:rPr>
                <w:sz w:val="14"/>
                <w:szCs w:val="14"/>
                <w:color w:val="auto"/>
              </w:rPr>
            </w:pPr>
          </w:p>
        </w:tc>
        <w:tc>
          <w:tcPr>
            <w:tcW w:w="8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760" w:type="dxa"/>
            <w:vAlign w:val="bottom"/>
            <w:tcBorders>
              <w:left w:val="single" w:sz="8" w:color="auto"/>
              <w:right w:val="single" w:sz="8" w:color="auto"/>
            </w:tcBorders>
          </w:tcPr>
          <w:p>
            <w:pPr>
              <w:spacing w:after="0"/>
              <w:rPr>
                <w:sz w:val="10"/>
                <w:szCs w:val="10"/>
                <w:color w:val="auto"/>
              </w:rPr>
            </w:pPr>
          </w:p>
        </w:tc>
        <w:tc>
          <w:tcPr>
            <w:tcW w:w="740" w:type="dxa"/>
            <w:vAlign w:val="bottom"/>
            <w:tcBorders>
              <w:right w:val="single" w:sz="8" w:color="auto"/>
            </w:tcBorders>
          </w:tcPr>
          <w:p>
            <w:pPr>
              <w:spacing w:after="0"/>
              <w:rPr>
                <w:sz w:val="10"/>
                <w:szCs w:val="10"/>
                <w:color w:val="auto"/>
              </w:rPr>
            </w:pPr>
          </w:p>
        </w:tc>
        <w:tc>
          <w:tcPr>
            <w:tcW w:w="720" w:type="dxa"/>
            <w:vAlign w:val="bottom"/>
            <w:tcBorders>
              <w:right w:val="single" w:sz="8" w:color="auto"/>
            </w:tcBorders>
          </w:tcPr>
          <w:p>
            <w:pPr>
              <w:jc w:val="center"/>
              <w:spacing w:after="0" w:line="123" w:lineRule="exact"/>
              <w:rPr>
                <w:sz w:val="20"/>
                <w:szCs w:val="20"/>
                <w:color w:val="auto"/>
              </w:rPr>
            </w:pPr>
            <w:r>
              <w:rPr>
                <w:rFonts w:ascii="Arial" w:cs="Arial" w:eastAsia="Arial" w:hAnsi="Arial"/>
                <w:sz w:val="14"/>
                <w:szCs w:val="14"/>
                <w:color w:val="auto"/>
                <w:w w:val="92"/>
              </w:rPr>
              <w:t>Preferred</w:t>
            </w:r>
          </w:p>
        </w:tc>
        <w:tc>
          <w:tcPr>
            <w:tcW w:w="820" w:type="dxa"/>
            <w:vAlign w:val="bottom"/>
            <w:tcBorders>
              <w:right w:val="single" w:sz="8" w:color="auto"/>
            </w:tcBorders>
          </w:tcPr>
          <w:p>
            <w:pPr>
              <w:spacing w:after="0"/>
              <w:rPr>
                <w:sz w:val="10"/>
                <w:szCs w:val="10"/>
                <w:color w:val="auto"/>
              </w:rPr>
            </w:pPr>
          </w:p>
        </w:tc>
        <w:tc>
          <w:tcPr>
            <w:tcW w:w="1180" w:type="dxa"/>
            <w:vAlign w:val="bottom"/>
            <w:tcBorders>
              <w:right w:val="single" w:sz="8" w:color="auto"/>
            </w:tcBorders>
          </w:tcPr>
          <w:p>
            <w:pPr>
              <w:spacing w:after="0"/>
              <w:rPr>
                <w:sz w:val="10"/>
                <w:szCs w:val="10"/>
                <w:color w:val="auto"/>
              </w:rPr>
            </w:pPr>
          </w:p>
        </w:tc>
        <w:tc>
          <w:tcPr>
            <w:tcW w:w="680" w:type="dxa"/>
            <w:vAlign w:val="bottom"/>
            <w:tcBorders>
              <w:right w:val="single" w:sz="8" w:color="auto"/>
            </w:tcBorders>
          </w:tcPr>
          <w:p>
            <w:pPr>
              <w:spacing w:after="0"/>
              <w:rPr>
                <w:sz w:val="10"/>
                <w:szCs w:val="10"/>
                <w:color w:val="auto"/>
              </w:rPr>
            </w:pPr>
          </w:p>
        </w:tc>
        <w:tc>
          <w:tcPr>
            <w:tcW w:w="1100" w:type="dxa"/>
            <w:vAlign w:val="bottom"/>
            <w:tcBorders>
              <w:right w:val="single" w:sz="8" w:color="auto"/>
            </w:tcBorders>
          </w:tcPr>
          <w:p>
            <w:pPr>
              <w:spacing w:after="0"/>
              <w:rPr>
                <w:sz w:val="10"/>
                <w:szCs w:val="10"/>
                <w:color w:val="auto"/>
              </w:rPr>
            </w:pPr>
          </w:p>
        </w:tc>
        <w:tc>
          <w:tcPr>
            <w:tcW w:w="760" w:type="dxa"/>
            <w:vAlign w:val="bottom"/>
            <w:tcBorders>
              <w:right w:val="single" w:sz="8" w:color="auto"/>
            </w:tcBorders>
          </w:tcPr>
          <w:p>
            <w:pPr>
              <w:spacing w:after="0"/>
              <w:rPr>
                <w:sz w:val="10"/>
                <w:szCs w:val="10"/>
                <w:color w:val="auto"/>
              </w:rPr>
            </w:pPr>
          </w:p>
        </w:tc>
        <w:tc>
          <w:tcPr>
            <w:tcW w:w="960" w:type="dxa"/>
            <w:vAlign w:val="bottom"/>
            <w:tcBorders>
              <w:right w:val="single" w:sz="8" w:color="auto"/>
            </w:tcBorders>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840" w:type="dxa"/>
            <w:vAlign w:val="bottom"/>
            <w:tcBorders>
              <w:right w:val="single" w:sz="8" w:color="auto"/>
            </w:tcBorders>
          </w:tcPr>
          <w:p>
            <w:pPr>
              <w:spacing w:after="0"/>
              <w:rPr>
                <w:sz w:val="10"/>
                <w:szCs w:val="10"/>
                <w:color w:val="auto"/>
              </w:rPr>
            </w:pPr>
          </w:p>
        </w:tc>
        <w:tc>
          <w:tcPr>
            <w:tcW w:w="900" w:type="dxa"/>
            <w:vAlign w:val="bottom"/>
            <w:tcBorders>
              <w:right w:val="single" w:sz="8" w:color="auto"/>
            </w:tcBorders>
          </w:tcPr>
          <w:p>
            <w:pPr>
              <w:spacing w:after="0"/>
              <w:rPr>
                <w:sz w:val="10"/>
                <w:szCs w:val="10"/>
                <w:color w:val="auto"/>
              </w:rPr>
            </w:pPr>
          </w:p>
        </w:tc>
        <w:tc>
          <w:tcPr>
            <w:tcW w:w="8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760" w:type="dxa"/>
            <w:vAlign w:val="bottom"/>
            <w:tcBorders>
              <w:left w:val="single" w:sz="8" w:color="auto"/>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1"/>
              </w:rPr>
              <w:t>Stock, par</w:t>
            </w:r>
          </w:p>
        </w:tc>
        <w:tc>
          <w:tcPr>
            <w:tcW w:w="820" w:type="dxa"/>
            <w:vAlign w:val="bottom"/>
            <w:tcBorders>
              <w:right w:val="single" w:sz="8" w:color="auto"/>
            </w:tcBorders>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110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60" w:type="dxa"/>
            <w:vAlign w:val="bottom"/>
            <w:tcBorders>
              <w:left w:val="single" w:sz="8" w:color="auto"/>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89"/>
              </w:rPr>
              <w:t>value</w:t>
            </w:r>
          </w:p>
        </w:tc>
        <w:tc>
          <w:tcPr>
            <w:tcW w:w="820" w:type="dxa"/>
            <w:vAlign w:val="bottom"/>
            <w:tcBorders>
              <w:right w:val="single" w:sz="8" w:color="auto"/>
            </w:tcBorders>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110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60" w:type="dxa"/>
            <w:vAlign w:val="bottom"/>
            <w:tcBorders>
              <w:left w:val="single" w:sz="8" w:color="auto"/>
              <w:right w:val="single" w:sz="8" w:color="auto"/>
            </w:tcBorders>
          </w:tcPr>
          <w:p>
            <w:pPr>
              <w:ind w:left="160"/>
              <w:spacing w:after="0" w:line="149" w:lineRule="exact"/>
              <w:rPr>
                <w:sz w:val="20"/>
                <w:szCs w:val="20"/>
                <w:color w:val="auto"/>
              </w:rPr>
            </w:pPr>
            <w:r>
              <w:rPr>
                <w:rFonts w:ascii="Arial" w:cs="Arial" w:eastAsia="Arial" w:hAnsi="Arial"/>
                <w:sz w:val="14"/>
                <w:szCs w:val="14"/>
                <w:color w:val="auto"/>
              </w:rPr>
              <w:t>Fees to</w:t>
            </w:r>
          </w:p>
        </w:tc>
        <w:tc>
          <w:tcPr>
            <w:tcW w:w="74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2"/>
              </w:rPr>
              <w:t>$0.001 per</w:t>
            </w:r>
          </w:p>
        </w:tc>
        <w:tc>
          <w:tcPr>
            <w:tcW w:w="820" w:type="dxa"/>
            <w:vAlign w:val="bottom"/>
            <w:tcBorders>
              <w:right w:val="single" w:sz="8" w:color="auto"/>
            </w:tcBorders>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110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76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4"/>
                <w:szCs w:val="14"/>
                <w:color w:val="auto"/>
              </w:rPr>
              <w:t>be Paid</w:t>
            </w:r>
          </w:p>
        </w:tc>
        <w:tc>
          <w:tcPr>
            <w:tcW w:w="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7"/>
              </w:rPr>
              <w:t>Equity</w:t>
            </w:r>
          </w:p>
        </w:tc>
        <w:tc>
          <w:tcPr>
            <w:tcW w:w="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5"/>
              </w:rPr>
              <w:t>share</w:t>
            </w:r>
          </w:p>
        </w:tc>
        <w:tc>
          <w:tcPr>
            <w:tcW w:w="82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457(r)</w:t>
            </w:r>
          </w:p>
        </w:tc>
        <w:tc>
          <w:tcPr>
            <w:tcW w:w="1180" w:type="dxa"/>
            <w:vAlign w:val="bottom"/>
            <w:tcBorders>
              <w:bottom w:val="single" w:sz="8" w:color="auto"/>
              <w:right w:val="single" w:sz="8" w:color="auto"/>
            </w:tcBorders>
          </w:tcPr>
          <w:p>
            <w:pPr>
              <w:jc w:val="right"/>
              <w:ind w:right="508"/>
              <w:spacing w:after="0"/>
              <w:rPr>
                <w:sz w:val="20"/>
                <w:szCs w:val="20"/>
                <w:color w:val="auto"/>
              </w:rPr>
            </w:pPr>
            <w:r>
              <w:rPr>
                <w:rFonts w:ascii="Arial" w:cs="Arial" w:eastAsia="Arial" w:hAnsi="Arial"/>
                <w:sz w:val="14"/>
                <w:szCs w:val="14"/>
                <w:color w:val="auto"/>
              </w:rPr>
              <w:t>(1)</w:t>
            </w:r>
          </w:p>
        </w:tc>
        <w:tc>
          <w:tcPr>
            <w:tcW w:w="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(2)</w:t>
            </w:r>
          </w:p>
        </w:tc>
        <w:tc>
          <w:tcPr>
            <w:tcW w:w="1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(3)</w:t>
            </w:r>
          </w:p>
        </w:tc>
        <w:tc>
          <w:tcPr>
            <w:tcW w:w="76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(4)</w:t>
            </w:r>
          </w:p>
        </w:tc>
        <w:tc>
          <w:tcPr>
            <w:tcW w:w="640" w:type="dxa"/>
            <w:vAlign w:val="bottom"/>
            <w:tcBorders>
              <w:bottom w:val="single" w:sz="8" w:color="auto"/>
              <w:right w:val="single" w:sz="8" w:color="auto"/>
            </w:tcBorders>
          </w:tcPr>
          <w:p>
            <w:pPr>
              <w:spacing w:after="0"/>
              <w:rPr>
                <w:sz w:val="14"/>
                <w:szCs w:val="14"/>
                <w:color w:val="auto"/>
              </w:rPr>
            </w:pPr>
          </w:p>
        </w:tc>
        <w:tc>
          <w:tcPr>
            <w:tcW w:w="840" w:type="dxa"/>
            <w:vAlign w:val="bottom"/>
            <w:tcBorders>
              <w:bottom w:val="single" w:sz="8" w:color="auto"/>
              <w:right w:val="single" w:sz="8" w:color="auto"/>
            </w:tcBorders>
          </w:tcPr>
          <w:p>
            <w:pPr>
              <w:spacing w:after="0"/>
              <w:rPr>
                <w:sz w:val="14"/>
                <w:szCs w:val="14"/>
                <w:color w:val="auto"/>
              </w:rPr>
            </w:pPr>
          </w:p>
        </w:tc>
        <w:tc>
          <w:tcPr>
            <w:tcW w:w="900" w:type="dxa"/>
            <w:vAlign w:val="bottom"/>
            <w:tcBorders>
              <w:bottom w:val="single" w:sz="8" w:color="auto"/>
              <w:right w:val="single" w:sz="8" w:color="auto"/>
            </w:tcBorders>
          </w:tcPr>
          <w:p>
            <w:pPr>
              <w:spacing w:after="0"/>
              <w:rPr>
                <w:sz w:val="14"/>
                <w:szCs w:val="14"/>
                <w:color w:val="auto"/>
              </w:rPr>
            </w:pPr>
          </w:p>
        </w:tc>
        <w:tc>
          <w:tcPr>
            <w:tcW w:w="8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760" w:type="dxa"/>
            <w:vAlign w:val="bottom"/>
            <w:tcBorders>
              <w:left w:val="single" w:sz="8" w:color="auto"/>
              <w:right w:val="single" w:sz="8" w:color="auto"/>
            </w:tcBorders>
          </w:tcPr>
          <w:p>
            <w:pPr>
              <w:ind w:left="160"/>
              <w:spacing w:after="0" w:line="123" w:lineRule="exact"/>
              <w:rPr>
                <w:sz w:val="20"/>
                <w:szCs w:val="20"/>
                <w:color w:val="auto"/>
              </w:rPr>
            </w:pPr>
            <w:r>
              <w:rPr>
                <w:rFonts w:ascii="Arial" w:cs="Arial" w:eastAsia="Arial" w:hAnsi="Arial"/>
                <w:sz w:val="14"/>
                <w:szCs w:val="14"/>
                <w:color w:val="auto"/>
              </w:rPr>
              <w:t>Fees to</w:t>
            </w:r>
          </w:p>
        </w:tc>
        <w:tc>
          <w:tcPr>
            <w:tcW w:w="740" w:type="dxa"/>
            <w:vAlign w:val="bottom"/>
            <w:tcBorders>
              <w:right w:val="single" w:sz="8" w:color="auto"/>
            </w:tcBorders>
          </w:tcPr>
          <w:p>
            <w:pPr>
              <w:spacing w:after="0"/>
              <w:rPr>
                <w:sz w:val="10"/>
                <w:szCs w:val="10"/>
                <w:color w:val="auto"/>
              </w:rPr>
            </w:pPr>
          </w:p>
        </w:tc>
        <w:tc>
          <w:tcPr>
            <w:tcW w:w="720" w:type="dxa"/>
            <w:vAlign w:val="bottom"/>
            <w:tcBorders>
              <w:right w:val="single" w:sz="8" w:color="auto"/>
            </w:tcBorders>
          </w:tcPr>
          <w:p>
            <w:pPr>
              <w:jc w:val="center"/>
              <w:spacing w:after="0" w:line="123" w:lineRule="exact"/>
              <w:rPr>
                <w:sz w:val="20"/>
                <w:szCs w:val="20"/>
                <w:color w:val="auto"/>
              </w:rPr>
            </w:pPr>
            <w:r>
              <w:rPr>
                <w:rFonts w:ascii="Arial" w:cs="Arial" w:eastAsia="Arial" w:hAnsi="Arial"/>
                <w:sz w:val="14"/>
                <w:szCs w:val="14"/>
                <w:color w:val="auto"/>
                <w:w w:val="92"/>
              </w:rPr>
              <w:t>Depositary</w:t>
            </w:r>
          </w:p>
        </w:tc>
        <w:tc>
          <w:tcPr>
            <w:tcW w:w="820" w:type="dxa"/>
            <w:vAlign w:val="bottom"/>
            <w:tcBorders>
              <w:right w:val="single" w:sz="8" w:color="auto"/>
            </w:tcBorders>
          </w:tcPr>
          <w:p>
            <w:pPr>
              <w:spacing w:after="0"/>
              <w:rPr>
                <w:sz w:val="10"/>
                <w:szCs w:val="10"/>
                <w:color w:val="auto"/>
              </w:rPr>
            </w:pPr>
          </w:p>
        </w:tc>
        <w:tc>
          <w:tcPr>
            <w:tcW w:w="1180" w:type="dxa"/>
            <w:vAlign w:val="bottom"/>
            <w:tcBorders>
              <w:right w:val="single" w:sz="8" w:color="auto"/>
            </w:tcBorders>
          </w:tcPr>
          <w:p>
            <w:pPr>
              <w:spacing w:after="0"/>
              <w:rPr>
                <w:sz w:val="10"/>
                <w:szCs w:val="10"/>
                <w:color w:val="auto"/>
              </w:rPr>
            </w:pPr>
          </w:p>
        </w:tc>
        <w:tc>
          <w:tcPr>
            <w:tcW w:w="680" w:type="dxa"/>
            <w:vAlign w:val="bottom"/>
            <w:tcBorders>
              <w:right w:val="single" w:sz="8" w:color="auto"/>
            </w:tcBorders>
          </w:tcPr>
          <w:p>
            <w:pPr>
              <w:spacing w:after="0"/>
              <w:rPr>
                <w:sz w:val="10"/>
                <w:szCs w:val="10"/>
                <w:color w:val="auto"/>
              </w:rPr>
            </w:pPr>
          </w:p>
        </w:tc>
        <w:tc>
          <w:tcPr>
            <w:tcW w:w="1100" w:type="dxa"/>
            <w:vAlign w:val="bottom"/>
            <w:tcBorders>
              <w:right w:val="single" w:sz="8" w:color="auto"/>
            </w:tcBorders>
          </w:tcPr>
          <w:p>
            <w:pPr>
              <w:spacing w:after="0"/>
              <w:rPr>
                <w:sz w:val="10"/>
                <w:szCs w:val="10"/>
                <w:color w:val="auto"/>
              </w:rPr>
            </w:pPr>
          </w:p>
        </w:tc>
        <w:tc>
          <w:tcPr>
            <w:tcW w:w="760" w:type="dxa"/>
            <w:vAlign w:val="bottom"/>
            <w:tcBorders>
              <w:right w:val="single" w:sz="8" w:color="auto"/>
            </w:tcBorders>
          </w:tcPr>
          <w:p>
            <w:pPr>
              <w:spacing w:after="0"/>
              <w:rPr>
                <w:sz w:val="10"/>
                <w:szCs w:val="10"/>
                <w:color w:val="auto"/>
              </w:rPr>
            </w:pPr>
          </w:p>
        </w:tc>
        <w:tc>
          <w:tcPr>
            <w:tcW w:w="960" w:type="dxa"/>
            <w:vAlign w:val="bottom"/>
            <w:tcBorders>
              <w:right w:val="single" w:sz="8" w:color="auto"/>
            </w:tcBorders>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840" w:type="dxa"/>
            <w:vAlign w:val="bottom"/>
            <w:tcBorders>
              <w:right w:val="single" w:sz="8" w:color="auto"/>
            </w:tcBorders>
          </w:tcPr>
          <w:p>
            <w:pPr>
              <w:spacing w:after="0"/>
              <w:rPr>
                <w:sz w:val="10"/>
                <w:szCs w:val="10"/>
                <w:color w:val="auto"/>
              </w:rPr>
            </w:pPr>
          </w:p>
        </w:tc>
        <w:tc>
          <w:tcPr>
            <w:tcW w:w="900" w:type="dxa"/>
            <w:vAlign w:val="bottom"/>
            <w:tcBorders>
              <w:right w:val="single" w:sz="8" w:color="auto"/>
            </w:tcBorders>
          </w:tcPr>
          <w:p>
            <w:pPr>
              <w:spacing w:after="0"/>
              <w:rPr>
                <w:sz w:val="10"/>
                <w:szCs w:val="10"/>
                <w:color w:val="auto"/>
              </w:rPr>
            </w:pPr>
          </w:p>
        </w:tc>
        <w:tc>
          <w:tcPr>
            <w:tcW w:w="8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76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4"/>
                <w:szCs w:val="14"/>
                <w:color w:val="auto"/>
              </w:rPr>
              <w:t>be Paid</w:t>
            </w:r>
          </w:p>
        </w:tc>
        <w:tc>
          <w:tcPr>
            <w:tcW w:w="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Other</w:t>
            </w:r>
          </w:p>
        </w:tc>
        <w:tc>
          <w:tcPr>
            <w:tcW w:w="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7"/>
              </w:rPr>
              <w:t>Shares(5)</w:t>
            </w:r>
          </w:p>
        </w:tc>
        <w:tc>
          <w:tcPr>
            <w:tcW w:w="82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457(r)</w:t>
            </w:r>
          </w:p>
        </w:tc>
        <w:tc>
          <w:tcPr>
            <w:tcW w:w="1180" w:type="dxa"/>
            <w:vAlign w:val="bottom"/>
            <w:tcBorders>
              <w:bottom w:val="single" w:sz="8" w:color="auto"/>
              <w:right w:val="single" w:sz="8" w:color="auto"/>
            </w:tcBorders>
          </w:tcPr>
          <w:p>
            <w:pPr>
              <w:jc w:val="right"/>
              <w:ind w:right="508"/>
              <w:spacing w:after="0"/>
              <w:rPr>
                <w:sz w:val="20"/>
                <w:szCs w:val="20"/>
                <w:color w:val="auto"/>
              </w:rPr>
            </w:pPr>
            <w:r>
              <w:rPr>
                <w:rFonts w:ascii="Arial" w:cs="Arial" w:eastAsia="Arial" w:hAnsi="Arial"/>
                <w:sz w:val="14"/>
                <w:szCs w:val="14"/>
                <w:color w:val="auto"/>
              </w:rPr>
              <w:t>(1)</w:t>
            </w:r>
          </w:p>
        </w:tc>
        <w:tc>
          <w:tcPr>
            <w:tcW w:w="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(2)</w:t>
            </w:r>
          </w:p>
        </w:tc>
        <w:tc>
          <w:tcPr>
            <w:tcW w:w="1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(3)</w:t>
            </w:r>
          </w:p>
        </w:tc>
        <w:tc>
          <w:tcPr>
            <w:tcW w:w="76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(4)</w:t>
            </w:r>
          </w:p>
        </w:tc>
        <w:tc>
          <w:tcPr>
            <w:tcW w:w="640" w:type="dxa"/>
            <w:vAlign w:val="bottom"/>
            <w:tcBorders>
              <w:bottom w:val="single" w:sz="8" w:color="auto"/>
              <w:right w:val="single" w:sz="8" w:color="auto"/>
            </w:tcBorders>
          </w:tcPr>
          <w:p>
            <w:pPr>
              <w:spacing w:after="0"/>
              <w:rPr>
                <w:sz w:val="14"/>
                <w:szCs w:val="14"/>
                <w:color w:val="auto"/>
              </w:rPr>
            </w:pPr>
          </w:p>
        </w:tc>
        <w:tc>
          <w:tcPr>
            <w:tcW w:w="840" w:type="dxa"/>
            <w:vAlign w:val="bottom"/>
            <w:tcBorders>
              <w:bottom w:val="single" w:sz="8" w:color="auto"/>
              <w:right w:val="single" w:sz="8" w:color="auto"/>
            </w:tcBorders>
          </w:tcPr>
          <w:p>
            <w:pPr>
              <w:spacing w:after="0"/>
              <w:rPr>
                <w:sz w:val="14"/>
                <w:szCs w:val="14"/>
                <w:color w:val="auto"/>
              </w:rPr>
            </w:pPr>
          </w:p>
        </w:tc>
        <w:tc>
          <w:tcPr>
            <w:tcW w:w="900" w:type="dxa"/>
            <w:vAlign w:val="bottom"/>
            <w:tcBorders>
              <w:bottom w:val="single" w:sz="8" w:color="auto"/>
              <w:right w:val="single" w:sz="8" w:color="auto"/>
            </w:tcBorders>
          </w:tcPr>
          <w:p>
            <w:pPr>
              <w:spacing w:after="0"/>
              <w:rPr>
                <w:sz w:val="14"/>
                <w:szCs w:val="14"/>
                <w:color w:val="auto"/>
              </w:rPr>
            </w:pPr>
          </w:p>
        </w:tc>
        <w:tc>
          <w:tcPr>
            <w:tcW w:w="8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760" w:type="dxa"/>
            <w:vAlign w:val="bottom"/>
            <w:tcBorders>
              <w:left w:val="single" w:sz="8" w:color="auto"/>
              <w:right w:val="single" w:sz="8" w:color="auto"/>
            </w:tcBorders>
          </w:tcPr>
          <w:p>
            <w:pPr>
              <w:ind w:left="160"/>
              <w:spacing w:after="0" w:line="123" w:lineRule="exact"/>
              <w:rPr>
                <w:sz w:val="20"/>
                <w:szCs w:val="20"/>
                <w:color w:val="auto"/>
              </w:rPr>
            </w:pPr>
            <w:r>
              <w:rPr>
                <w:rFonts w:ascii="Arial" w:cs="Arial" w:eastAsia="Arial" w:hAnsi="Arial"/>
                <w:sz w:val="14"/>
                <w:szCs w:val="14"/>
                <w:color w:val="auto"/>
              </w:rPr>
              <w:t>Fees to</w:t>
            </w:r>
          </w:p>
        </w:tc>
        <w:tc>
          <w:tcPr>
            <w:tcW w:w="740" w:type="dxa"/>
            <w:vAlign w:val="bottom"/>
            <w:tcBorders>
              <w:right w:val="single" w:sz="8" w:color="auto"/>
            </w:tcBorders>
          </w:tcPr>
          <w:p>
            <w:pPr>
              <w:spacing w:after="0"/>
              <w:rPr>
                <w:sz w:val="10"/>
                <w:szCs w:val="10"/>
                <w:color w:val="auto"/>
              </w:rPr>
            </w:pPr>
          </w:p>
        </w:tc>
        <w:tc>
          <w:tcPr>
            <w:tcW w:w="720" w:type="dxa"/>
            <w:vAlign w:val="bottom"/>
            <w:tcBorders>
              <w:right w:val="single" w:sz="8" w:color="auto"/>
            </w:tcBorders>
          </w:tcPr>
          <w:p>
            <w:pPr>
              <w:spacing w:after="0"/>
              <w:rPr>
                <w:sz w:val="10"/>
                <w:szCs w:val="10"/>
                <w:color w:val="auto"/>
              </w:rPr>
            </w:pPr>
          </w:p>
        </w:tc>
        <w:tc>
          <w:tcPr>
            <w:tcW w:w="820" w:type="dxa"/>
            <w:vAlign w:val="bottom"/>
            <w:tcBorders>
              <w:right w:val="single" w:sz="8" w:color="auto"/>
            </w:tcBorders>
          </w:tcPr>
          <w:p>
            <w:pPr>
              <w:spacing w:after="0"/>
              <w:rPr>
                <w:sz w:val="10"/>
                <w:szCs w:val="10"/>
                <w:color w:val="auto"/>
              </w:rPr>
            </w:pPr>
          </w:p>
        </w:tc>
        <w:tc>
          <w:tcPr>
            <w:tcW w:w="1180" w:type="dxa"/>
            <w:vAlign w:val="bottom"/>
            <w:tcBorders>
              <w:right w:val="single" w:sz="8" w:color="auto"/>
            </w:tcBorders>
          </w:tcPr>
          <w:p>
            <w:pPr>
              <w:spacing w:after="0"/>
              <w:rPr>
                <w:sz w:val="10"/>
                <w:szCs w:val="10"/>
                <w:color w:val="auto"/>
              </w:rPr>
            </w:pPr>
          </w:p>
        </w:tc>
        <w:tc>
          <w:tcPr>
            <w:tcW w:w="680" w:type="dxa"/>
            <w:vAlign w:val="bottom"/>
            <w:tcBorders>
              <w:right w:val="single" w:sz="8" w:color="auto"/>
            </w:tcBorders>
          </w:tcPr>
          <w:p>
            <w:pPr>
              <w:spacing w:after="0"/>
              <w:rPr>
                <w:sz w:val="10"/>
                <w:szCs w:val="10"/>
                <w:color w:val="auto"/>
              </w:rPr>
            </w:pPr>
          </w:p>
        </w:tc>
        <w:tc>
          <w:tcPr>
            <w:tcW w:w="1100" w:type="dxa"/>
            <w:vAlign w:val="bottom"/>
            <w:tcBorders>
              <w:right w:val="single" w:sz="8" w:color="auto"/>
            </w:tcBorders>
          </w:tcPr>
          <w:p>
            <w:pPr>
              <w:spacing w:after="0"/>
              <w:rPr>
                <w:sz w:val="10"/>
                <w:szCs w:val="10"/>
                <w:color w:val="auto"/>
              </w:rPr>
            </w:pPr>
          </w:p>
        </w:tc>
        <w:tc>
          <w:tcPr>
            <w:tcW w:w="760" w:type="dxa"/>
            <w:vAlign w:val="bottom"/>
            <w:tcBorders>
              <w:right w:val="single" w:sz="8" w:color="auto"/>
            </w:tcBorders>
          </w:tcPr>
          <w:p>
            <w:pPr>
              <w:spacing w:after="0"/>
              <w:rPr>
                <w:sz w:val="10"/>
                <w:szCs w:val="10"/>
                <w:color w:val="auto"/>
              </w:rPr>
            </w:pPr>
          </w:p>
        </w:tc>
        <w:tc>
          <w:tcPr>
            <w:tcW w:w="960" w:type="dxa"/>
            <w:vAlign w:val="bottom"/>
            <w:tcBorders>
              <w:right w:val="single" w:sz="8" w:color="auto"/>
            </w:tcBorders>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840" w:type="dxa"/>
            <w:vAlign w:val="bottom"/>
            <w:tcBorders>
              <w:right w:val="single" w:sz="8" w:color="auto"/>
            </w:tcBorders>
          </w:tcPr>
          <w:p>
            <w:pPr>
              <w:spacing w:after="0"/>
              <w:rPr>
                <w:sz w:val="10"/>
                <w:szCs w:val="10"/>
                <w:color w:val="auto"/>
              </w:rPr>
            </w:pPr>
          </w:p>
        </w:tc>
        <w:tc>
          <w:tcPr>
            <w:tcW w:w="900" w:type="dxa"/>
            <w:vAlign w:val="bottom"/>
            <w:tcBorders>
              <w:right w:val="single" w:sz="8" w:color="auto"/>
            </w:tcBorders>
          </w:tcPr>
          <w:p>
            <w:pPr>
              <w:spacing w:after="0"/>
              <w:rPr>
                <w:sz w:val="10"/>
                <w:szCs w:val="10"/>
                <w:color w:val="auto"/>
              </w:rPr>
            </w:pPr>
          </w:p>
        </w:tc>
        <w:tc>
          <w:tcPr>
            <w:tcW w:w="8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76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4"/>
                <w:szCs w:val="14"/>
                <w:color w:val="auto"/>
              </w:rPr>
              <w:t>be Paid</w:t>
            </w:r>
          </w:p>
        </w:tc>
        <w:tc>
          <w:tcPr>
            <w:tcW w:w="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Other</w:t>
            </w:r>
          </w:p>
        </w:tc>
        <w:tc>
          <w:tcPr>
            <w:tcW w:w="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7"/>
              </w:rPr>
              <w:t>Units(6)</w:t>
            </w:r>
          </w:p>
        </w:tc>
        <w:tc>
          <w:tcPr>
            <w:tcW w:w="82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457(r)</w:t>
            </w:r>
          </w:p>
        </w:tc>
        <w:tc>
          <w:tcPr>
            <w:tcW w:w="1180" w:type="dxa"/>
            <w:vAlign w:val="bottom"/>
            <w:tcBorders>
              <w:bottom w:val="single" w:sz="8" w:color="auto"/>
              <w:right w:val="single" w:sz="8" w:color="auto"/>
            </w:tcBorders>
          </w:tcPr>
          <w:p>
            <w:pPr>
              <w:jc w:val="right"/>
              <w:ind w:right="508"/>
              <w:spacing w:after="0"/>
              <w:rPr>
                <w:sz w:val="20"/>
                <w:szCs w:val="20"/>
                <w:color w:val="auto"/>
              </w:rPr>
            </w:pPr>
            <w:r>
              <w:rPr>
                <w:rFonts w:ascii="Arial" w:cs="Arial" w:eastAsia="Arial" w:hAnsi="Arial"/>
                <w:sz w:val="14"/>
                <w:szCs w:val="14"/>
                <w:color w:val="auto"/>
              </w:rPr>
              <w:t>(1)</w:t>
            </w:r>
          </w:p>
        </w:tc>
        <w:tc>
          <w:tcPr>
            <w:tcW w:w="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(2)</w:t>
            </w:r>
          </w:p>
        </w:tc>
        <w:tc>
          <w:tcPr>
            <w:tcW w:w="1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(3)</w:t>
            </w:r>
          </w:p>
        </w:tc>
        <w:tc>
          <w:tcPr>
            <w:tcW w:w="76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(4)</w:t>
            </w:r>
          </w:p>
        </w:tc>
        <w:tc>
          <w:tcPr>
            <w:tcW w:w="640" w:type="dxa"/>
            <w:vAlign w:val="bottom"/>
            <w:tcBorders>
              <w:bottom w:val="single" w:sz="8" w:color="auto"/>
              <w:right w:val="single" w:sz="8" w:color="auto"/>
            </w:tcBorders>
          </w:tcPr>
          <w:p>
            <w:pPr>
              <w:spacing w:after="0"/>
              <w:rPr>
                <w:sz w:val="14"/>
                <w:szCs w:val="14"/>
                <w:color w:val="auto"/>
              </w:rPr>
            </w:pPr>
          </w:p>
        </w:tc>
        <w:tc>
          <w:tcPr>
            <w:tcW w:w="840" w:type="dxa"/>
            <w:vAlign w:val="bottom"/>
            <w:tcBorders>
              <w:bottom w:val="single" w:sz="8" w:color="auto"/>
              <w:right w:val="single" w:sz="8" w:color="auto"/>
            </w:tcBorders>
          </w:tcPr>
          <w:p>
            <w:pPr>
              <w:spacing w:after="0"/>
              <w:rPr>
                <w:sz w:val="14"/>
                <w:szCs w:val="14"/>
                <w:color w:val="auto"/>
              </w:rPr>
            </w:pPr>
          </w:p>
        </w:tc>
        <w:tc>
          <w:tcPr>
            <w:tcW w:w="900" w:type="dxa"/>
            <w:vAlign w:val="bottom"/>
            <w:tcBorders>
              <w:bottom w:val="single" w:sz="8" w:color="auto"/>
              <w:right w:val="single" w:sz="8" w:color="auto"/>
            </w:tcBorders>
          </w:tcPr>
          <w:p>
            <w:pPr>
              <w:spacing w:after="0"/>
              <w:rPr>
                <w:sz w:val="14"/>
                <w:szCs w:val="14"/>
                <w:color w:val="auto"/>
              </w:rPr>
            </w:pPr>
          </w:p>
        </w:tc>
        <w:tc>
          <w:tcPr>
            <w:tcW w:w="8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760" w:type="dxa"/>
            <w:vAlign w:val="bottom"/>
            <w:tcBorders>
              <w:left w:val="single" w:sz="8" w:color="auto"/>
              <w:right w:val="single" w:sz="8" w:color="auto"/>
            </w:tcBorders>
          </w:tcPr>
          <w:p>
            <w:pPr>
              <w:ind w:left="160"/>
              <w:spacing w:after="0" w:line="123" w:lineRule="exact"/>
              <w:rPr>
                <w:sz w:val="20"/>
                <w:szCs w:val="20"/>
                <w:color w:val="auto"/>
              </w:rPr>
            </w:pPr>
            <w:r>
              <w:rPr>
                <w:rFonts w:ascii="Arial" w:cs="Arial" w:eastAsia="Arial" w:hAnsi="Arial"/>
                <w:sz w:val="14"/>
                <w:szCs w:val="14"/>
                <w:color w:val="auto"/>
              </w:rPr>
              <w:t>Fees to</w:t>
            </w:r>
          </w:p>
        </w:tc>
        <w:tc>
          <w:tcPr>
            <w:tcW w:w="740" w:type="dxa"/>
            <w:vAlign w:val="bottom"/>
            <w:tcBorders>
              <w:right w:val="single" w:sz="8" w:color="auto"/>
            </w:tcBorders>
          </w:tcPr>
          <w:p>
            <w:pPr>
              <w:spacing w:after="0"/>
              <w:rPr>
                <w:sz w:val="10"/>
                <w:szCs w:val="10"/>
                <w:color w:val="auto"/>
              </w:rPr>
            </w:pPr>
          </w:p>
        </w:tc>
        <w:tc>
          <w:tcPr>
            <w:tcW w:w="720" w:type="dxa"/>
            <w:vAlign w:val="bottom"/>
            <w:tcBorders>
              <w:right w:val="single" w:sz="8" w:color="auto"/>
            </w:tcBorders>
          </w:tcPr>
          <w:p>
            <w:pPr>
              <w:spacing w:after="0"/>
              <w:rPr>
                <w:sz w:val="10"/>
                <w:szCs w:val="10"/>
                <w:color w:val="auto"/>
              </w:rPr>
            </w:pPr>
          </w:p>
        </w:tc>
        <w:tc>
          <w:tcPr>
            <w:tcW w:w="820" w:type="dxa"/>
            <w:vAlign w:val="bottom"/>
            <w:tcBorders>
              <w:right w:val="single" w:sz="8" w:color="auto"/>
            </w:tcBorders>
          </w:tcPr>
          <w:p>
            <w:pPr>
              <w:spacing w:after="0"/>
              <w:rPr>
                <w:sz w:val="10"/>
                <w:szCs w:val="10"/>
                <w:color w:val="auto"/>
              </w:rPr>
            </w:pPr>
          </w:p>
        </w:tc>
        <w:tc>
          <w:tcPr>
            <w:tcW w:w="1180" w:type="dxa"/>
            <w:vAlign w:val="bottom"/>
            <w:tcBorders>
              <w:right w:val="single" w:sz="8" w:color="auto"/>
            </w:tcBorders>
          </w:tcPr>
          <w:p>
            <w:pPr>
              <w:spacing w:after="0"/>
              <w:rPr>
                <w:sz w:val="10"/>
                <w:szCs w:val="10"/>
                <w:color w:val="auto"/>
              </w:rPr>
            </w:pPr>
          </w:p>
        </w:tc>
        <w:tc>
          <w:tcPr>
            <w:tcW w:w="680" w:type="dxa"/>
            <w:vAlign w:val="bottom"/>
            <w:tcBorders>
              <w:right w:val="single" w:sz="8" w:color="auto"/>
            </w:tcBorders>
          </w:tcPr>
          <w:p>
            <w:pPr>
              <w:spacing w:after="0"/>
              <w:rPr>
                <w:sz w:val="10"/>
                <w:szCs w:val="10"/>
                <w:color w:val="auto"/>
              </w:rPr>
            </w:pPr>
          </w:p>
        </w:tc>
        <w:tc>
          <w:tcPr>
            <w:tcW w:w="1100" w:type="dxa"/>
            <w:vAlign w:val="bottom"/>
            <w:tcBorders>
              <w:right w:val="single" w:sz="8" w:color="auto"/>
            </w:tcBorders>
          </w:tcPr>
          <w:p>
            <w:pPr>
              <w:spacing w:after="0"/>
              <w:rPr>
                <w:sz w:val="10"/>
                <w:szCs w:val="10"/>
                <w:color w:val="auto"/>
              </w:rPr>
            </w:pPr>
          </w:p>
        </w:tc>
        <w:tc>
          <w:tcPr>
            <w:tcW w:w="760" w:type="dxa"/>
            <w:vAlign w:val="bottom"/>
            <w:tcBorders>
              <w:right w:val="single" w:sz="8" w:color="auto"/>
            </w:tcBorders>
          </w:tcPr>
          <w:p>
            <w:pPr>
              <w:spacing w:after="0"/>
              <w:rPr>
                <w:sz w:val="10"/>
                <w:szCs w:val="10"/>
                <w:color w:val="auto"/>
              </w:rPr>
            </w:pPr>
          </w:p>
        </w:tc>
        <w:tc>
          <w:tcPr>
            <w:tcW w:w="960" w:type="dxa"/>
            <w:vAlign w:val="bottom"/>
            <w:tcBorders>
              <w:right w:val="single" w:sz="8" w:color="auto"/>
            </w:tcBorders>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840" w:type="dxa"/>
            <w:vAlign w:val="bottom"/>
            <w:tcBorders>
              <w:right w:val="single" w:sz="8" w:color="auto"/>
            </w:tcBorders>
          </w:tcPr>
          <w:p>
            <w:pPr>
              <w:spacing w:after="0"/>
              <w:rPr>
                <w:sz w:val="10"/>
                <w:szCs w:val="10"/>
                <w:color w:val="auto"/>
              </w:rPr>
            </w:pPr>
          </w:p>
        </w:tc>
        <w:tc>
          <w:tcPr>
            <w:tcW w:w="900" w:type="dxa"/>
            <w:vAlign w:val="bottom"/>
            <w:tcBorders>
              <w:right w:val="single" w:sz="8" w:color="auto"/>
            </w:tcBorders>
          </w:tcPr>
          <w:p>
            <w:pPr>
              <w:spacing w:after="0"/>
              <w:rPr>
                <w:sz w:val="10"/>
                <w:szCs w:val="10"/>
                <w:color w:val="auto"/>
              </w:rPr>
            </w:pPr>
          </w:p>
        </w:tc>
        <w:tc>
          <w:tcPr>
            <w:tcW w:w="8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76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4"/>
                <w:szCs w:val="14"/>
                <w:color w:val="auto"/>
              </w:rPr>
              <w:t>be Paid</w:t>
            </w:r>
          </w:p>
        </w:tc>
        <w:tc>
          <w:tcPr>
            <w:tcW w:w="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Other</w:t>
            </w:r>
          </w:p>
        </w:tc>
        <w:tc>
          <w:tcPr>
            <w:tcW w:w="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Warrants</w:t>
            </w:r>
          </w:p>
        </w:tc>
        <w:tc>
          <w:tcPr>
            <w:tcW w:w="82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457(r)</w:t>
            </w:r>
          </w:p>
        </w:tc>
        <w:tc>
          <w:tcPr>
            <w:tcW w:w="1180" w:type="dxa"/>
            <w:vAlign w:val="bottom"/>
            <w:tcBorders>
              <w:bottom w:val="single" w:sz="8" w:color="auto"/>
              <w:right w:val="single" w:sz="8" w:color="auto"/>
            </w:tcBorders>
          </w:tcPr>
          <w:p>
            <w:pPr>
              <w:jc w:val="right"/>
              <w:ind w:right="508"/>
              <w:spacing w:after="0"/>
              <w:rPr>
                <w:sz w:val="20"/>
                <w:szCs w:val="20"/>
                <w:color w:val="auto"/>
              </w:rPr>
            </w:pPr>
            <w:r>
              <w:rPr>
                <w:rFonts w:ascii="Arial" w:cs="Arial" w:eastAsia="Arial" w:hAnsi="Arial"/>
                <w:sz w:val="14"/>
                <w:szCs w:val="14"/>
                <w:color w:val="auto"/>
              </w:rPr>
              <w:t>(1)</w:t>
            </w:r>
          </w:p>
        </w:tc>
        <w:tc>
          <w:tcPr>
            <w:tcW w:w="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(2)</w:t>
            </w:r>
          </w:p>
        </w:tc>
        <w:tc>
          <w:tcPr>
            <w:tcW w:w="1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(3)</w:t>
            </w:r>
          </w:p>
        </w:tc>
        <w:tc>
          <w:tcPr>
            <w:tcW w:w="76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(4)</w:t>
            </w:r>
          </w:p>
        </w:tc>
        <w:tc>
          <w:tcPr>
            <w:tcW w:w="640" w:type="dxa"/>
            <w:vAlign w:val="bottom"/>
            <w:tcBorders>
              <w:bottom w:val="single" w:sz="8" w:color="auto"/>
              <w:right w:val="single" w:sz="8" w:color="auto"/>
            </w:tcBorders>
          </w:tcPr>
          <w:p>
            <w:pPr>
              <w:spacing w:after="0"/>
              <w:rPr>
                <w:sz w:val="14"/>
                <w:szCs w:val="14"/>
                <w:color w:val="auto"/>
              </w:rPr>
            </w:pPr>
          </w:p>
        </w:tc>
        <w:tc>
          <w:tcPr>
            <w:tcW w:w="840" w:type="dxa"/>
            <w:vAlign w:val="bottom"/>
            <w:tcBorders>
              <w:bottom w:val="single" w:sz="8" w:color="auto"/>
              <w:right w:val="single" w:sz="8" w:color="auto"/>
            </w:tcBorders>
          </w:tcPr>
          <w:p>
            <w:pPr>
              <w:spacing w:after="0"/>
              <w:rPr>
                <w:sz w:val="14"/>
                <w:szCs w:val="14"/>
                <w:color w:val="auto"/>
              </w:rPr>
            </w:pPr>
          </w:p>
        </w:tc>
        <w:tc>
          <w:tcPr>
            <w:tcW w:w="900" w:type="dxa"/>
            <w:vAlign w:val="bottom"/>
            <w:tcBorders>
              <w:bottom w:val="single" w:sz="8" w:color="auto"/>
              <w:right w:val="single" w:sz="8" w:color="auto"/>
            </w:tcBorders>
          </w:tcPr>
          <w:p>
            <w:pPr>
              <w:spacing w:after="0"/>
              <w:rPr>
                <w:sz w:val="14"/>
                <w:szCs w:val="14"/>
                <w:color w:val="auto"/>
              </w:rPr>
            </w:pPr>
          </w:p>
        </w:tc>
        <w:tc>
          <w:tcPr>
            <w:tcW w:w="8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760" w:type="dxa"/>
            <w:vAlign w:val="bottom"/>
            <w:tcBorders>
              <w:left w:val="single" w:sz="8" w:color="auto"/>
              <w:right w:val="single" w:sz="8" w:color="auto"/>
            </w:tcBorders>
          </w:tcPr>
          <w:p>
            <w:pPr>
              <w:ind w:left="160"/>
              <w:spacing w:after="0" w:line="123" w:lineRule="exact"/>
              <w:rPr>
                <w:sz w:val="20"/>
                <w:szCs w:val="20"/>
                <w:color w:val="auto"/>
              </w:rPr>
            </w:pPr>
            <w:r>
              <w:rPr>
                <w:rFonts w:ascii="Arial" w:cs="Arial" w:eastAsia="Arial" w:hAnsi="Arial"/>
                <w:sz w:val="14"/>
                <w:szCs w:val="14"/>
                <w:color w:val="auto"/>
              </w:rPr>
              <w:t>Fees to</w:t>
            </w:r>
          </w:p>
        </w:tc>
        <w:tc>
          <w:tcPr>
            <w:tcW w:w="740" w:type="dxa"/>
            <w:vAlign w:val="bottom"/>
            <w:tcBorders>
              <w:right w:val="single" w:sz="8" w:color="auto"/>
            </w:tcBorders>
          </w:tcPr>
          <w:p>
            <w:pPr>
              <w:jc w:val="center"/>
              <w:spacing w:after="0" w:line="123" w:lineRule="exact"/>
              <w:rPr>
                <w:sz w:val="20"/>
                <w:szCs w:val="20"/>
                <w:color w:val="auto"/>
              </w:rPr>
            </w:pPr>
            <w:r>
              <w:rPr>
                <w:rFonts w:ascii="Arial" w:cs="Arial" w:eastAsia="Arial" w:hAnsi="Arial"/>
                <w:sz w:val="14"/>
                <w:szCs w:val="14"/>
                <w:color w:val="auto"/>
                <w:w w:val="94"/>
              </w:rPr>
              <w:t>Unallocated</w:t>
            </w:r>
          </w:p>
        </w:tc>
        <w:tc>
          <w:tcPr>
            <w:tcW w:w="720" w:type="dxa"/>
            <w:vAlign w:val="bottom"/>
            <w:tcBorders>
              <w:right w:val="single" w:sz="8" w:color="auto"/>
            </w:tcBorders>
          </w:tcPr>
          <w:p>
            <w:pPr>
              <w:spacing w:after="0"/>
              <w:rPr>
                <w:sz w:val="10"/>
                <w:szCs w:val="10"/>
                <w:color w:val="auto"/>
              </w:rPr>
            </w:pPr>
          </w:p>
        </w:tc>
        <w:tc>
          <w:tcPr>
            <w:tcW w:w="820" w:type="dxa"/>
            <w:vAlign w:val="bottom"/>
            <w:tcBorders>
              <w:right w:val="single" w:sz="8" w:color="auto"/>
            </w:tcBorders>
          </w:tcPr>
          <w:p>
            <w:pPr>
              <w:spacing w:after="0"/>
              <w:rPr>
                <w:sz w:val="10"/>
                <w:szCs w:val="10"/>
                <w:color w:val="auto"/>
              </w:rPr>
            </w:pPr>
          </w:p>
        </w:tc>
        <w:tc>
          <w:tcPr>
            <w:tcW w:w="1180" w:type="dxa"/>
            <w:vAlign w:val="bottom"/>
            <w:tcBorders>
              <w:right w:val="single" w:sz="8" w:color="auto"/>
            </w:tcBorders>
          </w:tcPr>
          <w:p>
            <w:pPr>
              <w:spacing w:after="0"/>
              <w:rPr>
                <w:sz w:val="10"/>
                <w:szCs w:val="10"/>
                <w:color w:val="auto"/>
              </w:rPr>
            </w:pPr>
          </w:p>
        </w:tc>
        <w:tc>
          <w:tcPr>
            <w:tcW w:w="680" w:type="dxa"/>
            <w:vAlign w:val="bottom"/>
            <w:tcBorders>
              <w:right w:val="single" w:sz="8" w:color="auto"/>
            </w:tcBorders>
          </w:tcPr>
          <w:p>
            <w:pPr>
              <w:spacing w:after="0"/>
              <w:rPr>
                <w:sz w:val="10"/>
                <w:szCs w:val="10"/>
                <w:color w:val="auto"/>
              </w:rPr>
            </w:pPr>
          </w:p>
        </w:tc>
        <w:tc>
          <w:tcPr>
            <w:tcW w:w="1100" w:type="dxa"/>
            <w:vAlign w:val="bottom"/>
            <w:tcBorders>
              <w:right w:val="single" w:sz="8" w:color="auto"/>
            </w:tcBorders>
          </w:tcPr>
          <w:p>
            <w:pPr>
              <w:spacing w:after="0"/>
              <w:rPr>
                <w:sz w:val="10"/>
                <w:szCs w:val="10"/>
                <w:color w:val="auto"/>
              </w:rPr>
            </w:pPr>
          </w:p>
        </w:tc>
        <w:tc>
          <w:tcPr>
            <w:tcW w:w="760" w:type="dxa"/>
            <w:vAlign w:val="bottom"/>
            <w:tcBorders>
              <w:right w:val="single" w:sz="8" w:color="auto"/>
            </w:tcBorders>
          </w:tcPr>
          <w:p>
            <w:pPr>
              <w:spacing w:after="0"/>
              <w:rPr>
                <w:sz w:val="10"/>
                <w:szCs w:val="10"/>
                <w:color w:val="auto"/>
              </w:rPr>
            </w:pPr>
          </w:p>
        </w:tc>
        <w:tc>
          <w:tcPr>
            <w:tcW w:w="960" w:type="dxa"/>
            <w:vAlign w:val="bottom"/>
            <w:tcBorders>
              <w:right w:val="single" w:sz="8" w:color="auto"/>
            </w:tcBorders>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840" w:type="dxa"/>
            <w:vAlign w:val="bottom"/>
            <w:tcBorders>
              <w:right w:val="single" w:sz="8" w:color="auto"/>
            </w:tcBorders>
          </w:tcPr>
          <w:p>
            <w:pPr>
              <w:spacing w:after="0"/>
              <w:rPr>
                <w:sz w:val="10"/>
                <w:szCs w:val="10"/>
                <w:color w:val="auto"/>
              </w:rPr>
            </w:pPr>
          </w:p>
        </w:tc>
        <w:tc>
          <w:tcPr>
            <w:tcW w:w="900" w:type="dxa"/>
            <w:vAlign w:val="bottom"/>
            <w:tcBorders>
              <w:right w:val="single" w:sz="8" w:color="auto"/>
            </w:tcBorders>
          </w:tcPr>
          <w:p>
            <w:pPr>
              <w:spacing w:after="0"/>
              <w:rPr>
                <w:sz w:val="10"/>
                <w:szCs w:val="10"/>
                <w:color w:val="auto"/>
              </w:rPr>
            </w:pPr>
          </w:p>
        </w:tc>
        <w:tc>
          <w:tcPr>
            <w:tcW w:w="8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760" w:type="dxa"/>
            <w:vAlign w:val="bottom"/>
            <w:tcBorders>
              <w:left w:val="single" w:sz="8" w:color="auto"/>
              <w:right w:val="single" w:sz="8" w:color="auto"/>
            </w:tcBorders>
          </w:tcPr>
          <w:p>
            <w:pPr>
              <w:ind w:left="160"/>
              <w:spacing w:after="0" w:line="149" w:lineRule="exact"/>
              <w:rPr>
                <w:sz w:val="20"/>
                <w:szCs w:val="20"/>
                <w:color w:val="auto"/>
              </w:rPr>
            </w:pPr>
            <w:r>
              <w:rPr>
                <w:rFonts w:ascii="Arial" w:cs="Arial" w:eastAsia="Arial" w:hAnsi="Arial"/>
                <w:sz w:val="14"/>
                <w:szCs w:val="14"/>
                <w:color w:val="auto"/>
              </w:rPr>
              <w:t>be Paid</w:t>
            </w:r>
          </w:p>
        </w:tc>
        <w:tc>
          <w:tcPr>
            <w:tcW w:w="7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(Universal)</w:t>
            </w:r>
          </w:p>
        </w:tc>
        <w:tc>
          <w:tcPr>
            <w:tcW w:w="72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110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760" w:type="dxa"/>
            <w:vAlign w:val="bottom"/>
            <w:tcBorders>
              <w:left w:val="single" w:sz="8" w:color="auto"/>
              <w:bottom w:val="single" w:sz="8" w:color="auto"/>
              <w:right w:val="single" w:sz="8" w:color="auto"/>
            </w:tcBorders>
          </w:tcPr>
          <w:p>
            <w:pPr>
              <w:spacing w:after="0"/>
              <w:rPr>
                <w:sz w:val="15"/>
                <w:szCs w:val="15"/>
                <w:color w:val="auto"/>
              </w:rPr>
            </w:pPr>
          </w:p>
        </w:tc>
        <w:tc>
          <w:tcPr>
            <w:tcW w:w="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Shelf</w:t>
            </w:r>
          </w:p>
        </w:tc>
        <w:tc>
          <w:tcPr>
            <w:tcW w:w="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82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457(o)</w:t>
            </w:r>
          </w:p>
        </w:tc>
        <w:tc>
          <w:tcPr>
            <w:tcW w:w="1180" w:type="dxa"/>
            <w:vAlign w:val="bottom"/>
            <w:tcBorders>
              <w:bottom w:val="single" w:sz="8" w:color="auto"/>
              <w:right w:val="single" w:sz="8" w:color="auto"/>
            </w:tcBorders>
          </w:tcPr>
          <w:p>
            <w:pPr>
              <w:jc w:val="right"/>
              <w:ind w:right="28"/>
              <w:spacing w:after="0"/>
              <w:rPr>
                <w:sz w:val="20"/>
                <w:szCs w:val="20"/>
                <w:color w:val="auto"/>
              </w:rPr>
            </w:pPr>
            <w:r>
              <w:rPr>
                <w:rFonts w:ascii="Arial" w:cs="Arial" w:eastAsia="Arial" w:hAnsi="Arial"/>
                <w:sz w:val="14"/>
                <w:szCs w:val="14"/>
                <w:color w:val="auto"/>
              </w:rPr>
              <w:t>$250,000,000(7)</w:t>
            </w:r>
          </w:p>
        </w:tc>
        <w:tc>
          <w:tcPr>
            <w:tcW w:w="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(2)</w:t>
            </w:r>
          </w:p>
        </w:tc>
        <w:tc>
          <w:tcPr>
            <w:tcW w:w="1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$250,000,000(7)</w:t>
            </w:r>
          </w:p>
        </w:tc>
        <w:tc>
          <w:tcPr>
            <w:tcW w:w="7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4"/>
                <w:szCs w:val="14"/>
                <w:color w:val="auto"/>
                <w:w w:val="96"/>
              </w:rPr>
              <w:t>0.0000927</w:t>
            </w:r>
          </w:p>
        </w:tc>
        <w:tc>
          <w:tcPr>
            <w:tcW w:w="9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(4)(7)</w:t>
            </w:r>
          </w:p>
        </w:tc>
        <w:tc>
          <w:tcPr>
            <w:tcW w:w="640" w:type="dxa"/>
            <w:vAlign w:val="bottom"/>
            <w:tcBorders>
              <w:bottom w:val="single" w:sz="8" w:color="auto"/>
              <w:right w:val="single" w:sz="8" w:color="auto"/>
            </w:tcBorders>
          </w:tcPr>
          <w:p>
            <w:pPr>
              <w:spacing w:after="0"/>
              <w:rPr>
                <w:sz w:val="15"/>
                <w:szCs w:val="15"/>
                <w:color w:val="auto"/>
              </w:rPr>
            </w:pPr>
          </w:p>
        </w:tc>
        <w:tc>
          <w:tcPr>
            <w:tcW w:w="840" w:type="dxa"/>
            <w:vAlign w:val="bottom"/>
            <w:tcBorders>
              <w:bottom w:val="single" w:sz="8" w:color="auto"/>
              <w:right w:val="single" w:sz="8" w:color="auto"/>
            </w:tcBorders>
          </w:tcPr>
          <w:p>
            <w:pPr>
              <w:spacing w:after="0"/>
              <w:rPr>
                <w:sz w:val="15"/>
                <w:szCs w:val="15"/>
                <w:color w:val="auto"/>
              </w:rPr>
            </w:pPr>
          </w:p>
        </w:tc>
        <w:tc>
          <w:tcPr>
            <w:tcW w:w="900" w:type="dxa"/>
            <w:vAlign w:val="bottom"/>
            <w:tcBorders>
              <w:bottom w:val="single" w:sz="8" w:color="auto"/>
              <w:right w:val="single" w:sz="8" w:color="auto"/>
            </w:tcBorders>
          </w:tcPr>
          <w:p>
            <w:pPr>
              <w:spacing w:after="0"/>
              <w:rPr>
                <w:sz w:val="15"/>
                <w:szCs w:val="15"/>
                <w:color w:val="auto"/>
              </w:rPr>
            </w:pPr>
          </w:p>
        </w:tc>
        <w:tc>
          <w:tcPr>
            <w:tcW w:w="88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3"/>
        </w:trPr>
        <w:tc>
          <w:tcPr>
            <w:tcW w:w="760" w:type="dxa"/>
            <w:vAlign w:val="bottom"/>
            <w:tcBorders>
              <w:left w:val="single" w:sz="8" w:color="auto"/>
              <w:right w:val="single" w:sz="8" w:color="auto"/>
            </w:tcBorders>
          </w:tcPr>
          <w:p>
            <w:pPr>
              <w:ind w:left="160"/>
              <w:spacing w:after="0" w:line="123" w:lineRule="exact"/>
              <w:rPr>
                <w:sz w:val="20"/>
                <w:szCs w:val="20"/>
                <w:color w:val="auto"/>
              </w:rPr>
            </w:pPr>
            <w:r>
              <w:rPr>
                <w:rFonts w:ascii="Arial" w:cs="Arial" w:eastAsia="Arial" w:hAnsi="Arial"/>
                <w:sz w:val="14"/>
                <w:szCs w:val="14"/>
                <w:color w:val="auto"/>
              </w:rPr>
              <w:t>Fees to</w:t>
            </w: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20" w:type="dxa"/>
            <w:vAlign w:val="bottom"/>
            <w:tcBorders>
              <w:right w:val="single" w:sz="8" w:color="auto"/>
            </w:tcBorders>
          </w:tcPr>
          <w:p>
            <w:pPr>
              <w:spacing w:after="0"/>
              <w:rPr>
                <w:sz w:val="10"/>
                <w:szCs w:val="10"/>
                <w:color w:val="auto"/>
              </w:rPr>
            </w:pPr>
          </w:p>
        </w:tc>
        <w:tc>
          <w:tcPr>
            <w:tcW w:w="1180" w:type="dxa"/>
            <w:vAlign w:val="bottom"/>
            <w:tcBorders>
              <w:right w:val="single" w:sz="8" w:color="auto"/>
            </w:tcBorders>
          </w:tcPr>
          <w:p>
            <w:pPr>
              <w:spacing w:after="0"/>
              <w:rPr>
                <w:sz w:val="10"/>
                <w:szCs w:val="10"/>
                <w:color w:val="auto"/>
              </w:rPr>
            </w:pPr>
          </w:p>
        </w:tc>
        <w:tc>
          <w:tcPr>
            <w:tcW w:w="680" w:type="dxa"/>
            <w:vAlign w:val="bottom"/>
            <w:tcBorders>
              <w:right w:val="single" w:sz="8" w:color="auto"/>
            </w:tcBorders>
          </w:tcPr>
          <w:p>
            <w:pPr>
              <w:spacing w:after="0"/>
              <w:rPr>
                <w:sz w:val="10"/>
                <w:szCs w:val="10"/>
                <w:color w:val="auto"/>
              </w:rPr>
            </w:pPr>
          </w:p>
        </w:tc>
        <w:tc>
          <w:tcPr>
            <w:tcW w:w="1100" w:type="dxa"/>
            <w:vAlign w:val="bottom"/>
            <w:tcBorders>
              <w:right w:val="single" w:sz="8" w:color="auto"/>
            </w:tcBorders>
          </w:tcPr>
          <w:p>
            <w:pPr>
              <w:spacing w:after="0"/>
              <w:rPr>
                <w:sz w:val="10"/>
                <w:szCs w:val="10"/>
                <w:color w:val="auto"/>
              </w:rPr>
            </w:pPr>
          </w:p>
        </w:tc>
        <w:tc>
          <w:tcPr>
            <w:tcW w:w="760" w:type="dxa"/>
            <w:vAlign w:val="bottom"/>
            <w:tcBorders>
              <w:right w:val="single" w:sz="8" w:color="auto"/>
            </w:tcBorders>
          </w:tcPr>
          <w:p>
            <w:pPr>
              <w:spacing w:after="0"/>
              <w:rPr>
                <w:sz w:val="10"/>
                <w:szCs w:val="10"/>
                <w:color w:val="auto"/>
              </w:rPr>
            </w:pPr>
          </w:p>
        </w:tc>
        <w:tc>
          <w:tcPr>
            <w:tcW w:w="960" w:type="dxa"/>
            <w:vAlign w:val="bottom"/>
            <w:tcBorders>
              <w:right w:val="single" w:sz="8" w:color="auto"/>
            </w:tcBorders>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840" w:type="dxa"/>
            <w:vAlign w:val="bottom"/>
            <w:tcBorders>
              <w:right w:val="single" w:sz="8" w:color="auto"/>
            </w:tcBorders>
          </w:tcPr>
          <w:p>
            <w:pPr>
              <w:spacing w:after="0"/>
              <w:rPr>
                <w:sz w:val="10"/>
                <w:szCs w:val="10"/>
                <w:color w:val="auto"/>
              </w:rPr>
            </w:pPr>
          </w:p>
        </w:tc>
        <w:tc>
          <w:tcPr>
            <w:tcW w:w="900" w:type="dxa"/>
            <w:vAlign w:val="bottom"/>
            <w:tcBorders>
              <w:right w:val="single" w:sz="8" w:color="auto"/>
            </w:tcBorders>
          </w:tcPr>
          <w:p>
            <w:pPr>
              <w:spacing w:after="0"/>
              <w:rPr>
                <w:sz w:val="10"/>
                <w:szCs w:val="10"/>
                <w:color w:val="auto"/>
              </w:rPr>
            </w:pPr>
          </w:p>
        </w:tc>
        <w:tc>
          <w:tcPr>
            <w:tcW w:w="8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76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4"/>
                <w:szCs w:val="14"/>
                <w:color w:val="auto"/>
              </w:rPr>
              <w:t>be Paid</w:t>
            </w:r>
          </w:p>
        </w:tc>
        <w:tc>
          <w:tcPr>
            <w:tcW w:w="740" w:type="dxa"/>
            <w:vAlign w:val="bottom"/>
            <w:tcBorders>
              <w:bottom w:val="single" w:sz="8" w:color="auto"/>
            </w:tcBorders>
          </w:tcPr>
          <w:p>
            <w:pPr>
              <w:spacing w:after="0"/>
              <w:rPr>
                <w:sz w:val="14"/>
                <w:szCs w:val="14"/>
                <w:color w:val="auto"/>
              </w:rPr>
            </w:pPr>
          </w:p>
        </w:tc>
        <w:tc>
          <w:tcPr>
            <w:tcW w:w="1540" w:type="dxa"/>
            <w:vAlign w:val="bottom"/>
            <w:tcBorders>
              <w:bottom w:val="single" w:sz="8" w:color="auto"/>
              <w:right w:val="single" w:sz="8" w:color="auto"/>
            </w:tcBorders>
            <w:gridSpan w:val="2"/>
          </w:tcPr>
          <w:p>
            <w:pPr>
              <w:jc w:val="right"/>
              <w:ind w:right="8"/>
              <w:spacing w:after="0"/>
              <w:rPr>
                <w:sz w:val="20"/>
                <w:szCs w:val="20"/>
                <w:color w:val="auto"/>
              </w:rPr>
            </w:pPr>
            <w:r>
              <w:rPr>
                <w:rFonts w:ascii="Arial" w:cs="Arial" w:eastAsia="Arial" w:hAnsi="Arial"/>
                <w:sz w:val="14"/>
                <w:szCs w:val="14"/>
                <w:color w:val="auto"/>
              </w:rPr>
              <w:t>Total Registration Fee:</w:t>
            </w:r>
          </w:p>
        </w:tc>
        <w:tc>
          <w:tcPr>
            <w:tcW w:w="1180" w:type="dxa"/>
            <w:vAlign w:val="bottom"/>
            <w:tcBorders>
              <w:bottom w:val="single" w:sz="8" w:color="auto"/>
              <w:right w:val="single" w:sz="8" w:color="auto"/>
            </w:tcBorders>
          </w:tcPr>
          <w:p>
            <w:pPr>
              <w:jc w:val="right"/>
              <w:ind w:right="188"/>
              <w:spacing w:after="0"/>
              <w:rPr>
                <w:sz w:val="20"/>
                <w:szCs w:val="20"/>
                <w:color w:val="auto"/>
              </w:rPr>
            </w:pPr>
            <w:r>
              <w:rPr>
                <w:rFonts w:ascii="Arial" w:cs="Arial" w:eastAsia="Arial" w:hAnsi="Arial"/>
                <w:sz w:val="14"/>
                <w:szCs w:val="14"/>
                <w:color w:val="auto"/>
              </w:rPr>
              <w:t>$100,000,000</w:t>
            </w:r>
          </w:p>
        </w:tc>
        <w:tc>
          <w:tcPr>
            <w:tcW w:w="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(2)</w:t>
            </w:r>
          </w:p>
        </w:tc>
        <w:tc>
          <w:tcPr>
            <w:tcW w:w="11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$100,000,000</w:t>
            </w:r>
          </w:p>
        </w:tc>
        <w:tc>
          <w:tcPr>
            <w:tcW w:w="7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4"/>
                <w:szCs w:val="14"/>
                <w:color w:val="auto"/>
                <w:w w:val="96"/>
              </w:rPr>
              <w:t>0.0000927</w:t>
            </w:r>
          </w:p>
        </w:tc>
        <w:tc>
          <w:tcPr>
            <w:tcW w:w="9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$9,270(4)</w:t>
            </w:r>
          </w:p>
        </w:tc>
        <w:tc>
          <w:tcPr>
            <w:tcW w:w="640" w:type="dxa"/>
            <w:vAlign w:val="bottom"/>
            <w:tcBorders>
              <w:bottom w:val="single" w:sz="8" w:color="auto"/>
              <w:right w:val="single" w:sz="8" w:color="auto"/>
            </w:tcBorders>
          </w:tcPr>
          <w:p>
            <w:pPr>
              <w:spacing w:after="0"/>
              <w:rPr>
                <w:sz w:val="14"/>
                <w:szCs w:val="14"/>
                <w:color w:val="auto"/>
              </w:rPr>
            </w:pPr>
          </w:p>
        </w:tc>
        <w:tc>
          <w:tcPr>
            <w:tcW w:w="840" w:type="dxa"/>
            <w:vAlign w:val="bottom"/>
            <w:tcBorders>
              <w:bottom w:val="single" w:sz="8" w:color="auto"/>
              <w:right w:val="single" w:sz="8" w:color="auto"/>
            </w:tcBorders>
          </w:tcPr>
          <w:p>
            <w:pPr>
              <w:spacing w:after="0"/>
              <w:rPr>
                <w:sz w:val="14"/>
                <w:szCs w:val="14"/>
                <w:color w:val="auto"/>
              </w:rPr>
            </w:pPr>
          </w:p>
        </w:tc>
        <w:tc>
          <w:tcPr>
            <w:tcW w:w="900" w:type="dxa"/>
            <w:vAlign w:val="bottom"/>
            <w:tcBorders>
              <w:bottom w:val="single" w:sz="8" w:color="auto"/>
              <w:right w:val="single" w:sz="8" w:color="auto"/>
            </w:tcBorders>
          </w:tcPr>
          <w:p>
            <w:pPr>
              <w:spacing w:after="0"/>
              <w:rPr>
                <w:sz w:val="14"/>
                <w:szCs w:val="14"/>
                <w:color w:val="auto"/>
              </w:rPr>
            </w:pPr>
          </w:p>
        </w:tc>
        <w:tc>
          <w:tcPr>
            <w:tcW w:w="8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60" w:type="dxa"/>
            <w:vAlign w:val="bottom"/>
            <w:tcBorders>
              <w:left w:val="single" w:sz="8" w:color="auto"/>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spacing w:after="0"/>
              <w:rPr>
                <w:sz w:val="12"/>
                <w:szCs w:val="12"/>
                <w:color w:val="auto"/>
              </w:rPr>
            </w:pPr>
          </w:p>
        </w:tc>
        <w:tc>
          <w:tcPr>
            <w:tcW w:w="2540" w:type="dxa"/>
            <w:vAlign w:val="bottom"/>
            <w:tcBorders>
              <w:bottom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96"/>
              </w:rPr>
              <w:t>Carry Forward Securities</w:t>
            </w:r>
          </w:p>
        </w:tc>
        <w:tc>
          <w:tcPr>
            <w:tcW w:w="9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88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760" w:type="dxa"/>
            <w:vAlign w:val="bottom"/>
            <w:tcBorders>
              <w:left w:val="single" w:sz="8" w:color="auto"/>
              <w:right w:val="single" w:sz="8" w:color="auto"/>
            </w:tcBorders>
          </w:tcPr>
          <w:p>
            <w:pPr>
              <w:spacing w:after="0"/>
              <w:rPr>
                <w:sz w:val="10"/>
                <w:szCs w:val="10"/>
                <w:color w:val="auto"/>
              </w:rPr>
            </w:pPr>
          </w:p>
        </w:tc>
        <w:tc>
          <w:tcPr>
            <w:tcW w:w="740" w:type="dxa"/>
            <w:vAlign w:val="bottom"/>
            <w:tcBorders>
              <w:right w:val="single" w:sz="8" w:color="auto"/>
            </w:tcBorders>
          </w:tcPr>
          <w:p>
            <w:pPr>
              <w:spacing w:after="0"/>
              <w:rPr>
                <w:sz w:val="10"/>
                <w:szCs w:val="10"/>
                <w:color w:val="auto"/>
              </w:rPr>
            </w:pPr>
          </w:p>
        </w:tc>
        <w:tc>
          <w:tcPr>
            <w:tcW w:w="720" w:type="dxa"/>
            <w:vAlign w:val="bottom"/>
            <w:tcBorders>
              <w:right w:val="single" w:sz="8" w:color="auto"/>
            </w:tcBorders>
          </w:tcPr>
          <w:p>
            <w:pPr>
              <w:jc w:val="center"/>
              <w:spacing w:after="0" w:line="123" w:lineRule="exact"/>
              <w:rPr>
                <w:sz w:val="20"/>
                <w:szCs w:val="20"/>
                <w:color w:val="auto"/>
              </w:rPr>
            </w:pPr>
            <w:r>
              <w:rPr>
                <w:rFonts w:ascii="Arial" w:cs="Arial" w:eastAsia="Arial" w:hAnsi="Arial"/>
                <w:sz w:val="14"/>
                <w:szCs w:val="14"/>
                <w:color w:val="auto"/>
                <w:w w:val="95"/>
              </w:rPr>
              <w:t>Common</w:t>
            </w:r>
          </w:p>
        </w:tc>
        <w:tc>
          <w:tcPr>
            <w:tcW w:w="820" w:type="dxa"/>
            <w:vAlign w:val="bottom"/>
            <w:tcBorders>
              <w:right w:val="single" w:sz="8" w:color="auto"/>
            </w:tcBorders>
          </w:tcPr>
          <w:p>
            <w:pPr>
              <w:spacing w:after="0"/>
              <w:rPr>
                <w:sz w:val="10"/>
                <w:szCs w:val="10"/>
                <w:color w:val="auto"/>
              </w:rPr>
            </w:pPr>
          </w:p>
        </w:tc>
        <w:tc>
          <w:tcPr>
            <w:tcW w:w="1180" w:type="dxa"/>
            <w:vAlign w:val="bottom"/>
            <w:tcBorders>
              <w:right w:val="single" w:sz="8" w:color="auto"/>
            </w:tcBorders>
          </w:tcPr>
          <w:p>
            <w:pPr>
              <w:spacing w:after="0"/>
              <w:rPr>
                <w:sz w:val="10"/>
                <w:szCs w:val="10"/>
                <w:color w:val="auto"/>
              </w:rPr>
            </w:pPr>
          </w:p>
        </w:tc>
        <w:tc>
          <w:tcPr>
            <w:tcW w:w="680" w:type="dxa"/>
            <w:vAlign w:val="bottom"/>
            <w:tcBorders>
              <w:right w:val="single" w:sz="8" w:color="auto"/>
            </w:tcBorders>
          </w:tcPr>
          <w:p>
            <w:pPr>
              <w:spacing w:after="0"/>
              <w:rPr>
                <w:sz w:val="10"/>
                <w:szCs w:val="10"/>
                <w:color w:val="auto"/>
              </w:rPr>
            </w:pPr>
          </w:p>
        </w:tc>
        <w:tc>
          <w:tcPr>
            <w:tcW w:w="1100" w:type="dxa"/>
            <w:vAlign w:val="bottom"/>
            <w:tcBorders>
              <w:right w:val="single" w:sz="8" w:color="auto"/>
            </w:tcBorders>
          </w:tcPr>
          <w:p>
            <w:pPr>
              <w:spacing w:after="0"/>
              <w:rPr>
                <w:sz w:val="10"/>
                <w:szCs w:val="10"/>
                <w:color w:val="auto"/>
              </w:rPr>
            </w:pPr>
          </w:p>
        </w:tc>
        <w:tc>
          <w:tcPr>
            <w:tcW w:w="760" w:type="dxa"/>
            <w:vAlign w:val="bottom"/>
            <w:tcBorders>
              <w:right w:val="single" w:sz="8" w:color="auto"/>
            </w:tcBorders>
          </w:tcPr>
          <w:p>
            <w:pPr>
              <w:spacing w:after="0"/>
              <w:rPr>
                <w:sz w:val="10"/>
                <w:szCs w:val="10"/>
                <w:color w:val="auto"/>
              </w:rPr>
            </w:pPr>
          </w:p>
        </w:tc>
        <w:tc>
          <w:tcPr>
            <w:tcW w:w="960" w:type="dxa"/>
            <w:vAlign w:val="bottom"/>
            <w:tcBorders>
              <w:right w:val="single" w:sz="8" w:color="auto"/>
            </w:tcBorders>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840" w:type="dxa"/>
            <w:vAlign w:val="bottom"/>
            <w:tcBorders>
              <w:right w:val="single" w:sz="8" w:color="auto"/>
            </w:tcBorders>
          </w:tcPr>
          <w:p>
            <w:pPr>
              <w:spacing w:after="0"/>
              <w:rPr>
                <w:sz w:val="10"/>
                <w:szCs w:val="10"/>
                <w:color w:val="auto"/>
              </w:rPr>
            </w:pPr>
          </w:p>
        </w:tc>
        <w:tc>
          <w:tcPr>
            <w:tcW w:w="900" w:type="dxa"/>
            <w:vAlign w:val="bottom"/>
            <w:tcBorders>
              <w:right w:val="single" w:sz="8" w:color="auto"/>
            </w:tcBorders>
          </w:tcPr>
          <w:p>
            <w:pPr>
              <w:spacing w:after="0"/>
              <w:rPr>
                <w:sz w:val="10"/>
                <w:szCs w:val="10"/>
                <w:color w:val="auto"/>
              </w:rPr>
            </w:pPr>
          </w:p>
        </w:tc>
        <w:tc>
          <w:tcPr>
            <w:tcW w:w="8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760" w:type="dxa"/>
            <w:vAlign w:val="bottom"/>
            <w:tcBorders>
              <w:left w:val="single" w:sz="8" w:color="auto"/>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1"/>
              </w:rPr>
              <w:t>Stock, par</w:t>
            </w:r>
          </w:p>
        </w:tc>
        <w:tc>
          <w:tcPr>
            <w:tcW w:w="820" w:type="dxa"/>
            <w:vAlign w:val="bottom"/>
            <w:tcBorders>
              <w:right w:val="single" w:sz="8" w:color="auto"/>
            </w:tcBorders>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110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60" w:type="dxa"/>
            <w:vAlign w:val="bottom"/>
            <w:tcBorders>
              <w:left w:val="single" w:sz="8" w:color="auto"/>
              <w:right w:val="single" w:sz="8" w:color="auto"/>
            </w:tcBorders>
          </w:tcPr>
          <w:p>
            <w:pPr>
              <w:ind w:left="160"/>
              <w:spacing w:after="0" w:line="149" w:lineRule="exact"/>
              <w:rPr>
                <w:sz w:val="20"/>
                <w:szCs w:val="20"/>
                <w:color w:val="auto"/>
              </w:rPr>
            </w:pPr>
            <w:r>
              <w:rPr>
                <w:rFonts w:ascii="Arial" w:cs="Arial" w:eastAsia="Arial" w:hAnsi="Arial"/>
                <w:sz w:val="14"/>
                <w:szCs w:val="14"/>
                <w:color w:val="auto"/>
              </w:rPr>
              <w:t>Carry</w:t>
            </w:r>
          </w:p>
        </w:tc>
        <w:tc>
          <w:tcPr>
            <w:tcW w:w="74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89"/>
              </w:rPr>
              <w:t>value</w:t>
            </w:r>
          </w:p>
        </w:tc>
        <w:tc>
          <w:tcPr>
            <w:tcW w:w="820" w:type="dxa"/>
            <w:vAlign w:val="bottom"/>
            <w:tcBorders>
              <w:right w:val="single" w:sz="8" w:color="auto"/>
            </w:tcBorders>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110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60" w:type="dxa"/>
            <w:vAlign w:val="bottom"/>
            <w:tcBorders>
              <w:left w:val="single" w:sz="8" w:color="auto"/>
              <w:right w:val="single" w:sz="8" w:color="auto"/>
            </w:tcBorders>
          </w:tcPr>
          <w:p>
            <w:pPr>
              <w:ind w:left="160"/>
              <w:spacing w:after="0" w:line="149" w:lineRule="exact"/>
              <w:rPr>
                <w:sz w:val="20"/>
                <w:szCs w:val="20"/>
                <w:color w:val="auto"/>
              </w:rPr>
            </w:pPr>
            <w:r>
              <w:rPr>
                <w:rFonts w:ascii="Arial" w:cs="Arial" w:eastAsia="Arial" w:hAnsi="Arial"/>
                <w:sz w:val="14"/>
                <w:szCs w:val="14"/>
                <w:color w:val="auto"/>
              </w:rPr>
              <w:t>Forward</w:t>
            </w:r>
          </w:p>
        </w:tc>
        <w:tc>
          <w:tcPr>
            <w:tcW w:w="74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2"/>
              </w:rPr>
              <w:t>$0.001 per</w:t>
            </w:r>
          </w:p>
        </w:tc>
        <w:tc>
          <w:tcPr>
            <w:tcW w:w="820" w:type="dxa"/>
            <w:vAlign w:val="bottom"/>
            <w:tcBorders>
              <w:right w:val="single" w:sz="8" w:color="auto"/>
            </w:tcBorders>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110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4"/>
              </w:rPr>
              <w:t>November 4,</w:t>
            </w:r>
          </w:p>
        </w:tc>
        <w:tc>
          <w:tcPr>
            <w:tcW w:w="8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76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4"/>
                <w:szCs w:val="14"/>
                <w:color w:val="auto"/>
                <w:w w:val="91"/>
              </w:rPr>
              <w:t>Securities</w:t>
            </w:r>
          </w:p>
        </w:tc>
        <w:tc>
          <w:tcPr>
            <w:tcW w:w="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7"/>
              </w:rPr>
              <w:t>Equity</w:t>
            </w:r>
          </w:p>
        </w:tc>
        <w:tc>
          <w:tcPr>
            <w:tcW w:w="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5"/>
              </w:rPr>
              <w:t>share</w:t>
            </w:r>
          </w:p>
        </w:tc>
        <w:tc>
          <w:tcPr>
            <w:tcW w:w="82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457(b)</w:t>
            </w:r>
          </w:p>
        </w:tc>
        <w:tc>
          <w:tcPr>
            <w:tcW w:w="1180" w:type="dxa"/>
            <w:vAlign w:val="bottom"/>
            <w:tcBorders>
              <w:bottom w:val="single" w:sz="8" w:color="auto"/>
              <w:right w:val="single" w:sz="8" w:color="auto"/>
            </w:tcBorders>
          </w:tcPr>
          <w:p>
            <w:pPr>
              <w:jc w:val="right"/>
              <w:ind w:right="188"/>
              <w:spacing w:after="0"/>
              <w:rPr>
                <w:sz w:val="20"/>
                <w:szCs w:val="20"/>
                <w:color w:val="auto"/>
              </w:rPr>
            </w:pPr>
            <w:r>
              <w:rPr>
                <w:rFonts w:ascii="Arial" w:cs="Arial" w:eastAsia="Arial" w:hAnsi="Arial"/>
                <w:sz w:val="14"/>
                <w:szCs w:val="14"/>
                <w:color w:val="auto"/>
                <w:w w:val="91"/>
              </w:rPr>
              <w:t>$ 80,913,050(7)</w:t>
            </w:r>
          </w:p>
        </w:tc>
        <w:tc>
          <w:tcPr>
            <w:tcW w:w="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N/A</w:t>
            </w:r>
          </w:p>
        </w:tc>
        <w:tc>
          <w:tcPr>
            <w:tcW w:w="1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2"/>
              </w:rPr>
              <w:t>$80,913,050</w:t>
            </w:r>
          </w:p>
        </w:tc>
        <w:tc>
          <w:tcPr>
            <w:tcW w:w="7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4"/>
                <w:szCs w:val="14"/>
                <w:color w:val="auto"/>
                <w:w w:val="96"/>
              </w:rPr>
              <w:t>0.0000927</w:t>
            </w:r>
          </w:p>
        </w:tc>
        <w:tc>
          <w:tcPr>
            <w:tcW w:w="9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$7,500.64(7)</w:t>
            </w:r>
          </w:p>
        </w:tc>
        <w:tc>
          <w:tcPr>
            <w:tcW w:w="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S-3ASR</w:t>
            </w:r>
          </w:p>
        </w:tc>
        <w:tc>
          <w:tcPr>
            <w:tcW w:w="8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333-260754</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9"/>
              </w:rPr>
              <w:t>2021</w:t>
            </w:r>
          </w:p>
        </w:tc>
        <w:tc>
          <w:tcPr>
            <w:tcW w:w="880" w:type="dxa"/>
            <w:vAlign w:val="bottom"/>
            <w:tcBorders>
              <w:bottom w:val="single" w:sz="8" w:color="auto"/>
              <w:right w:val="single" w:sz="8" w:color="auto"/>
            </w:tcBorders>
          </w:tcPr>
          <w:p>
            <w:pPr>
              <w:jc w:val="right"/>
              <w:ind w:right="28"/>
              <w:spacing w:after="0"/>
              <w:rPr>
                <w:sz w:val="20"/>
                <w:szCs w:val="20"/>
                <w:color w:val="auto"/>
              </w:rPr>
            </w:pPr>
            <w:r>
              <w:rPr>
                <w:rFonts w:ascii="Arial" w:cs="Arial" w:eastAsia="Arial" w:hAnsi="Arial"/>
                <w:sz w:val="14"/>
                <w:szCs w:val="14"/>
                <w:color w:val="auto"/>
              </w:rPr>
              <w:t>$7,500.64</w:t>
            </w:r>
          </w:p>
        </w:tc>
        <w:tc>
          <w:tcPr>
            <w:tcW w:w="0" w:type="dxa"/>
            <w:vAlign w:val="bottom"/>
          </w:tcPr>
          <w:p>
            <w:pPr>
              <w:spacing w:after="0"/>
              <w:rPr>
                <w:sz w:val="1"/>
                <w:szCs w:val="1"/>
                <w:color w:val="auto"/>
              </w:rPr>
            </w:pPr>
          </w:p>
        </w:tc>
      </w:tr>
      <w:tr>
        <w:trPr>
          <w:trHeight w:val="123"/>
        </w:trPr>
        <w:tc>
          <w:tcPr>
            <w:tcW w:w="760" w:type="dxa"/>
            <w:vAlign w:val="bottom"/>
            <w:tcBorders>
              <w:left w:val="single" w:sz="8" w:color="auto"/>
              <w:right w:val="single" w:sz="8" w:color="auto"/>
            </w:tcBorders>
          </w:tcPr>
          <w:p>
            <w:pPr>
              <w:spacing w:after="0"/>
              <w:rPr>
                <w:sz w:val="10"/>
                <w:szCs w:val="10"/>
                <w:color w:val="auto"/>
              </w:rPr>
            </w:pPr>
          </w:p>
        </w:tc>
        <w:tc>
          <w:tcPr>
            <w:tcW w:w="740" w:type="dxa"/>
            <w:vAlign w:val="bottom"/>
            <w:tcBorders>
              <w:right w:val="single" w:sz="8" w:color="auto"/>
            </w:tcBorders>
          </w:tcPr>
          <w:p>
            <w:pPr>
              <w:spacing w:after="0"/>
              <w:rPr>
                <w:sz w:val="10"/>
                <w:szCs w:val="10"/>
                <w:color w:val="auto"/>
              </w:rPr>
            </w:pPr>
          </w:p>
        </w:tc>
        <w:tc>
          <w:tcPr>
            <w:tcW w:w="720" w:type="dxa"/>
            <w:vAlign w:val="bottom"/>
            <w:tcBorders>
              <w:right w:val="single" w:sz="8" w:color="auto"/>
            </w:tcBorders>
          </w:tcPr>
          <w:p>
            <w:pPr>
              <w:jc w:val="center"/>
              <w:spacing w:after="0" w:line="123" w:lineRule="exact"/>
              <w:rPr>
                <w:sz w:val="20"/>
                <w:szCs w:val="20"/>
                <w:color w:val="auto"/>
              </w:rPr>
            </w:pPr>
            <w:r>
              <w:rPr>
                <w:rFonts w:ascii="Arial" w:cs="Arial" w:eastAsia="Arial" w:hAnsi="Arial"/>
                <w:sz w:val="14"/>
                <w:szCs w:val="14"/>
                <w:color w:val="auto"/>
                <w:w w:val="95"/>
              </w:rPr>
              <w:t>Common</w:t>
            </w:r>
          </w:p>
        </w:tc>
        <w:tc>
          <w:tcPr>
            <w:tcW w:w="820" w:type="dxa"/>
            <w:vAlign w:val="bottom"/>
            <w:tcBorders>
              <w:right w:val="single" w:sz="8" w:color="auto"/>
            </w:tcBorders>
          </w:tcPr>
          <w:p>
            <w:pPr>
              <w:spacing w:after="0"/>
              <w:rPr>
                <w:sz w:val="10"/>
                <w:szCs w:val="10"/>
                <w:color w:val="auto"/>
              </w:rPr>
            </w:pPr>
          </w:p>
        </w:tc>
        <w:tc>
          <w:tcPr>
            <w:tcW w:w="1180" w:type="dxa"/>
            <w:vAlign w:val="bottom"/>
            <w:tcBorders>
              <w:right w:val="single" w:sz="8" w:color="auto"/>
            </w:tcBorders>
          </w:tcPr>
          <w:p>
            <w:pPr>
              <w:spacing w:after="0"/>
              <w:rPr>
                <w:sz w:val="10"/>
                <w:szCs w:val="10"/>
                <w:color w:val="auto"/>
              </w:rPr>
            </w:pPr>
          </w:p>
        </w:tc>
        <w:tc>
          <w:tcPr>
            <w:tcW w:w="680" w:type="dxa"/>
            <w:vAlign w:val="bottom"/>
            <w:tcBorders>
              <w:right w:val="single" w:sz="8" w:color="auto"/>
            </w:tcBorders>
          </w:tcPr>
          <w:p>
            <w:pPr>
              <w:spacing w:after="0"/>
              <w:rPr>
                <w:sz w:val="10"/>
                <w:szCs w:val="10"/>
                <w:color w:val="auto"/>
              </w:rPr>
            </w:pPr>
          </w:p>
        </w:tc>
        <w:tc>
          <w:tcPr>
            <w:tcW w:w="1100" w:type="dxa"/>
            <w:vAlign w:val="bottom"/>
            <w:tcBorders>
              <w:right w:val="single" w:sz="8" w:color="auto"/>
            </w:tcBorders>
          </w:tcPr>
          <w:p>
            <w:pPr>
              <w:spacing w:after="0"/>
              <w:rPr>
                <w:sz w:val="10"/>
                <w:szCs w:val="10"/>
                <w:color w:val="auto"/>
              </w:rPr>
            </w:pPr>
          </w:p>
        </w:tc>
        <w:tc>
          <w:tcPr>
            <w:tcW w:w="760" w:type="dxa"/>
            <w:vAlign w:val="bottom"/>
            <w:tcBorders>
              <w:right w:val="single" w:sz="8" w:color="auto"/>
            </w:tcBorders>
          </w:tcPr>
          <w:p>
            <w:pPr>
              <w:spacing w:after="0"/>
              <w:rPr>
                <w:sz w:val="10"/>
                <w:szCs w:val="10"/>
                <w:color w:val="auto"/>
              </w:rPr>
            </w:pPr>
          </w:p>
        </w:tc>
        <w:tc>
          <w:tcPr>
            <w:tcW w:w="960" w:type="dxa"/>
            <w:vAlign w:val="bottom"/>
            <w:tcBorders>
              <w:right w:val="single" w:sz="8" w:color="auto"/>
            </w:tcBorders>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840" w:type="dxa"/>
            <w:vAlign w:val="bottom"/>
            <w:tcBorders>
              <w:right w:val="single" w:sz="8" w:color="auto"/>
            </w:tcBorders>
          </w:tcPr>
          <w:p>
            <w:pPr>
              <w:spacing w:after="0"/>
              <w:rPr>
                <w:sz w:val="10"/>
                <w:szCs w:val="10"/>
                <w:color w:val="auto"/>
              </w:rPr>
            </w:pPr>
          </w:p>
        </w:tc>
        <w:tc>
          <w:tcPr>
            <w:tcW w:w="900" w:type="dxa"/>
            <w:vAlign w:val="bottom"/>
            <w:tcBorders>
              <w:right w:val="single" w:sz="8" w:color="auto"/>
            </w:tcBorders>
          </w:tcPr>
          <w:p>
            <w:pPr>
              <w:spacing w:after="0"/>
              <w:rPr>
                <w:sz w:val="10"/>
                <w:szCs w:val="10"/>
                <w:color w:val="auto"/>
              </w:rPr>
            </w:pPr>
          </w:p>
        </w:tc>
        <w:tc>
          <w:tcPr>
            <w:tcW w:w="8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760" w:type="dxa"/>
            <w:vAlign w:val="bottom"/>
            <w:tcBorders>
              <w:left w:val="single" w:sz="8" w:color="auto"/>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1"/>
              </w:rPr>
              <w:t>Stock, par</w:t>
            </w:r>
          </w:p>
        </w:tc>
        <w:tc>
          <w:tcPr>
            <w:tcW w:w="820" w:type="dxa"/>
            <w:vAlign w:val="bottom"/>
            <w:tcBorders>
              <w:right w:val="single" w:sz="8" w:color="auto"/>
            </w:tcBorders>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110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60" w:type="dxa"/>
            <w:vAlign w:val="bottom"/>
            <w:tcBorders>
              <w:left w:val="single" w:sz="8" w:color="auto"/>
              <w:right w:val="single" w:sz="8" w:color="auto"/>
            </w:tcBorders>
          </w:tcPr>
          <w:p>
            <w:pPr>
              <w:ind w:left="160"/>
              <w:spacing w:after="0" w:line="149" w:lineRule="exact"/>
              <w:rPr>
                <w:sz w:val="20"/>
                <w:szCs w:val="20"/>
                <w:color w:val="auto"/>
              </w:rPr>
            </w:pPr>
            <w:r>
              <w:rPr>
                <w:rFonts w:ascii="Arial" w:cs="Arial" w:eastAsia="Arial" w:hAnsi="Arial"/>
                <w:sz w:val="14"/>
                <w:szCs w:val="14"/>
                <w:color w:val="auto"/>
              </w:rPr>
              <w:t>Carry</w:t>
            </w:r>
          </w:p>
        </w:tc>
        <w:tc>
          <w:tcPr>
            <w:tcW w:w="74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89"/>
              </w:rPr>
              <w:t>value</w:t>
            </w:r>
          </w:p>
        </w:tc>
        <w:tc>
          <w:tcPr>
            <w:tcW w:w="820" w:type="dxa"/>
            <w:vAlign w:val="bottom"/>
            <w:tcBorders>
              <w:right w:val="single" w:sz="8" w:color="auto"/>
            </w:tcBorders>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110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60" w:type="dxa"/>
            <w:vAlign w:val="bottom"/>
            <w:tcBorders>
              <w:left w:val="single" w:sz="8" w:color="auto"/>
              <w:right w:val="single" w:sz="8" w:color="auto"/>
            </w:tcBorders>
          </w:tcPr>
          <w:p>
            <w:pPr>
              <w:ind w:left="160"/>
              <w:spacing w:after="0" w:line="149" w:lineRule="exact"/>
              <w:rPr>
                <w:sz w:val="20"/>
                <w:szCs w:val="20"/>
                <w:color w:val="auto"/>
              </w:rPr>
            </w:pPr>
            <w:r>
              <w:rPr>
                <w:rFonts w:ascii="Arial" w:cs="Arial" w:eastAsia="Arial" w:hAnsi="Arial"/>
                <w:sz w:val="14"/>
                <w:szCs w:val="14"/>
                <w:color w:val="auto"/>
              </w:rPr>
              <w:t>Forward</w:t>
            </w:r>
          </w:p>
        </w:tc>
        <w:tc>
          <w:tcPr>
            <w:tcW w:w="74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2"/>
              </w:rPr>
              <w:t>$0.001 per</w:t>
            </w:r>
          </w:p>
        </w:tc>
        <w:tc>
          <w:tcPr>
            <w:tcW w:w="820" w:type="dxa"/>
            <w:vAlign w:val="bottom"/>
            <w:tcBorders>
              <w:right w:val="single" w:sz="8" w:color="auto"/>
            </w:tcBorders>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110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2"/>
              </w:rPr>
              <w:t>August 11,</w:t>
            </w:r>
          </w:p>
        </w:tc>
        <w:tc>
          <w:tcPr>
            <w:tcW w:w="8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76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4"/>
                <w:szCs w:val="14"/>
                <w:color w:val="auto"/>
                <w:w w:val="91"/>
              </w:rPr>
              <w:t>Securities</w:t>
            </w:r>
          </w:p>
        </w:tc>
        <w:tc>
          <w:tcPr>
            <w:tcW w:w="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7"/>
              </w:rPr>
              <w:t>Equity</w:t>
            </w:r>
          </w:p>
        </w:tc>
        <w:tc>
          <w:tcPr>
            <w:tcW w:w="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5"/>
              </w:rPr>
              <w:t>share</w:t>
            </w:r>
          </w:p>
        </w:tc>
        <w:tc>
          <w:tcPr>
            <w:tcW w:w="82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457(b)</w:t>
            </w:r>
          </w:p>
        </w:tc>
        <w:tc>
          <w:tcPr>
            <w:tcW w:w="1180" w:type="dxa"/>
            <w:vAlign w:val="bottom"/>
            <w:tcBorders>
              <w:bottom w:val="single" w:sz="8" w:color="auto"/>
              <w:right w:val="single" w:sz="8" w:color="auto"/>
            </w:tcBorders>
          </w:tcPr>
          <w:p>
            <w:pPr>
              <w:jc w:val="right"/>
              <w:ind w:right="188"/>
              <w:spacing w:after="0"/>
              <w:rPr>
                <w:sz w:val="20"/>
                <w:szCs w:val="20"/>
                <w:color w:val="auto"/>
              </w:rPr>
            </w:pPr>
            <w:r>
              <w:rPr>
                <w:rFonts w:ascii="Arial" w:cs="Arial" w:eastAsia="Arial" w:hAnsi="Arial"/>
                <w:sz w:val="14"/>
                <w:szCs w:val="14"/>
                <w:color w:val="auto"/>
                <w:w w:val="91"/>
              </w:rPr>
              <w:t>$ 69,086,950(7)</w:t>
            </w:r>
          </w:p>
        </w:tc>
        <w:tc>
          <w:tcPr>
            <w:tcW w:w="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N/A</w:t>
            </w:r>
          </w:p>
        </w:tc>
        <w:tc>
          <w:tcPr>
            <w:tcW w:w="1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2"/>
              </w:rPr>
              <w:t>$69,086,950</w:t>
            </w:r>
          </w:p>
        </w:tc>
        <w:tc>
          <w:tcPr>
            <w:tcW w:w="7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4"/>
                <w:szCs w:val="14"/>
                <w:color w:val="auto"/>
                <w:w w:val="96"/>
              </w:rPr>
              <w:t>0.0001298</w:t>
            </w:r>
          </w:p>
        </w:tc>
        <w:tc>
          <w:tcPr>
            <w:tcW w:w="9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$8,967.49(7)</w:t>
            </w:r>
          </w:p>
        </w:tc>
        <w:tc>
          <w:tcPr>
            <w:tcW w:w="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S-3</w:t>
            </w:r>
          </w:p>
        </w:tc>
        <w:tc>
          <w:tcPr>
            <w:tcW w:w="8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333-244136</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9"/>
              </w:rPr>
              <w:t>2020</w:t>
            </w:r>
          </w:p>
        </w:tc>
        <w:tc>
          <w:tcPr>
            <w:tcW w:w="880" w:type="dxa"/>
            <w:vAlign w:val="bottom"/>
            <w:tcBorders>
              <w:bottom w:val="single" w:sz="8" w:color="auto"/>
              <w:right w:val="single" w:sz="8" w:color="auto"/>
            </w:tcBorders>
          </w:tcPr>
          <w:p>
            <w:pPr>
              <w:jc w:val="right"/>
              <w:ind w:right="28"/>
              <w:spacing w:after="0"/>
              <w:rPr>
                <w:sz w:val="20"/>
                <w:szCs w:val="20"/>
                <w:color w:val="auto"/>
              </w:rPr>
            </w:pPr>
            <w:r>
              <w:rPr>
                <w:rFonts w:ascii="Arial" w:cs="Arial" w:eastAsia="Arial" w:hAnsi="Arial"/>
                <w:sz w:val="14"/>
                <w:szCs w:val="14"/>
                <w:color w:val="auto"/>
              </w:rPr>
              <w:t>$8,967.49</w:t>
            </w:r>
          </w:p>
        </w:tc>
        <w:tc>
          <w:tcPr>
            <w:tcW w:w="0" w:type="dxa"/>
            <w:vAlign w:val="bottom"/>
          </w:tcPr>
          <w:p>
            <w:pPr>
              <w:spacing w:after="0"/>
              <w:rPr>
                <w:sz w:val="1"/>
                <w:szCs w:val="1"/>
                <w:color w:val="auto"/>
              </w:rPr>
            </w:pPr>
          </w:p>
        </w:tc>
      </w:tr>
      <w:tr>
        <w:trPr>
          <w:trHeight w:val="142"/>
        </w:trPr>
        <w:tc>
          <w:tcPr>
            <w:tcW w:w="760" w:type="dxa"/>
            <w:vAlign w:val="bottom"/>
            <w:tcBorders>
              <w:left w:val="single" w:sz="8" w:color="auto"/>
              <w:bottom w:val="single" w:sz="8" w:color="auto"/>
            </w:tcBorders>
          </w:tcPr>
          <w:p>
            <w:pPr>
              <w:spacing w:after="0"/>
              <w:rPr>
                <w:sz w:val="12"/>
                <w:szCs w:val="12"/>
                <w:color w:val="auto"/>
              </w:rPr>
            </w:pPr>
          </w:p>
        </w:tc>
        <w:tc>
          <w:tcPr>
            <w:tcW w:w="2280" w:type="dxa"/>
            <w:vAlign w:val="bottom"/>
            <w:tcBorders>
              <w:bottom w:val="single" w:sz="8" w:color="auto"/>
            </w:tcBorders>
            <w:gridSpan w:val="3"/>
          </w:tcPr>
          <w:p>
            <w:pPr>
              <w:jc w:val="center"/>
              <w:ind w:left="248"/>
              <w:spacing w:after="0" w:line="142" w:lineRule="exact"/>
              <w:rPr>
                <w:sz w:val="20"/>
                <w:szCs w:val="20"/>
                <w:color w:val="auto"/>
              </w:rPr>
            </w:pPr>
            <w:r>
              <w:rPr>
                <w:rFonts w:ascii="Arial" w:cs="Arial" w:eastAsia="Arial" w:hAnsi="Arial"/>
                <w:sz w:val="14"/>
                <w:szCs w:val="14"/>
                <w:b w:val="1"/>
                <w:bCs w:val="1"/>
                <w:color w:val="auto"/>
                <w:w w:val="94"/>
              </w:rPr>
              <w:t>Total Offering Amounts</w:t>
            </w:r>
          </w:p>
        </w:tc>
        <w:tc>
          <w:tcPr>
            <w:tcW w:w="1180" w:type="dxa"/>
            <w:vAlign w:val="bottom"/>
            <w:tcBorders>
              <w:bottom w:val="single" w:sz="8" w:color="auto"/>
              <w:right w:val="single" w:sz="8" w:color="auto"/>
            </w:tcBorders>
          </w:tcPr>
          <w:p>
            <w:pPr>
              <w:spacing w:after="0"/>
              <w:rPr>
                <w:sz w:val="12"/>
                <w:szCs w:val="12"/>
                <w:color w:val="auto"/>
              </w:rPr>
            </w:pPr>
          </w:p>
        </w:tc>
        <w:tc>
          <w:tcPr>
            <w:tcW w:w="680" w:type="dxa"/>
            <w:vAlign w:val="bottom"/>
            <w:tcBorders>
              <w:bottom w:val="single" w:sz="8" w:color="auto"/>
              <w:right w:val="single" w:sz="8" w:color="auto"/>
            </w:tcBorders>
          </w:tcPr>
          <w:p>
            <w:pPr>
              <w:spacing w:after="0"/>
              <w:rPr>
                <w:sz w:val="12"/>
                <w:szCs w:val="12"/>
                <w:color w:val="auto"/>
              </w:rPr>
            </w:pPr>
          </w:p>
        </w:tc>
        <w:tc>
          <w:tcPr>
            <w:tcW w:w="110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3"/>
              </w:rPr>
              <w:t>$250,000,000(7)</w:t>
            </w:r>
          </w:p>
        </w:tc>
        <w:tc>
          <w:tcPr>
            <w:tcW w:w="760" w:type="dxa"/>
            <w:vAlign w:val="bottom"/>
            <w:tcBorders>
              <w:bottom w:val="single" w:sz="8" w:color="auto"/>
              <w:right w:val="single" w:sz="8" w:color="auto"/>
            </w:tcBorders>
          </w:tcPr>
          <w:p>
            <w:pPr>
              <w:ind w:left="80"/>
              <w:spacing w:after="0" w:line="142" w:lineRule="exact"/>
              <w:rPr>
                <w:sz w:val="20"/>
                <w:szCs w:val="20"/>
                <w:color w:val="auto"/>
              </w:rPr>
            </w:pPr>
            <w:r>
              <w:rPr>
                <w:rFonts w:ascii="Arial" w:cs="Arial" w:eastAsia="Arial" w:hAnsi="Arial"/>
                <w:sz w:val="14"/>
                <w:szCs w:val="14"/>
                <w:color w:val="auto"/>
                <w:w w:val="96"/>
              </w:rPr>
              <w:t>0.0000927</w:t>
            </w:r>
          </w:p>
        </w:tc>
        <w:tc>
          <w:tcPr>
            <w:tcW w:w="96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4"/>
              </w:rPr>
              <w:t>$23,175(7)</w:t>
            </w:r>
          </w:p>
        </w:tc>
        <w:tc>
          <w:tcPr>
            <w:tcW w:w="640" w:type="dxa"/>
            <w:vAlign w:val="bottom"/>
            <w:tcBorders>
              <w:bottom w:val="single" w:sz="8" w:color="auto"/>
              <w:right w:val="single" w:sz="8" w:color="auto"/>
            </w:tcBorders>
          </w:tcPr>
          <w:p>
            <w:pPr>
              <w:spacing w:after="0"/>
              <w:rPr>
                <w:sz w:val="12"/>
                <w:szCs w:val="12"/>
                <w:color w:val="auto"/>
              </w:rPr>
            </w:pPr>
          </w:p>
        </w:tc>
        <w:tc>
          <w:tcPr>
            <w:tcW w:w="840" w:type="dxa"/>
            <w:vAlign w:val="bottom"/>
            <w:tcBorders>
              <w:bottom w:val="single" w:sz="8" w:color="auto"/>
              <w:right w:val="single" w:sz="8" w:color="auto"/>
            </w:tcBorders>
          </w:tcPr>
          <w:p>
            <w:pPr>
              <w:spacing w:after="0"/>
              <w:rPr>
                <w:sz w:val="12"/>
                <w:szCs w:val="12"/>
                <w:color w:val="auto"/>
              </w:rPr>
            </w:pPr>
          </w:p>
        </w:tc>
        <w:tc>
          <w:tcPr>
            <w:tcW w:w="900" w:type="dxa"/>
            <w:vAlign w:val="bottom"/>
            <w:tcBorders>
              <w:bottom w:val="single" w:sz="8" w:color="auto"/>
              <w:right w:val="single" w:sz="8" w:color="auto"/>
            </w:tcBorders>
          </w:tcPr>
          <w:p>
            <w:pPr>
              <w:spacing w:after="0"/>
              <w:rPr>
                <w:sz w:val="12"/>
                <w:szCs w:val="12"/>
                <w:color w:val="auto"/>
              </w:rPr>
            </w:pPr>
          </w:p>
        </w:tc>
        <w:tc>
          <w:tcPr>
            <w:tcW w:w="88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60" w:type="dxa"/>
            <w:vAlign w:val="bottom"/>
            <w:tcBorders>
              <w:left w:val="single" w:sz="8" w:color="auto"/>
              <w:bottom w:val="single" w:sz="8" w:color="auto"/>
            </w:tcBorders>
          </w:tcPr>
          <w:p>
            <w:pPr>
              <w:spacing w:after="0"/>
              <w:rPr>
                <w:sz w:val="12"/>
                <w:szCs w:val="12"/>
                <w:color w:val="auto"/>
              </w:rPr>
            </w:pPr>
          </w:p>
        </w:tc>
        <w:tc>
          <w:tcPr>
            <w:tcW w:w="2280" w:type="dxa"/>
            <w:vAlign w:val="bottom"/>
            <w:tcBorders>
              <w:bottom w:val="single" w:sz="8" w:color="auto"/>
            </w:tcBorders>
            <w:gridSpan w:val="3"/>
          </w:tcPr>
          <w:p>
            <w:pPr>
              <w:jc w:val="center"/>
              <w:ind w:left="248"/>
              <w:spacing w:after="0" w:line="142" w:lineRule="exact"/>
              <w:rPr>
                <w:sz w:val="20"/>
                <w:szCs w:val="20"/>
                <w:color w:val="auto"/>
              </w:rPr>
            </w:pPr>
            <w:r>
              <w:rPr>
                <w:rFonts w:ascii="Arial" w:cs="Arial" w:eastAsia="Arial" w:hAnsi="Arial"/>
                <w:sz w:val="14"/>
                <w:szCs w:val="14"/>
                <w:b w:val="1"/>
                <w:bCs w:val="1"/>
                <w:color w:val="auto"/>
                <w:w w:val="90"/>
              </w:rPr>
              <w:t>Total Fees Previously Paid</w:t>
            </w:r>
          </w:p>
        </w:tc>
        <w:tc>
          <w:tcPr>
            <w:tcW w:w="1180" w:type="dxa"/>
            <w:vAlign w:val="bottom"/>
            <w:tcBorders>
              <w:bottom w:val="single" w:sz="8" w:color="auto"/>
              <w:right w:val="single" w:sz="8" w:color="auto"/>
            </w:tcBorders>
          </w:tcPr>
          <w:p>
            <w:pPr>
              <w:spacing w:after="0"/>
              <w:rPr>
                <w:sz w:val="12"/>
                <w:szCs w:val="12"/>
                <w:color w:val="auto"/>
              </w:rPr>
            </w:pPr>
          </w:p>
        </w:tc>
        <w:tc>
          <w:tcPr>
            <w:tcW w:w="680" w:type="dxa"/>
            <w:vAlign w:val="bottom"/>
            <w:tcBorders>
              <w:bottom w:val="single" w:sz="8" w:color="auto"/>
              <w:right w:val="single" w:sz="8" w:color="auto"/>
            </w:tcBorders>
          </w:tcPr>
          <w:p>
            <w:pPr>
              <w:spacing w:after="0"/>
              <w:rPr>
                <w:sz w:val="12"/>
                <w:szCs w:val="12"/>
                <w:color w:val="auto"/>
              </w:rPr>
            </w:pPr>
          </w:p>
        </w:tc>
        <w:tc>
          <w:tcPr>
            <w:tcW w:w="1100" w:type="dxa"/>
            <w:vAlign w:val="bottom"/>
            <w:tcBorders>
              <w:bottom w:val="single" w:sz="8" w:color="auto"/>
              <w:right w:val="single" w:sz="8" w:color="auto"/>
            </w:tcBorders>
          </w:tcPr>
          <w:p>
            <w:pPr>
              <w:spacing w:after="0"/>
              <w:rPr>
                <w:sz w:val="12"/>
                <w:szCs w:val="12"/>
                <w:color w:val="auto"/>
              </w:rPr>
            </w:pPr>
          </w:p>
        </w:tc>
        <w:tc>
          <w:tcPr>
            <w:tcW w:w="760" w:type="dxa"/>
            <w:vAlign w:val="bottom"/>
            <w:tcBorders>
              <w:bottom w:val="single" w:sz="8" w:color="auto"/>
              <w:right w:val="single" w:sz="8" w:color="auto"/>
            </w:tcBorders>
          </w:tcPr>
          <w:p>
            <w:pPr>
              <w:spacing w:after="0"/>
              <w:rPr>
                <w:sz w:val="12"/>
                <w:szCs w:val="12"/>
                <w:color w:val="auto"/>
              </w:rPr>
            </w:pPr>
          </w:p>
        </w:tc>
        <w:tc>
          <w:tcPr>
            <w:tcW w:w="96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4"/>
              </w:rPr>
              <w:t>$16,468.28(7)</w:t>
            </w:r>
          </w:p>
        </w:tc>
        <w:tc>
          <w:tcPr>
            <w:tcW w:w="640" w:type="dxa"/>
            <w:vAlign w:val="bottom"/>
            <w:tcBorders>
              <w:bottom w:val="single" w:sz="8" w:color="auto"/>
              <w:right w:val="single" w:sz="8" w:color="auto"/>
            </w:tcBorders>
          </w:tcPr>
          <w:p>
            <w:pPr>
              <w:spacing w:after="0"/>
              <w:rPr>
                <w:sz w:val="12"/>
                <w:szCs w:val="12"/>
                <w:color w:val="auto"/>
              </w:rPr>
            </w:pPr>
          </w:p>
        </w:tc>
        <w:tc>
          <w:tcPr>
            <w:tcW w:w="840" w:type="dxa"/>
            <w:vAlign w:val="bottom"/>
            <w:tcBorders>
              <w:bottom w:val="single" w:sz="8" w:color="auto"/>
              <w:right w:val="single" w:sz="8" w:color="auto"/>
            </w:tcBorders>
          </w:tcPr>
          <w:p>
            <w:pPr>
              <w:spacing w:after="0"/>
              <w:rPr>
                <w:sz w:val="12"/>
                <w:szCs w:val="12"/>
                <w:color w:val="auto"/>
              </w:rPr>
            </w:pPr>
          </w:p>
        </w:tc>
        <w:tc>
          <w:tcPr>
            <w:tcW w:w="900" w:type="dxa"/>
            <w:vAlign w:val="bottom"/>
            <w:tcBorders>
              <w:bottom w:val="single" w:sz="8" w:color="auto"/>
              <w:right w:val="single" w:sz="8" w:color="auto"/>
            </w:tcBorders>
          </w:tcPr>
          <w:p>
            <w:pPr>
              <w:spacing w:after="0"/>
              <w:rPr>
                <w:sz w:val="12"/>
                <w:szCs w:val="12"/>
                <w:color w:val="auto"/>
              </w:rPr>
            </w:pPr>
          </w:p>
        </w:tc>
        <w:tc>
          <w:tcPr>
            <w:tcW w:w="88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60" w:type="dxa"/>
            <w:vAlign w:val="bottom"/>
            <w:tcBorders>
              <w:left w:val="single" w:sz="8" w:color="auto"/>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gridSpan w:val="2"/>
          </w:tcPr>
          <w:p>
            <w:pPr>
              <w:jc w:val="center"/>
              <w:ind w:right="348"/>
              <w:spacing w:after="0" w:line="142" w:lineRule="exact"/>
              <w:rPr>
                <w:sz w:val="20"/>
                <w:szCs w:val="20"/>
                <w:color w:val="auto"/>
              </w:rPr>
            </w:pPr>
            <w:r>
              <w:rPr>
                <w:rFonts w:ascii="Arial" w:cs="Arial" w:eastAsia="Arial" w:hAnsi="Arial"/>
                <w:sz w:val="14"/>
                <w:szCs w:val="14"/>
                <w:b w:val="1"/>
                <w:bCs w:val="1"/>
                <w:color w:val="auto"/>
                <w:w w:val="91"/>
              </w:rPr>
              <w:t>Total Fee Offsets</w:t>
            </w:r>
          </w:p>
        </w:tc>
        <w:tc>
          <w:tcPr>
            <w:tcW w:w="1180" w:type="dxa"/>
            <w:vAlign w:val="bottom"/>
            <w:tcBorders>
              <w:bottom w:val="single" w:sz="8" w:color="auto"/>
              <w:right w:val="single" w:sz="8" w:color="auto"/>
            </w:tcBorders>
          </w:tcPr>
          <w:p>
            <w:pPr>
              <w:spacing w:after="0"/>
              <w:rPr>
                <w:sz w:val="12"/>
                <w:szCs w:val="12"/>
                <w:color w:val="auto"/>
              </w:rPr>
            </w:pPr>
          </w:p>
        </w:tc>
        <w:tc>
          <w:tcPr>
            <w:tcW w:w="680" w:type="dxa"/>
            <w:vAlign w:val="bottom"/>
            <w:tcBorders>
              <w:bottom w:val="single" w:sz="8" w:color="auto"/>
              <w:right w:val="single" w:sz="8" w:color="auto"/>
            </w:tcBorders>
          </w:tcPr>
          <w:p>
            <w:pPr>
              <w:spacing w:after="0"/>
              <w:rPr>
                <w:sz w:val="12"/>
                <w:szCs w:val="12"/>
                <w:color w:val="auto"/>
              </w:rPr>
            </w:pPr>
          </w:p>
        </w:tc>
        <w:tc>
          <w:tcPr>
            <w:tcW w:w="1100" w:type="dxa"/>
            <w:vAlign w:val="bottom"/>
            <w:tcBorders>
              <w:bottom w:val="single" w:sz="8" w:color="auto"/>
              <w:right w:val="single" w:sz="8" w:color="auto"/>
            </w:tcBorders>
          </w:tcPr>
          <w:p>
            <w:pPr>
              <w:spacing w:after="0"/>
              <w:rPr>
                <w:sz w:val="12"/>
                <w:szCs w:val="12"/>
                <w:color w:val="auto"/>
              </w:rPr>
            </w:pPr>
          </w:p>
        </w:tc>
        <w:tc>
          <w:tcPr>
            <w:tcW w:w="760" w:type="dxa"/>
            <w:vAlign w:val="bottom"/>
            <w:tcBorders>
              <w:bottom w:val="single" w:sz="8" w:color="auto"/>
              <w:right w:val="single" w:sz="8" w:color="auto"/>
            </w:tcBorders>
          </w:tcPr>
          <w:p>
            <w:pPr>
              <w:spacing w:after="0"/>
              <w:rPr>
                <w:sz w:val="12"/>
                <w:szCs w:val="12"/>
                <w:color w:val="auto"/>
              </w:rPr>
            </w:pPr>
          </w:p>
        </w:tc>
        <w:tc>
          <w:tcPr>
            <w:tcW w:w="96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9"/>
              </w:rPr>
              <w:t>—</w:t>
            </w:r>
          </w:p>
        </w:tc>
        <w:tc>
          <w:tcPr>
            <w:tcW w:w="640" w:type="dxa"/>
            <w:vAlign w:val="bottom"/>
            <w:tcBorders>
              <w:bottom w:val="single" w:sz="8" w:color="auto"/>
              <w:right w:val="single" w:sz="8" w:color="auto"/>
            </w:tcBorders>
          </w:tcPr>
          <w:p>
            <w:pPr>
              <w:spacing w:after="0"/>
              <w:rPr>
                <w:sz w:val="12"/>
                <w:szCs w:val="12"/>
                <w:color w:val="auto"/>
              </w:rPr>
            </w:pPr>
          </w:p>
        </w:tc>
        <w:tc>
          <w:tcPr>
            <w:tcW w:w="840" w:type="dxa"/>
            <w:vAlign w:val="bottom"/>
            <w:tcBorders>
              <w:bottom w:val="single" w:sz="8" w:color="auto"/>
              <w:right w:val="single" w:sz="8" w:color="auto"/>
            </w:tcBorders>
          </w:tcPr>
          <w:p>
            <w:pPr>
              <w:spacing w:after="0"/>
              <w:rPr>
                <w:sz w:val="12"/>
                <w:szCs w:val="12"/>
                <w:color w:val="auto"/>
              </w:rPr>
            </w:pPr>
          </w:p>
        </w:tc>
        <w:tc>
          <w:tcPr>
            <w:tcW w:w="900" w:type="dxa"/>
            <w:vAlign w:val="bottom"/>
            <w:tcBorders>
              <w:bottom w:val="single" w:sz="8" w:color="auto"/>
              <w:right w:val="single" w:sz="8" w:color="auto"/>
            </w:tcBorders>
          </w:tcPr>
          <w:p>
            <w:pPr>
              <w:spacing w:after="0"/>
              <w:rPr>
                <w:sz w:val="12"/>
                <w:szCs w:val="12"/>
                <w:color w:val="auto"/>
              </w:rPr>
            </w:pPr>
          </w:p>
        </w:tc>
        <w:tc>
          <w:tcPr>
            <w:tcW w:w="88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60" w:type="dxa"/>
            <w:vAlign w:val="bottom"/>
            <w:tcBorders>
              <w:left w:val="single" w:sz="8" w:color="auto"/>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gridSpan w:val="2"/>
          </w:tcPr>
          <w:p>
            <w:pPr>
              <w:jc w:val="center"/>
              <w:ind w:right="348"/>
              <w:spacing w:after="0" w:line="142" w:lineRule="exact"/>
              <w:rPr>
                <w:sz w:val="20"/>
                <w:szCs w:val="20"/>
                <w:color w:val="auto"/>
              </w:rPr>
            </w:pPr>
            <w:r>
              <w:rPr>
                <w:rFonts w:ascii="Arial" w:cs="Arial" w:eastAsia="Arial" w:hAnsi="Arial"/>
                <w:sz w:val="14"/>
                <w:szCs w:val="14"/>
                <w:b w:val="1"/>
                <w:bCs w:val="1"/>
                <w:color w:val="auto"/>
                <w:w w:val="93"/>
              </w:rPr>
              <w:t>Net Fee Due</w:t>
            </w:r>
          </w:p>
        </w:tc>
        <w:tc>
          <w:tcPr>
            <w:tcW w:w="1180" w:type="dxa"/>
            <w:vAlign w:val="bottom"/>
            <w:tcBorders>
              <w:bottom w:val="single" w:sz="8" w:color="auto"/>
              <w:right w:val="single" w:sz="8" w:color="auto"/>
            </w:tcBorders>
          </w:tcPr>
          <w:p>
            <w:pPr>
              <w:spacing w:after="0"/>
              <w:rPr>
                <w:sz w:val="12"/>
                <w:szCs w:val="12"/>
                <w:color w:val="auto"/>
              </w:rPr>
            </w:pPr>
          </w:p>
        </w:tc>
        <w:tc>
          <w:tcPr>
            <w:tcW w:w="680" w:type="dxa"/>
            <w:vAlign w:val="bottom"/>
            <w:tcBorders>
              <w:bottom w:val="single" w:sz="8" w:color="auto"/>
              <w:right w:val="single" w:sz="8" w:color="auto"/>
            </w:tcBorders>
          </w:tcPr>
          <w:p>
            <w:pPr>
              <w:spacing w:after="0"/>
              <w:rPr>
                <w:sz w:val="12"/>
                <w:szCs w:val="12"/>
                <w:color w:val="auto"/>
              </w:rPr>
            </w:pPr>
          </w:p>
        </w:tc>
        <w:tc>
          <w:tcPr>
            <w:tcW w:w="1100" w:type="dxa"/>
            <w:vAlign w:val="bottom"/>
            <w:tcBorders>
              <w:bottom w:val="single" w:sz="8" w:color="auto"/>
              <w:right w:val="single" w:sz="8" w:color="auto"/>
            </w:tcBorders>
          </w:tcPr>
          <w:p>
            <w:pPr>
              <w:spacing w:after="0"/>
              <w:rPr>
                <w:sz w:val="12"/>
                <w:szCs w:val="12"/>
                <w:color w:val="auto"/>
              </w:rPr>
            </w:pPr>
          </w:p>
        </w:tc>
        <w:tc>
          <w:tcPr>
            <w:tcW w:w="760" w:type="dxa"/>
            <w:vAlign w:val="bottom"/>
            <w:tcBorders>
              <w:bottom w:val="single" w:sz="8" w:color="auto"/>
              <w:right w:val="single" w:sz="8" w:color="auto"/>
            </w:tcBorders>
          </w:tcPr>
          <w:p>
            <w:pPr>
              <w:spacing w:after="0"/>
              <w:rPr>
                <w:sz w:val="12"/>
                <w:szCs w:val="12"/>
                <w:color w:val="auto"/>
              </w:rPr>
            </w:pPr>
          </w:p>
        </w:tc>
        <w:tc>
          <w:tcPr>
            <w:tcW w:w="96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3"/>
              </w:rPr>
              <w:t>$9,270</w:t>
            </w:r>
          </w:p>
        </w:tc>
        <w:tc>
          <w:tcPr>
            <w:tcW w:w="640" w:type="dxa"/>
            <w:vAlign w:val="bottom"/>
            <w:tcBorders>
              <w:bottom w:val="single" w:sz="8" w:color="auto"/>
              <w:right w:val="single" w:sz="8" w:color="auto"/>
            </w:tcBorders>
          </w:tcPr>
          <w:p>
            <w:pPr>
              <w:spacing w:after="0"/>
              <w:rPr>
                <w:sz w:val="12"/>
                <w:szCs w:val="12"/>
                <w:color w:val="auto"/>
              </w:rPr>
            </w:pPr>
          </w:p>
        </w:tc>
        <w:tc>
          <w:tcPr>
            <w:tcW w:w="840" w:type="dxa"/>
            <w:vAlign w:val="bottom"/>
            <w:tcBorders>
              <w:bottom w:val="single" w:sz="8" w:color="auto"/>
              <w:right w:val="single" w:sz="8" w:color="auto"/>
            </w:tcBorders>
          </w:tcPr>
          <w:p>
            <w:pPr>
              <w:spacing w:after="0"/>
              <w:rPr>
                <w:sz w:val="12"/>
                <w:szCs w:val="12"/>
                <w:color w:val="auto"/>
              </w:rPr>
            </w:pPr>
          </w:p>
        </w:tc>
        <w:tc>
          <w:tcPr>
            <w:tcW w:w="900" w:type="dxa"/>
            <w:vAlign w:val="bottom"/>
            <w:tcBorders>
              <w:bottom w:val="single" w:sz="8" w:color="auto"/>
              <w:right w:val="single" w:sz="8" w:color="auto"/>
            </w:tcBorders>
          </w:tcPr>
          <w:p>
            <w:pPr>
              <w:spacing w:after="0"/>
              <w:rPr>
                <w:sz w:val="12"/>
                <w:szCs w:val="12"/>
                <w:color w:val="auto"/>
              </w:rPr>
            </w:pPr>
          </w:p>
        </w:tc>
        <w:tc>
          <w:tcPr>
            <w:tcW w:w="88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ind w:left="424" w:right="60" w:hanging="424"/>
        <w:spacing w:after="0" w:line="265" w:lineRule="auto"/>
        <w:tabs>
          <w:tab w:leader="none" w:pos="424"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amount to be registered consists of up to $250,000,000 of an indeterminate amount of debt securities, common stock, preferred stock, depositary shares, warrants and/or units. There is also being registered hereunder such currently indeterminate number of (i) shares of common stock or other securities of the registrant as may be issued upon conversion of, or in exchange for, convertible or exchangeable debt securities and/or preferred stock registered hereby, or (ii) shares of preferred stock, common stock, debt securities or units as may be issued upon exercise of warrants registered hereby, as the case may be, or in each case, pursuant to the antidilution provisions of such securities. Any securities registered hereunder may be sold separately or as units with the other securities registered hereunder.</w:t>
      </w:r>
    </w:p>
    <w:p>
      <w:pPr>
        <w:ind w:left="424" w:right="20" w:hanging="424"/>
        <w:spacing w:after="0" w:line="250" w:lineRule="auto"/>
        <w:tabs>
          <w:tab w:leader="none" w:pos="424"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proposed maximum aggregate offering price per unit will be determined from time to time by the registrant in connection with the issuance by the registrant of the securities registered hereunder and is not specified as to each class of security pursuant to General Instruction II.D. of Form S-3 under the Securities Act.</w:t>
      </w:r>
    </w:p>
    <w:p>
      <w:pPr>
        <w:spacing w:after="0" w:line="1" w:lineRule="exact"/>
        <w:rPr>
          <w:rFonts w:ascii="Arial" w:cs="Arial" w:eastAsia="Arial" w:hAnsi="Arial"/>
          <w:sz w:val="18"/>
          <w:szCs w:val="18"/>
          <w:color w:val="auto"/>
        </w:rPr>
      </w:pPr>
    </w:p>
    <w:p>
      <w:pPr>
        <w:ind w:left="424" w:right="120" w:hanging="424"/>
        <w:spacing w:after="0" w:line="250" w:lineRule="auto"/>
        <w:tabs>
          <w:tab w:leader="none" w:pos="424" w:val="left"/>
        </w:tabs>
        <w:numPr>
          <w:ilvl w:val="0"/>
          <w:numId w:val="38"/>
        </w:numPr>
        <w:rPr>
          <w:rFonts w:ascii="Arial" w:cs="Arial" w:eastAsia="Arial" w:hAnsi="Arial"/>
          <w:sz w:val="18"/>
          <w:szCs w:val="18"/>
          <w:color w:val="auto"/>
        </w:rPr>
      </w:pPr>
      <w:r>
        <w:rPr>
          <w:rFonts w:ascii="Arial" w:cs="Arial" w:eastAsia="Arial" w:hAnsi="Arial"/>
          <w:sz w:val="18"/>
          <w:szCs w:val="18"/>
          <w:color w:val="auto"/>
        </w:rPr>
        <w:t>Estimated solely for purposes of computing the registration fee. No separate consideration will be received for (i) common stock or other securities of the registrant that may be issued upon conversion of, or in exchange for, convertible or exchangeable debt securities and/or preferred stock registered hereby, or (ii) preferred stock, common stock, debt securities or units that may be issued upon exercise of warrants registered hereby, as the case may be.</w:t>
      </w:r>
    </w:p>
    <w:p>
      <w:pPr>
        <w:spacing w:after="0" w:line="1" w:lineRule="exact"/>
        <w:rPr>
          <w:rFonts w:ascii="Arial" w:cs="Arial" w:eastAsia="Arial" w:hAnsi="Arial"/>
          <w:sz w:val="18"/>
          <w:szCs w:val="18"/>
          <w:color w:val="auto"/>
        </w:rPr>
      </w:pPr>
    </w:p>
    <w:p>
      <w:pPr>
        <w:ind w:left="424" w:hanging="424"/>
        <w:spacing w:after="0"/>
        <w:tabs>
          <w:tab w:leader="none" w:pos="424"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registration fee has been calculated in accordance with Rule 457(o) under the Securities Act.</w:t>
      </w:r>
    </w:p>
    <w:p>
      <w:pPr>
        <w:spacing w:after="0" w:line="9" w:lineRule="exact"/>
        <w:rPr>
          <w:rFonts w:ascii="Arial" w:cs="Arial" w:eastAsia="Arial" w:hAnsi="Arial"/>
          <w:sz w:val="18"/>
          <w:szCs w:val="18"/>
          <w:color w:val="auto"/>
        </w:rPr>
      </w:pPr>
    </w:p>
    <w:p>
      <w:pPr>
        <w:ind w:left="424" w:right="40" w:hanging="424"/>
        <w:spacing w:after="0" w:line="250" w:lineRule="auto"/>
        <w:tabs>
          <w:tab w:leader="none" w:pos="424" w:val="left"/>
        </w:tabs>
        <w:numPr>
          <w:ilvl w:val="0"/>
          <w:numId w:val="38"/>
        </w:numPr>
        <w:rPr>
          <w:rFonts w:ascii="Arial" w:cs="Arial" w:eastAsia="Arial" w:hAnsi="Arial"/>
          <w:sz w:val="18"/>
          <w:szCs w:val="18"/>
          <w:color w:val="auto"/>
        </w:rPr>
      </w:pPr>
      <w:r>
        <w:rPr>
          <w:rFonts w:ascii="Arial" w:cs="Arial" w:eastAsia="Arial" w:hAnsi="Arial"/>
          <w:sz w:val="18"/>
          <w:szCs w:val="18"/>
          <w:color w:val="auto"/>
        </w:rPr>
        <w:t>Each depositary share will be issued under a deposit agreement, will represent an interest in a fractional share or multiple shares of preferred stock and will be evidenced by a depositary receipt.</w:t>
      </w:r>
    </w:p>
    <w:p>
      <w:pPr>
        <w:ind w:left="424" w:right="260" w:hanging="424"/>
        <w:spacing w:after="0" w:line="250" w:lineRule="auto"/>
        <w:tabs>
          <w:tab w:leader="none" w:pos="424" w:val="left"/>
        </w:tabs>
        <w:numPr>
          <w:ilvl w:val="0"/>
          <w:numId w:val="38"/>
        </w:numPr>
        <w:rPr>
          <w:rFonts w:ascii="Arial" w:cs="Arial" w:eastAsia="Arial" w:hAnsi="Arial"/>
          <w:sz w:val="18"/>
          <w:szCs w:val="18"/>
          <w:color w:val="auto"/>
        </w:rPr>
      </w:pPr>
      <w:r>
        <w:rPr>
          <w:rFonts w:ascii="Arial" w:cs="Arial" w:eastAsia="Arial" w:hAnsi="Arial"/>
          <w:sz w:val="18"/>
          <w:szCs w:val="18"/>
          <w:color w:val="auto"/>
        </w:rPr>
        <w:t>Units may be issued under a unit agreement and will represent an interest in one or more securities registered hereby including debt securities, shares of common stock, shares of preferred stock, depositary shares or warrants, in any combination, which may or may not be separable from one another.</w:t>
      </w:r>
    </w:p>
    <w:p>
      <w:pPr>
        <w:spacing w:after="0" w:line="1" w:lineRule="exact"/>
        <w:rPr>
          <w:rFonts w:ascii="Arial" w:cs="Arial" w:eastAsia="Arial" w:hAnsi="Arial"/>
          <w:sz w:val="18"/>
          <w:szCs w:val="18"/>
          <w:color w:val="auto"/>
        </w:rPr>
      </w:pPr>
    </w:p>
    <w:p>
      <w:pPr>
        <w:ind w:left="424" w:hanging="424"/>
        <w:spacing w:after="0"/>
        <w:tabs>
          <w:tab w:leader="none" w:pos="424"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registrant previously paid a filing fee for a primary offering of $150,000,000 of the registrant’s shares of common stock (consisting of</w:t>
      </w:r>
    </w:p>
    <w:p>
      <w:pPr>
        <w:spacing w:after="0" w:line="20" w:lineRule="exact"/>
        <w:rPr>
          <w:rFonts w:ascii="Arial" w:cs="Arial" w:eastAsia="Arial" w:hAnsi="Arial"/>
          <w:sz w:val="17"/>
          <w:szCs w:val="17"/>
          <w:color w:val="auto"/>
        </w:rPr>
      </w:pPr>
    </w:p>
    <w:p>
      <w:pPr>
        <w:ind w:left="424" w:right="120"/>
        <w:spacing w:after="0" w:line="252" w:lineRule="auto"/>
        <w:rPr>
          <w:rFonts w:ascii="Arial" w:cs="Arial" w:eastAsia="Arial" w:hAnsi="Arial"/>
          <w:sz w:val="17"/>
          <w:szCs w:val="17"/>
          <w:color w:val="auto"/>
        </w:rPr>
      </w:pPr>
      <w:r>
        <w:rPr>
          <w:rFonts w:ascii="Arial" w:cs="Arial" w:eastAsia="Arial" w:hAnsi="Arial"/>
          <w:sz w:val="18"/>
          <w:szCs w:val="18"/>
          <w:color w:val="auto"/>
        </w:rPr>
        <w:t>$80,913,050 newly registered securities for which it paid $7,500.64 of fees and $69,086,950 of unsold securities carried forward from a prior registration statement on Form S-3 for which it previously paid $8,967.49 of fees (calculated at the filing fee rate in effect at the time of the filing of such prior registration statement)) pursuant to a prospectus filed by the registrant on November 4, 2021. All of such $150,000,000 shares of common stock remain unsold, and is being carried forward on this registration statement, and the registrant is registering an additional $100,000,000 of securities. Accordingly, the filing fee for such newly registered securities is $9,270 and is being paid upon filing of this Amendment No. 1.</w:t>
      </w:r>
    </w:p>
    <w:p>
      <w:pPr>
        <w:sectPr>
          <w:pgSz w:w="11900" w:h="16859" w:orient="portrait"/>
          <w:cols w:equalWidth="0" w:num="1">
            <w:col w:w="11024"/>
          </w:cols>
          <w:pgMar w:left="436" w:top="118" w:right="439" w:bottom="0" w:gutter="0" w:footer="0" w:header="0"/>
        </w:sectPr>
      </w:pPr>
    </w:p>
    <w:bookmarkStart w:id="53" w:name="page54"/>
    <w:bookmarkEnd w:id="53"/>
    <w:p>
      <w:pPr>
        <w:spacing w:after="0" w:line="252" w:lineRule="auto"/>
        <w:rPr>
          <w:sz w:val="20"/>
          <w:szCs w:val="20"/>
          <w:color w:val="auto"/>
        </w:rPr>
      </w:pPr>
    </w:p>
    <w:p>
      <w:pPr>
        <w:sectPr>
          <w:pgSz w:w="11900" w:h="16838" w:orient="portrait"/>
          <w:cols w:equalWidth="1" w:num="1" w:space="0"/>
          <w:pgMar w:left="1440" w:top="1440" w:right="1440" w:bottom="875" w:gutter="0" w:footer="0" w:header="0"/>
        </w:sectPr>
      </w:pPr>
    </w:p>
    <w:bookmarkStart w:id="54" w:name="page55"/>
    <w:bookmarkEnd w:id="54"/>
    <w:p>
      <w:pPr>
        <w:jc w:val="center"/>
        <w:ind w:right="2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2: Fee Offset Claims and Sources</w:t>
      </w:r>
    </w:p>
    <w:p>
      <w:pPr>
        <w:spacing w:after="0" w:line="246" w:lineRule="exact"/>
        <w:rPr>
          <w:sz w:val="20"/>
          <w:szCs w:val="20"/>
          <w:color w:val="auto"/>
        </w:rPr>
      </w:pPr>
    </w:p>
    <w:tbl>
      <w:tblPr>
        <w:tblLayout w:type="fixed"/>
        <w:tblInd w:w="10" w:type="dxa"/>
        <w:tblCellMar>
          <w:top w:w="0" w:type="dxa"/>
          <w:left w:w="0" w:type="dxa"/>
          <w:bottom w:w="0" w:type="dxa"/>
          <w:right w:w="0" w:type="dxa"/>
        </w:tblCellMar>
      </w:tblPr>
      <w:tr>
        <w:trPr>
          <w:trHeight w:val="139"/>
        </w:trPr>
        <w:tc>
          <w:tcPr>
            <w:tcW w:w="840" w:type="dxa"/>
            <w:vAlign w:val="bottom"/>
            <w:tcBorders>
              <w:top w:val="single" w:sz="8" w:color="auto"/>
              <w:left w:val="single" w:sz="8" w:color="auto"/>
              <w:right w:val="single" w:sz="8" w:color="auto"/>
            </w:tcBorders>
          </w:tcPr>
          <w:p>
            <w:pPr>
              <w:spacing w:after="0"/>
              <w:rPr>
                <w:sz w:val="12"/>
                <w:szCs w:val="12"/>
                <w:color w:val="auto"/>
              </w:rPr>
            </w:pPr>
          </w:p>
        </w:tc>
        <w:tc>
          <w:tcPr>
            <w:tcW w:w="1460" w:type="dxa"/>
            <w:vAlign w:val="bottom"/>
            <w:tcBorders>
              <w:top w:val="single" w:sz="8" w:color="auto"/>
              <w:right w:val="single" w:sz="8" w:color="auto"/>
            </w:tcBorders>
          </w:tcPr>
          <w:p>
            <w:pPr>
              <w:spacing w:after="0"/>
              <w:rPr>
                <w:sz w:val="12"/>
                <w:szCs w:val="12"/>
                <w:color w:val="auto"/>
              </w:rPr>
            </w:pPr>
          </w:p>
        </w:tc>
        <w:tc>
          <w:tcPr>
            <w:tcW w:w="600" w:type="dxa"/>
            <w:vAlign w:val="bottom"/>
            <w:tcBorders>
              <w:top w:val="single" w:sz="8" w:color="auto"/>
              <w:right w:val="single" w:sz="8" w:color="auto"/>
            </w:tcBorders>
          </w:tcPr>
          <w:p>
            <w:pPr>
              <w:spacing w:after="0"/>
              <w:rPr>
                <w:sz w:val="12"/>
                <w:szCs w:val="12"/>
                <w:color w:val="auto"/>
              </w:rPr>
            </w:pPr>
          </w:p>
        </w:tc>
        <w:tc>
          <w:tcPr>
            <w:tcW w:w="840" w:type="dxa"/>
            <w:vAlign w:val="bottom"/>
            <w:tcBorders>
              <w:top w:val="single" w:sz="8" w:color="auto"/>
              <w:right w:val="single" w:sz="8" w:color="auto"/>
            </w:tcBorders>
          </w:tcPr>
          <w:p>
            <w:pPr>
              <w:spacing w:after="0"/>
              <w:rPr>
                <w:sz w:val="12"/>
                <w:szCs w:val="12"/>
                <w:color w:val="auto"/>
              </w:rPr>
            </w:pPr>
          </w:p>
        </w:tc>
        <w:tc>
          <w:tcPr>
            <w:tcW w:w="900" w:type="dxa"/>
            <w:vAlign w:val="bottom"/>
            <w:tcBorders>
              <w:top w:val="single" w:sz="8" w:color="auto"/>
              <w:right w:val="single" w:sz="8" w:color="auto"/>
            </w:tcBorders>
          </w:tcPr>
          <w:p>
            <w:pPr>
              <w:spacing w:after="0"/>
              <w:rPr>
                <w:sz w:val="12"/>
                <w:szCs w:val="12"/>
                <w:color w:val="auto"/>
              </w:rPr>
            </w:pPr>
          </w:p>
        </w:tc>
        <w:tc>
          <w:tcPr>
            <w:tcW w:w="940" w:type="dxa"/>
            <w:vAlign w:val="bottom"/>
            <w:tcBorders>
              <w:top w:val="single" w:sz="8" w:color="auto"/>
              <w:right w:val="single" w:sz="8" w:color="auto"/>
            </w:tcBorders>
          </w:tcPr>
          <w:p>
            <w:pPr>
              <w:spacing w:after="0"/>
              <w:rPr>
                <w:sz w:val="12"/>
                <w:szCs w:val="12"/>
                <w:color w:val="auto"/>
              </w:rPr>
            </w:pPr>
          </w:p>
        </w:tc>
        <w:tc>
          <w:tcPr>
            <w:tcW w:w="680" w:type="dxa"/>
            <w:vAlign w:val="bottom"/>
            <w:tcBorders>
              <w:top w:val="single" w:sz="8" w:color="auto"/>
              <w:right w:val="single" w:sz="8" w:color="auto"/>
            </w:tcBorders>
          </w:tcPr>
          <w:p>
            <w:pPr>
              <w:spacing w:after="0"/>
              <w:rPr>
                <w:sz w:val="12"/>
                <w:szCs w:val="12"/>
                <w:color w:val="auto"/>
              </w:rPr>
            </w:pPr>
          </w:p>
        </w:tc>
        <w:tc>
          <w:tcPr>
            <w:tcW w:w="780" w:type="dxa"/>
            <w:vAlign w:val="bottom"/>
            <w:tcBorders>
              <w:top w:val="single" w:sz="8" w:color="auto"/>
              <w:right w:val="single" w:sz="8" w:color="auto"/>
            </w:tcBorders>
          </w:tcPr>
          <w:p>
            <w:pPr>
              <w:spacing w:after="0"/>
              <w:rPr>
                <w:sz w:val="12"/>
                <w:szCs w:val="12"/>
                <w:color w:val="auto"/>
              </w:rPr>
            </w:pPr>
          </w:p>
        </w:tc>
        <w:tc>
          <w:tcPr>
            <w:tcW w:w="1260" w:type="dxa"/>
            <w:vAlign w:val="bottom"/>
            <w:tcBorders>
              <w:top w:val="single" w:sz="8" w:color="auto"/>
              <w:right w:val="single" w:sz="8" w:color="auto"/>
            </w:tcBorders>
          </w:tcPr>
          <w:p>
            <w:pPr>
              <w:spacing w:after="0"/>
              <w:rPr>
                <w:sz w:val="12"/>
                <w:szCs w:val="12"/>
                <w:color w:val="auto"/>
              </w:rPr>
            </w:pPr>
          </w:p>
        </w:tc>
        <w:tc>
          <w:tcPr>
            <w:tcW w:w="780" w:type="dxa"/>
            <w:vAlign w:val="bottom"/>
            <w:tcBorders>
              <w:top w:val="single" w:sz="8" w:color="auto"/>
              <w:right w:val="single" w:sz="8" w:color="auto"/>
            </w:tcBorders>
          </w:tcPr>
          <w:p>
            <w:pPr>
              <w:spacing w:after="0"/>
              <w:rPr>
                <w:sz w:val="12"/>
                <w:szCs w:val="12"/>
                <w:color w:val="auto"/>
              </w:rPr>
            </w:pPr>
          </w:p>
        </w:tc>
        <w:tc>
          <w:tcPr>
            <w:tcW w:w="820" w:type="dxa"/>
            <w:vAlign w:val="bottom"/>
            <w:tcBorders>
              <w:top w:val="single" w:sz="8" w:color="auto"/>
              <w:right w:val="single" w:sz="8" w:color="auto"/>
            </w:tcBorders>
          </w:tcPr>
          <w:p>
            <w:pPr>
              <w:jc w:val="center"/>
              <w:spacing w:after="0" w:line="139" w:lineRule="exact"/>
              <w:rPr>
                <w:sz w:val="20"/>
                <w:szCs w:val="20"/>
                <w:color w:val="auto"/>
              </w:rPr>
            </w:pPr>
            <w:r>
              <w:rPr>
                <w:rFonts w:ascii="Arial" w:cs="Arial" w:eastAsia="Arial" w:hAnsi="Arial"/>
                <w:sz w:val="14"/>
                <w:szCs w:val="14"/>
                <w:b w:val="1"/>
                <w:bCs w:val="1"/>
                <w:color w:val="auto"/>
                <w:w w:val="92"/>
              </w:rPr>
              <w:t>Unsold</w:t>
            </w:r>
          </w:p>
        </w:tc>
        <w:tc>
          <w:tcPr>
            <w:tcW w:w="700" w:type="dxa"/>
            <w:vAlign w:val="bottom"/>
            <w:tcBorders>
              <w:top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40" w:type="dxa"/>
            <w:vAlign w:val="bottom"/>
            <w:tcBorders>
              <w:left w:val="single" w:sz="8" w:color="auto"/>
              <w:right w:val="single" w:sz="8" w:color="auto"/>
            </w:tcBorders>
          </w:tcPr>
          <w:p>
            <w:pPr>
              <w:spacing w:after="0"/>
              <w:rPr>
                <w:sz w:val="12"/>
                <w:szCs w:val="12"/>
                <w:color w:val="auto"/>
              </w:rPr>
            </w:pPr>
          </w:p>
        </w:tc>
        <w:tc>
          <w:tcPr>
            <w:tcW w:w="1460" w:type="dxa"/>
            <w:vAlign w:val="bottom"/>
            <w:tcBorders>
              <w:right w:val="single" w:sz="8" w:color="auto"/>
            </w:tcBorders>
          </w:tcPr>
          <w:p>
            <w:pPr>
              <w:spacing w:after="0"/>
              <w:rPr>
                <w:sz w:val="12"/>
                <w:szCs w:val="12"/>
                <w:color w:val="auto"/>
              </w:rPr>
            </w:pPr>
          </w:p>
        </w:tc>
        <w:tc>
          <w:tcPr>
            <w:tcW w:w="60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4"/>
              </w:rPr>
              <w:t>Security</w:t>
            </w:r>
          </w:p>
        </w:tc>
        <w:tc>
          <w:tcPr>
            <w:tcW w:w="12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0"/>
              </w:rPr>
              <w:t>Security</w:t>
            </w:r>
          </w:p>
        </w:tc>
        <w:tc>
          <w:tcPr>
            <w:tcW w:w="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88"/>
              </w:rPr>
              <w:t>Unsold</w:t>
            </w:r>
          </w:p>
        </w:tc>
        <w:tc>
          <w:tcPr>
            <w:tcW w:w="8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2"/>
              </w:rPr>
              <w:t>Aggregate</w:t>
            </w:r>
          </w:p>
        </w:tc>
        <w:tc>
          <w:tcPr>
            <w:tcW w:w="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82"/>
              </w:rPr>
              <w:t>Fee</w:t>
            </w:r>
          </w:p>
        </w:tc>
        <w:tc>
          <w:tcPr>
            <w:tcW w:w="0" w:type="dxa"/>
            <w:vAlign w:val="bottom"/>
          </w:tcPr>
          <w:p>
            <w:pPr>
              <w:spacing w:after="0"/>
              <w:rPr>
                <w:sz w:val="1"/>
                <w:szCs w:val="1"/>
                <w:color w:val="auto"/>
              </w:rPr>
            </w:pPr>
          </w:p>
        </w:tc>
      </w:tr>
      <w:tr>
        <w:trPr>
          <w:trHeight w:val="148"/>
        </w:trPr>
        <w:tc>
          <w:tcPr>
            <w:tcW w:w="840" w:type="dxa"/>
            <w:vAlign w:val="bottom"/>
            <w:tcBorders>
              <w:left w:val="single" w:sz="8" w:color="auto"/>
              <w:right w:val="single" w:sz="8" w:color="auto"/>
            </w:tcBorders>
          </w:tcPr>
          <w:p>
            <w:pPr>
              <w:spacing w:after="0"/>
              <w:rPr>
                <w:sz w:val="12"/>
                <w:szCs w:val="12"/>
                <w:color w:val="auto"/>
              </w:rPr>
            </w:pPr>
          </w:p>
        </w:tc>
        <w:tc>
          <w:tcPr>
            <w:tcW w:w="1460" w:type="dxa"/>
            <w:vAlign w:val="bottom"/>
            <w:tcBorders>
              <w:right w:val="single" w:sz="8" w:color="auto"/>
            </w:tcBorders>
          </w:tcPr>
          <w:p>
            <w:pPr>
              <w:spacing w:after="0"/>
              <w:rPr>
                <w:sz w:val="12"/>
                <w:szCs w:val="12"/>
                <w:color w:val="auto"/>
              </w:rPr>
            </w:pPr>
          </w:p>
        </w:tc>
        <w:tc>
          <w:tcPr>
            <w:tcW w:w="60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vMerge w:val="continue"/>
          </w:tcPr>
          <w:p>
            <w:pPr>
              <w:spacing w:after="0"/>
              <w:rPr>
                <w:sz w:val="12"/>
                <w:szCs w:val="12"/>
                <w:color w:val="auto"/>
              </w:rPr>
            </w:pPr>
          </w:p>
        </w:tc>
        <w:tc>
          <w:tcPr>
            <w:tcW w:w="1260" w:type="dxa"/>
            <w:vAlign w:val="bottom"/>
            <w:tcBorders>
              <w:right w:val="single" w:sz="8" w:color="auto"/>
            </w:tcBorders>
            <w:vMerge w:val="continue"/>
          </w:tcPr>
          <w:p>
            <w:pPr>
              <w:spacing w:after="0"/>
              <w:rPr>
                <w:sz w:val="12"/>
                <w:szCs w:val="12"/>
                <w:color w:val="auto"/>
              </w:rPr>
            </w:pPr>
          </w:p>
        </w:tc>
        <w:tc>
          <w:tcPr>
            <w:tcW w:w="780" w:type="dxa"/>
            <w:vAlign w:val="bottom"/>
            <w:tcBorders>
              <w:right w:val="single" w:sz="8" w:color="auto"/>
            </w:tcBorders>
            <w:vMerge w:val="continue"/>
          </w:tcPr>
          <w:p>
            <w:pPr>
              <w:spacing w:after="0"/>
              <w:rPr>
                <w:sz w:val="12"/>
                <w:szCs w:val="12"/>
                <w:color w:val="auto"/>
              </w:rPr>
            </w:pPr>
          </w:p>
        </w:tc>
        <w:tc>
          <w:tcPr>
            <w:tcW w:w="8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5"/>
              </w:rPr>
              <w:t>Offering</w:t>
            </w:r>
          </w:p>
        </w:tc>
        <w:tc>
          <w:tcPr>
            <w:tcW w:w="70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40" w:type="dxa"/>
            <w:vAlign w:val="bottom"/>
            <w:tcBorders>
              <w:left w:val="single" w:sz="8" w:color="auto"/>
              <w:right w:val="single" w:sz="8" w:color="auto"/>
            </w:tcBorders>
          </w:tcPr>
          <w:p>
            <w:pPr>
              <w:spacing w:after="0"/>
              <w:rPr>
                <w:sz w:val="12"/>
                <w:szCs w:val="12"/>
                <w:color w:val="auto"/>
              </w:rPr>
            </w:pPr>
          </w:p>
        </w:tc>
        <w:tc>
          <w:tcPr>
            <w:tcW w:w="1460" w:type="dxa"/>
            <w:vAlign w:val="bottom"/>
            <w:tcBorders>
              <w:right w:val="single" w:sz="8" w:color="auto"/>
            </w:tcBorders>
          </w:tcPr>
          <w:p>
            <w:pPr>
              <w:spacing w:after="0"/>
              <w:rPr>
                <w:sz w:val="12"/>
                <w:szCs w:val="12"/>
                <w:color w:val="auto"/>
              </w:rPr>
            </w:pPr>
          </w:p>
        </w:tc>
        <w:tc>
          <w:tcPr>
            <w:tcW w:w="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7"/>
              </w:rPr>
              <w:t>Form</w:t>
            </w:r>
          </w:p>
        </w:tc>
        <w:tc>
          <w:tcPr>
            <w:tcW w:w="84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1"/>
              </w:rPr>
              <w:t>Type</w:t>
            </w:r>
          </w:p>
        </w:tc>
        <w:tc>
          <w:tcPr>
            <w:tcW w:w="12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7"/>
              </w:rPr>
              <w:t>Title</w:t>
            </w: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9"/>
              </w:rPr>
              <w:t>Securities</w:t>
            </w:r>
          </w:p>
        </w:tc>
        <w:tc>
          <w:tcPr>
            <w:tcW w:w="8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4"/>
              </w:rPr>
              <w:t>Amount</w:t>
            </w:r>
          </w:p>
        </w:tc>
        <w:tc>
          <w:tcPr>
            <w:tcW w:w="7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4"/>
              </w:rPr>
              <w:t>Paid</w:t>
            </w:r>
          </w:p>
        </w:tc>
        <w:tc>
          <w:tcPr>
            <w:tcW w:w="0" w:type="dxa"/>
            <w:vAlign w:val="bottom"/>
          </w:tcPr>
          <w:p>
            <w:pPr>
              <w:spacing w:after="0"/>
              <w:rPr>
                <w:sz w:val="1"/>
                <w:szCs w:val="1"/>
                <w:color w:val="auto"/>
              </w:rPr>
            </w:pPr>
          </w:p>
        </w:tc>
      </w:tr>
      <w:tr>
        <w:trPr>
          <w:trHeight w:val="149"/>
        </w:trPr>
        <w:tc>
          <w:tcPr>
            <w:tcW w:w="840" w:type="dxa"/>
            <w:vAlign w:val="bottom"/>
            <w:tcBorders>
              <w:left w:val="single" w:sz="8" w:color="auto"/>
              <w:right w:val="single" w:sz="8" w:color="auto"/>
            </w:tcBorders>
          </w:tcPr>
          <w:p>
            <w:pPr>
              <w:spacing w:after="0"/>
              <w:rPr>
                <w:sz w:val="12"/>
                <w:szCs w:val="12"/>
                <w:color w:val="auto"/>
              </w:rPr>
            </w:pPr>
          </w:p>
        </w:tc>
        <w:tc>
          <w:tcPr>
            <w:tcW w:w="1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5"/>
              </w:rPr>
              <w:t>Registrant</w:t>
            </w:r>
          </w:p>
        </w:tc>
        <w:tc>
          <w:tcPr>
            <w:tcW w:w="600" w:type="dxa"/>
            <w:vAlign w:val="bottom"/>
            <w:tcBorders>
              <w:right w:val="single" w:sz="8" w:color="auto"/>
            </w:tcBorders>
            <w:vMerge w:val="continue"/>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0"/>
              </w:rPr>
              <w:t>Fee</w:t>
            </w: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8"/>
              </w:rPr>
              <w:t>Associated</w:t>
            </w:r>
          </w:p>
        </w:tc>
        <w:tc>
          <w:tcPr>
            <w:tcW w:w="12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8"/>
              </w:rPr>
              <w:t>Associated</w:t>
            </w: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8"/>
              </w:rPr>
              <w:t>Associated</w:t>
            </w:r>
          </w:p>
        </w:tc>
        <w:tc>
          <w:tcPr>
            <w:tcW w:w="8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8"/>
              </w:rPr>
              <w:t>Associated</w:t>
            </w:r>
          </w:p>
        </w:tc>
        <w:tc>
          <w:tcPr>
            <w:tcW w:w="7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9"/>
              </w:rPr>
              <w:t>with</w:t>
            </w:r>
          </w:p>
        </w:tc>
        <w:tc>
          <w:tcPr>
            <w:tcW w:w="0" w:type="dxa"/>
            <w:vAlign w:val="bottom"/>
          </w:tcPr>
          <w:p>
            <w:pPr>
              <w:spacing w:after="0"/>
              <w:rPr>
                <w:sz w:val="1"/>
                <w:szCs w:val="1"/>
                <w:color w:val="auto"/>
              </w:rPr>
            </w:pPr>
          </w:p>
        </w:tc>
      </w:tr>
      <w:tr>
        <w:trPr>
          <w:trHeight w:val="148"/>
        </w:trPr>
        <w:tc>
          <w:tcPr>
            <w:tcW w:w="840" w:type="dxa"/>
            <w:vAlign w:val="bottom"/>
            <w:tcBorders>
              <w:left w:val="single" w:sz="8" w:color="auto"/>
              <w:right w:val="single" w:sz="8" w:color="auto"/>
            </w:tcBorders>
          </w:tcPr>
          <w:p>
            <w:pPr>
              <w:spacing w:after="0"/>
              <w:rPr>
                <w:sz w:val="12"/>
                <w:szCs w:val="12"/>
                <w:color w:val="auto"/>
              </w:rPr>
            </w:pPr>
          </w:p>
        </w:tc>
        <w:tc>
          <w:tcPr>
            <w:tcW w:w="1460" w:type="dxa"/>
            <w:vAlign w:val="bottom"/>
            <w:tcBorders>
              <w:right w:val="single" w:sz="8" w:color="auto"/>
            </w:tcBorders>
            <w:vMerge w:val="continue"/>
          </w:tcPr>
          <w:p>
            <w:pPr>
              <w:spacing w:after="0"/>
              <w:rPr>
                <w:sz w:val="12"/>
                <w:szCs w:val="12"/>
                <w:color w:val="auto"/>
              </w:rPr>
            </w:pPr>
          </w:p>
        </w:tc>
        <w:tc>
          <w:tcPr>
            <w:tcW w:w="6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9"/>
              </w:rPr>
              <w:t>or</w:t>
            </w:r>
          </w:p>
        </w:tc>
        <w:tc>
          <w:tcPr>
            <w:tcW w:w="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0"/>
              </w:rPr>
              <w:t>File</w:t>
            </w:r>
          </w:p>
        </w:tc>
        <w:tc>
          <w:tcPr>
            <w:tcW w:w="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rPr>
              <w:t>Initial</w:t>
            </w:r>
          </w:p>
        </w:tc>
        <w:tc>
          <w:tcPr>
            <w:tcW w:w="94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vMerge w:val="continue"/>
          </w:tcPr>
          <w:p>
            <w:pPr>
              <w:spacing w:after="0"/>
              <w:rPr>
                <w:sz w:val="12"/>
                <w:szCs w:val="12"/>
                <w:color w:val="auto"/>
              </w:rPr>
            </w:pP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2"/>
              </w:rPr>
              <w:t>with Fee</w:t>
            </w:r>
          </w:p>
        </w:tc>
        <w:tc>
          <w:tcPr>
            <w:tcW w:w="12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2"/>
              </w:rPr>
              <w:t>with Fee</w:t>
            </w: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2"/>
              </w:rPr>
              <w:t>with Fee</w:t>
            </w:r>
          </w:p>
        </w:tc>
        <w:tc>
          <w:tcPr>
            <w:tcW w:w="8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2"/>
              </w:rPr>
              <w:t>with Fee</w:t>
            </w:r>
          </w:p>
        </w:tc>
        <w:tc>
          <w:tcPr>
            <w:tcW w:w="7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2"/>
              </w:rPr>
              <w:t>Fee</w:t>
            </w:r>
          </w:p>
        </w:tc>
        <w:tc>
          <w:tcPr>
            <w:tcW w:w="0" w:type="dxa"/>
            <w:vAlign w:val="bottom"/>
          </w:tcPr>
          <w:p>
            <w:pPr>
              <w:spacing w:after="0"/>
              <w:rPr>
                <w:sz w:val="1"/>
                <w:szCs w:val="1"/>
                <w:color w:val="auto"/>
              </w:rPr>
            </w:pPr>
          </w:p>
        </w:tc>
      </w:tr>
      <w:tr>
        <w:trPr>
          <w:trHeight w:val="148"/>
        </w:trPr>
        <w:tc>
          <w:tcPr>
            <w:tcW w:w="840" w:type="dxa"/>
            <w:vAlign w:val="bottom"/>
            <w:tcBorders>
              <w:left w:val="single" w:sz="8" w:color="auto"/>
              <w:right w:val="single" w:sz="8" w:color="auto"/>
            </w:tcBorders>
          </w:tcPr>
          <w:p>
            <w:pPr>
              <w:spacing w:after="0"/>
              <w:rPr>
                <w:sz w:val="12"/>
                <w:szCs w:val="12"/>
                <w:color w:val="auto"/>
              </w:rPr>
            </w:pPr>
          </w:p>
        </w:tc>
        <w:tc>
          <w:tcPr>
            <w:tcW w:w="14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6"/>
              </w:rPr>
              <w:t>or Filer</w:t>
            </w:r>
          </w:p>
        </w:tc>
        <w:tc>
          <w:tcPr>
            <w:tcW w:w="6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6"/>
              </w:rPr>
              <w:t>Filing</w:t>
            </w:r>
          </w:p>
        </w:tc>
        <w:tc>
          <w:tcPr>
            <w:tcW w:w="840" w:type="dxa"/>
            <w:vAlign w:val="bottom"/>
            <w:tcBorders>
              <w:right w:val="single" w:sz="8" w:color="auto"/>
            </w:tcBorders>
            <w:vMerge w:val="continue"/>
          </w:tcPr>
          <w:p>
            <w:pPr>
              <w:spacing w:after="0"/>
              <w:rPr>
                <w:sz w:val="12"/>
                <w:szCs w:val="12"/>
                <w:color w:val="auto"/>
              </w:rPr>
            </w:pPr>
          </w:p>
        </w:tc>
        <w:tc>
          <w:tcPr>
            <w:tcW w:w="900" w:type="dxa"/>
            <w:vAlign w:val="bottom"/>
            <w:tcBorders>
              <w:right w:val="single" w:sz="8" w:color="auto"/>
            </w:tcBorders>
            <w:vMerge w:val="continue"/>
          </w:tcPr>
          <w:p>
            <w:pPr>
              <w:spacing w:after="0"/>
              <w:rPr>
                <w:sz w:val="12"/>
                <w:szCs w:val="12"/>
                <w:color w:val="auto"/>
              </w:rPr>
            </w:pPr>
          </w:p>
        </w:tc>
        <w:tc>
          <w:tcPr>
            <w:tcW w:w="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4"/>
              </w:rPr>
              <w:t>Filing Date</w:t>
            </w:r>
          </w:p>
        </w:tc>
        <w:tc>
          <w:tcPr>
            <w:tcW w:w="6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3"/>
              </w:rPr>
              <w:t>Offset</w:t>
            </w: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3"/>
              </w:rPr>
              <w:t>Offset</w:t>
            </w:r>
          </w:p>
        </w:tc>
        <w:tc>
          <w:tcPr>
            <w:tcW w:w="12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3"/>
              </w:rPr>
              <w:t>Offset</w:t>
            </w: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3"/>
              </w:rPr>
              <w:t>Offset</w:t>
            </w:r>
          </w:p>
        </w:tc>
        <w:tc>
          <w:tcPr>
            <w:tcW w:w="8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3"/>
              </w:rPr>
              <w:t>Offset</w:t>
            </w:r>
          </w:p>
        </w:tc>
        <w:tc>
          <w:tcPr>
            <w:tcW w:w="7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8"/>
              </w:rPr>
              <w:t>Offset</w:t>
            </w:r>
          </w:p>
        </w:tc>
        <w:tc>
          <w:tcPr>
            <w:tcW w:w="0" w:type="dxa"/>
            <w:vAlign w:val="bottom"/>
          </w:tcPr>
          <w:p>
            <w:pPr>
              <w:spacing w:after="0"/>
              <w:rPr>
                <w:sz w:val="1"/>
                <w:szCs w:val="1"/>
                <w:color w:val="auto"/>
              </w:rPr>
            </w:pPr>
          </w:p>
        </w:tc>
      </w:tr>
      <w:tr>
        <w:trPr>
          <w:trHeight w:val="171"/>
        </w:trPr>
        <w:tc>
          <w:tcPr>
            <w:tcW w:w="840" w:type="dxa"/>
            <w:vAlign w:val="bottom"/>
            <w:tcBorders>
              <w:left w:val="single" w:sz="8" w:color="auto"/>
              <w:bottom w:val="single" w:sz="8" w:color="auto"/>
              <w:right w:val="single" w:sz="8" w:color="auto"/>
            </w:tcBorders>
          </w:tcPr>
          <w:p>
            <w:pPr>
              <w:spacing w:after="0"/>
              <w:rPr>
                <w:sz w:val="14"/>
                <w:szCs w:val="14"/>
                <w:color w:val="auto"/>
              </w:rPr>
            </w:pP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Name</w:t>
            </w:r>
          </w:p>
        </w:tc>
        <w:tc>
          <w:tcPr>
            <w:tcW w:w="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Type</w:t>
            </w: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Filing Date</w:t>
            </w: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Claimed</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Claimed</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Claimed</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Claimed</w:t>
            </w: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Claimed</w:t>
            </w:r>
          </w:p>
        </w:tc>
        <w:tc>
          <w:tcPr>
            <w:tcW w:w="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Source</w:t>
            </w:r>
          </w:p>
        </w:tc>
        <w:tc>
          <w:tcPr>
            <w:tcW w:w="0" w:type="dxa"/>
            <w:vAlign w:val="bottom"/>
          </w:tcPr>
          <w:p>
            <w:pPr>
              <w:spacing w:after="0"/>
              <w:rPr>
                <w:sz w:val="1"/>
                <w:szCs w:val="1"/>
                <w:color w:val="auto"/>
              </w:rPr>
            </w:pPr>
          </w:p>
        </w:tc>
      </w:tr>
      <w:tr>
        <w:trPr>
          <w:trHeight w:val="142"/>
        </w:trPr>
        <w:tc>
          <w:tcPr>
            <w:tcW w:w="840" w:type="dxa"/>
            <w:vAlign w:val="bottom"/>
            <w:tcBorders>
              <w:left w:val="single" w:sz="8" w:color="auto"/>
              <w:bottom w:val="single" w:sz="8" w:color="auto"/>
            </w:tcBorders>
          </w:tcPr>
          <w:p>
            <w:pPr>
              <w:spacing w:after="0"/>
              <w:rPr>
                <w:sz w:val="12"/>
                <w:szCs w:val="12"/>
                <w:color w:val="auto"/>
              </w:rPr>
            </w:pPr>
          </w:p>
        </w:tc>
        <w:tc>
          <w:tcPr>
            <w:tcW w:w="14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2520" w:type="dxa"/>
            <w:vAlign w:val="bottom"/>
            <w:tcBorders>
              <w:bottom w:val="single" w:sz="8" w:color="auto"/>
            </w:tcBorders>
            <w:gridSpan w:val="3"/>
          </w:tcPr>
          <w:p>
            <w:pPr>
              <w:jc w:val="center"/>
              <w:ind w:left="608"/>
              <w:spacing w:after="0" w:line="142" w:lineRule="exact"/>
              <w:rPr>
                <w:sz w:val="20"/>
                <w:szCs w:val="20"/>
                <w:color w:val="auto"/>
              </w:rPr>
            </w:pPr>
            <w:r>
              <w:rPr>
                <w:rFonts w:ascii="Arial" w:cs="Arial" w:eastAsia="Arial" w:hAnsi="Arial"/>
                <w:sz w:val="14"/>
                <w:szCs w:val="14"/>
                <w:color w:val="auto"/>
                <w:w w:val="93"/>
              </w:rPr>
              <w:t>Rule 457(b) and 0-11(a)(2)</w:t>
            </w:r>
          </w:p>
        </w:tc>
        <w:tc>
          <w:tcPr>
            <w:tcW w:w="78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7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840" w:type="dxa"/>
            <w:vAlign w:val="bottom"/>
            <w:tcBorders>
              <w:left w:val="single" w:sz="8" w:color="auto"/>
              <w:right w:val="single" w:sz="8" w:color="auto"/>
            </w:tcBorders>
          </w:tcPr>
          <w:p>
            <w:pPr>
              <w:ind w:left="160"/>
              <w:spacing w:after="0" w:line="123" w:lineRule="exact"/>
              <w:rPr>
                <w:sz w:val="20"/>
                <w:szCs w:val="20"/>
                <w:color w:val="auto"/>
              </w:rPr>
            </w:pPr>
            <w:r>
              <w:rPr>
                <w:rFonts w:ascii="Arial" w:cs="Arial" w:eastAsia="Arial" w:hAnsi="Arial"/>
                <w:sz w:val="14"/>
                <w:szCs w:val="14"/>
                <w:color w:val="auto"/>
                <w:w w:val="97"/>
              </w:rPr>
              <w:t>Fee Offset</w:t>
            </w:r>
          </w:p>
        </w:tc>
        <w:tc>
          <w:tcPr>
            <w:tcW w:w="1460" w:type="dxa"/>
            <w:vAlign w:val="bottom"/>
            <w:tcBorders>
              <w:right w:val="single" w:sz="8" w:color="auto"/>
            </w:tcBorders>
          </w:tcPr>
          <w:p>
            <w:pPr>
              <w:spacing w:after="0"/>
              <w:rPr>
                <w:sz w:val="10"/>
                <w:szCs w:val="10"/>
                <w:color w:val="auto"/>
              </w:rPr>
            </w:pPr>
          </w:p>
        </w:tc>
        <w:tc>
          <w:tcPr>
            <w:tcW w:w="600" w:type="dxa"/>
            <w:vAlign w:val="bottom"/>
            <w:tcBorders>
              <w:right w:val="single" w:sz="8" w:color="auto"/>
            </w:tcBorders>
          </w:tcPr>
          <w:p>
            <w:pPr>
              <w:spacing w:after="0"/>
              <w:rPr>
                <w:sz w:val="10"/>
                <w:szCs w:val="10"/>
                <w:color w:val="auto"/>
              </w:rPr>
            </w:pPr>
          </w:p>
        </w:tc>
        <w:tc>
          <w:tcPr>
            <w:tcW w:w="840" w:type="dxa"/>
            <w:vAlign w:val="bottom"/>
            <w:tcBorders>
              <w:right w:val="single" w:sz="8" w:color="auto"/>
            </w:tcBorders>
          </w:tcPr>
          <w:p>
            <w:pPr>
              <w:spacing w:after="0"/>
              <w:rPr>
                <w:sz w:val="10"/>
                <w:szCs w:val="10"/>
                <w:color w:val="auto"/>
              </w:rPr>
            </w:pPr>
          </w:p>
        </w:tc>
        <w:tc>
          <w:tcPr>
            <w:tcW w:w="900" w:type="dxa"/>
            <w:vAlign w:val="bottom"/>
            <w:tcBorders>
              <w:right w:val="single" w:sz="8" w:color="auto"/>
            </w:tcBorders>
          </w:tcPr>
          <w:p>
            <w:pPr>
              <w:spacing w:after="0"/>
              <w:rPr>
                <w:sz w:val="10"/>
                <w:szCs w:val="10"/>
                <w:color w:val="auto"/>
              </w:rPr>
            </w:pPr>
          </w:p>
        </w:tc>
        <w:tc>
          <w:tcPr>
            <w:tcW w:w="940" w:type="dxa"/>
            <w:vAlign w:val="bottom"/>
            <w:tcBorders>
              <w:right w:val="single" w:sz="8" w:color="auto"/>
            </w:tcBorders>
          </w:tcPr>
          <w:p>
            <w:pPr>
              <w:spacing w:after="0"/>
              <w:rPr>
                <w:sz w:val="10"/>
                <w:szCs w:val="10"/>
                <w:color w:val="auto"/>
              </w:rPr>
            </w:pPr>
          </w:p>
        </w:tc>
        <w:tc>
          <w:tcPr>
            <w:tcW w:w="680" w:type="dxa"/>
            <w:vAlign w:val="bottom"/>
            <w:tcBorders>
              <w:right w:val="single" w:sz="8" w:color="auto"/>
            </w:tcBorders>
          </w:tcPr>
          <w:p>
            <w:pPr>
              <w:spacing w:after="0"/>
              <w:rPr>
                <w:sz w:val="10"/>
                <w:szCs w:val="10"/>
                <w:color w:val="auto"/>
              </w:rPr>
            </w:pPr>
          </w:p>
        </w:tc>
        <w:tc>
          <w:tcPr>
            <w:tcW w:w="780" w:type="dxa"/>
            <w:vAlign w:val="bottom"/>
            <w:tcBorders>
              <w:right w:val="single" w:sz="8" w:color="auto"/>
            </w:tcBorders>
          </w:tcPr>
          <w:p>
            <w:pPr>
              <w:spacing w:after="0"/>
              <w:rPr>
                <w:sz w:val="10"/>
                <w:szCs w:val="10"/>
                <w:color w:val="auto"/>
              </w:rPr>
            </w:pPr>
          </w:p>
        </w:tc>
        <w:tc>
          <w:tcPr>
            <w:tcW w:w="1260" w:type="dxa"/>
            <w:vAlign w:val="bottom"/>
            <w:tcBorders>
              <w:right w:val="single" w:sz="8" w:color="auto"/>
            </w:tcBorders>
          </w:tcPr>
          <w:p>
            <w:pPr>
              <w:spacing w:after="0"/>
              <w:rPr>
                <w:sz w:val="10"/>
                <w:szCs w:val="10"/>
                <w:color w:val="auto"/>
              </w:rPr>
            </w:pPr>
          </w:p>
        </w:tc>
        <w:tc>
          <w:tcPr>
            <w:tcW w:w="780" w:type="dxa"/>
            <w:vAlign w:val="bottom"/>
            <w:tcBorders>
              <w:right w:val="single" w:sz="8" w:color="auto"/>
            </w:tcBorders>
          </w:tcPr>
          <w:p>
            <w:pPr>
              <w:spacing w:after="0"/>
              <w:rPr>
                <w:sz w:val="10"/>
                <w:szCs w:val="10"/>
                <w:color w:val="auto"/>
              </w:rPr>
            </w:pPr>
          </w:p>
        </w:tc>
        <w:tc>
          <w:tcPr>
            <w:tcW w:w="820" w:type="dxa"/>
            <w:vAlign w:val="bottom"/>
            <w:tcBorders>
              <w:right w:val="single" w:sz="8" w:color="auto"/>
            </w:tcBorders>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8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4"/>
                <w:szCs w:val="14"/>
                <w:color w:val="auto"/>
              </w:rPr>
              <w:t>Claims</w:t>
            </w:r>
          </w:p>
        </w:tc>
        <w:tc>
          <w:tcPr>
            <w:tcW w:w="1460" w:type="dxa"/>
            <w:vAlign w:val="bottom"/>
            <w:tcBorders>
              <w:bottom w:val="single" w:sz="8" w:color="auto"/>
              <w:right w:val="single" w:sz="8" w:color="auto"/>
            </w:tcBorders>
          </w:tcPr>
          <w:p>
            <w:pPr>
              <w:spacing w:after="0"/>
              <w:rPr>
                <w:sz w:val="14"/>
                <w:szCs w:val="14"/>
                <w:color w:val="auto"/>
              </w:rPr>
            </w:pPr>
          </w:p>
        </w:tc>
        <w:tc>
          <w:tcPr>
            <w:tcW w:w="600" w:type="dxa"/>
            <w:vAlign w:val="bottom"/>
            <w:tcBorders>
              <w:bottom w:val="single" w:sz="8" w:color="auto"/>
              <w:right w:val="single" w:sz="8" w:color="auto"/>
            </w:tcBorders>
          </w:tcPr>
          <w:p>
            <w:pPr>
              <w:spacing w:after="0"/>
              <w:rPr>
                <w:sz w:val="14"/>
                <w:szCs w:val="14"/>
                <w:color w:val="auto"/>
              </w:rPr>
            </w:pPr>
          </w:p>
        </w:tc>
        <w:tc>
          <w:tcPr>
            <w:tcW w:w="840" w:type="dxa"/>
            <w:vAlign w:val="bottom"/>
            <w:tcBorders>
              <w:bottom w:val="single" w:sz="8" w:color="auto"/>
              <w:right w:val="single" w:sz="8" w:color="auto"/>
            </w:tcBorders>
          </w:tcPr>
          <w:p>
            <w:pPr>
              <w:spacing w:after="0"/>
              <w:rPr>
                <w:sz w:val="14"/>
                <w:szCs w:val="14"/>
                <w:color w:val="auto"/>
              </w:rPr>
            </w:pPr>
          </w:p>
        </w:tc>
        <w:tc>
          <w:tcPr>
            <w:tcW w:w="90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spacing w:after="0"/>
              <w:rPr>
                <w:sz w:val="14"/>
                <w:szCs w:val="14"/>
                <w:color w:val="auto"/>
              </w:rPr>
            </w:pPr>
          </w:p>
        </w:tc>
        <w:tc>
          <w:tcPr>
            <w:tcW w:w="780" w:type="dxa"/>
            <w:vAlign w:val="bottom"/>
            <w:tcBorders>
              <w:bottom w:val="single" w:sz="8" w:color="auto"/>
              <w:right w:val="single" w:sz="8" w:color="auto"/>
            </w:tcBorders>
          </w:tcPr>
          <w:p>
            <w:pPr>
              <w:spacing w:after="0"/>
              <w:rPr>
                <w:sz w:val="14"/>
                <w:szCs w:val="14"/>
                <w:color w:val="auto"/>
              </w:rPr>
            </w:pPr>
          </w:p>
        </w:tc>
        <w:tc>
          <w:tcPr>
            <w:tcW w:w="1260" w:type="dxa"/>
            <w:vAlign w:val="bottom"/>
            <w:tcBorders>
              <w:bottom w:val="single" w:sz="8" w:color="auto"/>
              <w:right w:val="single" w:sz="8" w:color="auto"/>
            </w:tcBorders>
          </w:tcPr>
          <w:p>
            <w:pPr>
              <w:spacing w:after="0"/>
              <w:rPr>
                <w:sz w:val="14"/>
                <w:szCs w:val="14"/>
                <w:color w:val="auto"/>
              </w:rPr>
            </w:pPr>
          </w:p>
        </w:tc>
        <w:tc>
          <w:tcPr>
            <w:tcW w:w="780" w:type="dxa"/>
            <w:vAlign w:val="bottom"/>
            <w:tcBorders>
              <w:bottom w:val="single" w:sz="8" w:color="auto"/>
              <w:right w:val="single" w:sz="8" w:color="auto"/>
            </w:tcBorders>
          </w:tcPr>
          <w:p>
            <w:pPr>
              <w:spacing w:after="0"/>
              <w:rPr>
                <w:sz w:val="14"/>
                <w:szCs w:val="14"/>
                <w:color w:val="auto"/>
              </w:rPr>
            </w:pPr>
          </w:p>
        </w:tc>
        <w:tc>
          <w:tcPr>
            <w:tcW w:w="82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840" w:type="dxa"/>
            <w:vAlign w:val="bottom"/>
            <w:tcBorders>
              <w:left w:val="single" w:sz="8" w:color="auto"/>
              <w:right w:val="single" w:sz="8" w:color="auto"/>
            </w:tcBorders>
          </w:tcPr>
          <w:p>
            <w:pPr>
              <w:spacing w:after="0"/>
              <w:rPr>
                <w:sz w:val="11"/>
                <w:szCs w:val="11"/>
                <w:color w:val="auto"/>
              </w:rPr>
            </w:pPr>
          </w:p>
        </w:tc>
        <w:tc>
          <w:tcPr>
            <w:tcW w:w="1460" w:type="dxa"/>
            <w:vAlign w:val="bottom"/>
            <w:tcBorders>
              <w:right w:val="single" w:sz="8" w:color="auto"/>
            </w:tcBorders>
          </w:tcPr>
          <w:p>
            <w:pPr>
              <w:jc w:val="center"/>
              <w:spacing w:after="0" w:line="129" w:lineRule="exact"/>
              <w:rPr>
                <w:sz w:val="20"/>
                <w:szCs w:val="20"/>
                <w:color w:val="auto"/>
              </w:rPr>
            </w:pPr>
            <w:r>
              <w:rPr>
                <w:rFonts w:ascii="Arial" w:cs="Arial" w:eastAsia="Arial" w:hAnsi="Arial"/>
                <w:sz w:val="14"/>
                <w:szCs w:val="14"/>
                <w:color w:val="auto"/>
                <w:w w:val="98"/>
              </w:rPr>
              <w:t>Fulcrum</w:t>
            </w:r>
          </w:p>
        </w:tc>
        <w:tc>
          <w:tcPr>
            <w:tcW w:w="60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94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1260" w:type="dxa"/>
            <w:vAlign w:val="bottom"/>
            <w:tcBorders>
              <w:right w:val="single" w:sz="8" w:color="auto"/>
            </w:tcBorders>
          </w:tcPr>
          <w:p>
            <w:pPr>
              <w:jc w:val="center"/>
              <w:spacing w:after="0" w:line="129" w:lineRule="exact"/>
              <w:rPr>
                <w:sz w:val="20"/>
                <w:szCs w:val="20"/>
                <w:color w:val="auto"/>
              </w:rPr>
            </w:pPr>
            <w:r>
              <w:rPr>
                <w:rFonts w:ascii="Arial" w:cs="Arial" w:eastAsia="Arial" w:hAnsi="Arial"/>
                <w:sz w:val="14"/>
                <w:szCs w:val="14"/>
                <w:color w:val="auto"/>
                <w:w w:val="93"/>
              </w:rPr>
              <w:t>Common Stock, par</w:t>
            </w:r>
          </w:p>
        </w:tc>
        <w:tc>
          <w:tcPr>
            <w:tcW w:w="78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840" w:type="dxa"/>
            <w:vAlign w:val="bottom"/>
            <w:tcBorders>
              <w:left w:val="single" w:sz="8" w:color="auto"/>
              <w:right w:val="single" w:sz="8" w:color="auto"/>
            </w:tcBorders>
          </w:tcPr>
          <w:p>
            <w:pPr>
              <w:ind w:left="160"/>
              <w:spacing w:after="0" w:line="149" w:lineRule="exact"/>
              <w:rPr>
                <w:sz w:val="20"/>
                <w:szCs w:val="20"/>
                <w:color w:val="auto"/>
              </w:rPr>
            </w:pPr>
            <w:r>
              <w:rPr>
                <w:rFonts w:ascii="Arial" w:cs="Arial" w:eastAsia="Arial" w:hAnsi="Arial"/>
                <w:sz w:val="14"/>
                <w:szCs w:val="14"/>
                <w:color w:val="auto"/>
                <w:w w:val="97"/>
              </w:rPr>
              <w:t>Fee Offset</w:t>
            </w:r>
          </w:p>
        </w:tc>
        <w:tc>
          <w:tcPr>
            <w:tcW w:w="14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1"/>
              </w:rPr>
              <w:t>Therapeutics,</w:t>
            </w:r>
          </w:p>
        </w:tc>
        <w:tc>
          <w:tcPr>
            <w:tcW w:w="60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2"/>
              </w:rPr>
              <w:t>August 11,</w:t>
            </w:r>
          </w:p>
        </w:tc>
        <w:tc>
          <w:tcPr>
            <w:tcW w:w="9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2"/>
              </w:rPr>
              <w:t>August 11,</w:t>
            </w:r>
          </w:p>
        </w:tc>
        <w:tc>
          <w:tcPr>
            <w:tcW w:w="68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12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2"/>
              </w:rPr>
              <w:t>value $0.001 per</w:t>
            </w:r>
          </w:p>
        </w:tc>
        <w:tc>
          <w:tcPr>
            <w:tcW w:w="78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8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4"/>
                <w:szCs w:val="14"/>
                <w:color w:val="auto"/>
              </w:rPr>
              <w:t>Sources</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7"/>
              </w:rPr>
              <w:t>Inc.</w:t>
            </w:r>
          </w:p>
        </w:tc>
        <w:tc>
          <w:tcPr>
            <w:tcW w:w="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S-3</w:t>
            </w: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333-244136</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9"/>
              </w:rPr>
              <w:t>2020</w:t>
            </w:r>
          </w:p>
        </w:tc>
        <w:tc>
          <w:tcPr>
            <w:tcW w:w="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9"/>
              </w:rPr>
              <w:t>2020</w:t>
            </w:r>
          </w:p>
        </w:tc>
        <w:tc>
          <w:tcPr>
            <w:tcW w:w="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$8,967.49</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7"/>
              </w:rPr>
              <w:t>Equity</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5"/>
              </w:rPr>
              <w:t>share</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N/A</w:t>
            </w: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2"/>
              </w:rPr>
              <w:t>$69,086,950</w:t>
            </w:r>
          </w:p>
        </w:tc>
        <w:tc>
          <w:tcPr>
            <w:tcW w:w="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$32,450</w:t>
            </w:r>
          </w:p>
        </w:tc>
        <w:tc>
          <w:tcPr>
            <w:tcW w:w="0" w:type="dxa"/>
            <w:vAlign w:val="bottom"/>
          </w:tcPr>
          <w:p>
            <w:pPr>
              <w:spacing w:after="0"/>
              <w:rPr>
                <w:sz w:val="1"/>
                <w:szCs w:val="1"/>
                <w:color w:val="auto"/>
              </w:rPr>
            </w:pPr>
          </w:p>
        </w:tc>
      </w:tr>
      <w:tr>
        <w:trPr>
          <w:trHeight w:val="128"/>
        </w:trPr>
        <w:tc>
          <w:tcPr>
            <w:tcW w:w="840" w:type="dxa"/>
            <w:vAlign w:val="bottom"/>
            <w:tcBorders>
              <w:left w:val="single" w:sz="8" w:color="auto"/>
              <w:right w:val="single" w:sz="8" w:color="auto"/>
            </w:tcBorders>
          </w:tcPr>
          <w:p>
            <w:pPr>
              <w:spacing w:after="0"/>
              <w:rPr>
                <w:sz w:val="11"/>
                <w:szCs w:val="11"/>
                <w:color w:val="auto"/>
              </w:rPr>
            </w:pPr>
          </w:p>
        </w:tc>
        <w:tc>
          <w:tcPr>
            <w:tcW w:w="1460" w:type="dxa"/>
            <w:vAlign w:val="bottom"/>
            <w:tcBorders>
              <w:right w:val="single" w:sz="8" w:color="auto"/>
            </w:tcBorders>
          </w:tcPr>
          <w:p>
            <w:pPr>
              <w:jc w:val="center"/>
              <w:spacing w:after="0" w:line="129" w:lineRule="exact"/>
              <w:rPr>
                <w:sz w:val="20"/>
                <w:szCs w:val="20"/>
                <w:color w:val="auto"/>
              </w:rPr>
            </w:pPr>
            <w:r>
              <w:rPr>
                <w:rFonts w:ascii="Arial" w:cs="Arial" w:eastAsia="Arial" w:hAnsi="Arial"/>
                <w:sz w:val="14"/>
                <w:szCs w:val="14"/>
                <w:color w:val="auto"/>
                <w:w w:val="98"/>
              </w:rPr>
              <w:t>Fulcrum</w:t>
            </w:r>
          </w:p>
        </w:tc>
        <w:tc>
          <w:tcPr>
            <w:tcW w:w="60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94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1260" w:type="dxa"/>
            <w:vAlign w:val="bottom"/>
            <w:tcBorders>
              <w:right w:val="single" w:sz="8" w:color="auto"/>
            </w:tcBorders>
          </w:tcPr>
          <w:p>
            <w:pPr>
              <w:jc w:val="center"/>
              <w:spacing w:after="0" w:line="129" w:lineRule="exact"/>
              <w:rPr>
                <w:sz w:val="20"/>
                <w:szCs w:val="20"/>
                <w:color w:val="auto"/>
              </w:rPr>
            </w:pPr>
            <w:r>
              <w:rPr>
                <w:rFonts w:ascii="Arial" w:cs="Arial" w:eastAsia="Arial" w:hAnsi="Arial"/>
                <w:sz w:val="14"/>
                <w:szCs w:val="14"/>
                <w:color w:val="auto"/>
                <w:w w:val="93"/>
              </w:rPr>
              <w:t>Common Stock, par</w:t>
            </w:r>
          </w:p>
        </w:tc>
        <w:tc>
          <w:tcPr>
            <w:tcW w:w="78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840" w:type="dxa"/>
            <w:vAlign w:val="bottom"/>
            <w:tcBorders>
              <w:left w:val="single" w:sz="8" w:color="auto"/>
              <w:right w:val="single" w:sz="8" w:color="auto"/>
            </w:tcBorders>
          </w:tcPr>
          <w:p>
            <w:pPr>
              <w:ind w:left="160"/>
              <w:spacing w:after="0" w:line="149" w:lineRule="exact"/>
              <w:rPr>
                <w:sz w:val="20"/>
                <w:szCs w:val="20"/>
                <w:color w:val="auto"/>
              </w:rPr>
            </w:pPr>
            <w:r>
              <w:rPr>
                <w:rFonts w:ascii="Arial" w:cs="Arial" w:eastAsia="Arial" w:hAnsi="Arial"/>
                <w:sz w:val="14"/>
                <w:szCs w:val="14"/>
                <w:color w:val="auto"/>
                <w:w w:val="97"/>
              </w:rPr>
              <w:t>Fee Offset</w:t>
            </w:r>
          </w:p>
        </w:tc>
        <w:tc>
          <w:tcPr>
            <w:tcW w:w="14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1"/>
              </w:rPr>
              <w:t>Therapeutics,</w:t>
            </w:r>
          </w:p>
        </w:tc>
        <w:tc>
          <w:tcPr>
            <w:tcW w:w="60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4"/>
              </w:rPr>
              <w:t>November 4,</w:t>
            </w:r>
          </w:p>
        </w:tc>
        <w:tc>
          <w:tcPr>
            <w:tcW w:w="9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4"/>
              </w:rPr>
              <w:t>November 4,</w:t>
            </w:r>
          </w:p>
        </w:tc>
        <w:tc>
          <w:tcPr>
            <w:tcW w:w="68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12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2"/>
              </w:rPr>
              <w:t>value $0.001 per</w:t>
            </w:r>
          </w:p>
        </w:tc>
        <w:tc>
          <w:tcPr>
            <w:tcW w:w="78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8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4"/>
                <w:szCs w:val="14"/>
                <w:color w:val="auto"/>
              </w:rPr>
              <w:t>Sources</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7"/>
              </w:rPr>
              <w:t>Inc.</w:t>
            </w:r>
          </w:p>
        </w:tc>
        <w:tc>
          <w:tcPr>
            <w:tcW w:w="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S-3ASR</w:t>
            </w: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333-260754</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9"/>
              </w:rPr>
              <w:t>2021</w:t>
            </w:r>
          </w:p>
        </w:tc>
        <w:tc>
          <w:tcPr>
            <w:tcW w:w="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9"/>
              </w:rPr>
              <w:t>2021</w:t>
            </w:r>
          </w:p>
        </w:tc>
        <w:tc>
          <w:tcPr>
            <w:tcW w:w="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$7,500.64</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7"/>
              </w:rPr>
              <w:t>Equity</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5"/>
              </w:rPr>
              <w:t>share</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N/A</w:t>
            </w: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2"/>
              </w:rPr>
              <w:t>$80,913,050</w:t>
            </w:r>
          </w:p>
        </w:tc>
        <w:tc>
          <w:tcPr>
            <w:tcW w:w="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9"/>
              </w:rPr>
              <w:t>$7,500.64</w:t>
            </w:r>
          </w:p>
        </w:tc>
        <w:tc>
          <w:tcPr>
            <w:tcW w:w="0" w:type="dxa"/>
            <w:vAlign w:val="bottom"/>
          </w:tcPr>
          <w:p>
            <w:pPr>
              <w:spacing w:after="0"/>
              <w:rPr>
                <w:sz w:val="1"/>
                <w:szCs w:val="1"/>
                <w:color w:val="auto"/>
              </w:rPr>
            </w:pPr>
          </w:p>
        </w:tc>
      </w:tr>
      <w:tr>
        <w:trPr>
          <w:trHeight w:val="142"/>
        </w:trPr>
        <w:tc>
          <w:tcPr>
            <w:tcW w:w="840" w:type="dxa"/>
            <w:vAlign w:val="bottom"/>
            <w:tcBorders>
              <w:left w:val="single" w:sz="8" w:color="auto"/>
              <w:bottom w:val="single" w:sz="8" w:color="auto"/>
            </w:tcBorders>
          </w:tcPr>
          <w:p>
            <w:pPr>
              <w:spacing w:after="0"/>
              <w:rPr>
                <w:sz w:val="12"/>
                <w:szCs w:val="12"/>
                <w:color w:val="auto"/>
              </w:rPr>
            </w:pPr>
          </w:p>
        </w:tc>
        <w:tc>
          <w:tcPr>
            <w:tcW w:w="14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1620" w:type="dxa"/>
            <w:vAlign w:val="bottom"/>
            <w:tcBorders>
              <w:bottom w:val="single" w:sz="8" w:color="auto"/>
            </w:tcBorders>
            <w:gridSpan w:val="2"/>
          </w:tcPr>
          <w:p>
            <w:pPr>
              <w:jc w:val="center"/>
              <w:ind w:right="128"/>
              <w:spacing w:after="0" w:line="142" w:lineRule="exact"/>
              <w:rPr>
                <w:sz w:val="20"/>
                <w:szCs w:val="20"/>
                <w:color w:val="auto"/>
              </w:rPr>
            </w:pPr>
            <w:r>
              <w:rPr>
                <w:rFonts w:ascii="Arial" w:cs="Arial" w:eastAsia="Arial" w:hAnsi="Arial"/>
                <w:sz w:val="14"/>
                <w:szCs w:val="14"/>
                <w:color w:val="auto"/>
                <w:w w:val="95"/>
              </w:rPr>
              <w:t>Rule 457(p)</w:t>
            </w:r>
          </w:p>
        </w:tc>
        <w:tc>
          <w:tcPr>
            <w:tcW w:w="78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7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40" w:type="dxa"/>
            <w:vAlign w:val="bottom"/>
            <w:tcBorders>
              <w:left w:val="single" w:sz="8" w:color="auto"/>
              <w:bottom w:val="single" w:sz="8" w:color="auto"/>
              <w:right w:val="single" w:sz="8" w:color="auto"/>
            </w:tcBorders>
          </w:tcPr>
          <w:p>
            <w:pPr>
              <w:ind w:left="160"/>
              <w:spacing w:after="0" w:line="142" w:lineRule="exact"/>
              <w:rPr>
                <w:sz w:val="20"/>
                <w:szCs w:val="20"/>
                <w:color w:val="auto"/>
              </w:rPr>
            </w:pPr>
            <w:r>
              <w:rPr>
                <w:rFonts w:ascii="Arial" w:cs="Arial" w:eastAsia="Arial" w:hAnsi="Arial"/>
                <w:sz w:val="14"/>
                <w:szCs w:val="14"/>
                <w:color w:val="auto"/>
                <w:w w:val="97"/>
              </w:rPr>
              <w:t>Fee Offset</w:t>
            </w:r>
          </w:p>
        </w:tc>
        <w:tc>
          <w:tcPr>
            <w:tcW w:w="146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9"/>
              </w:rPr>
              <w:t>—</w:t>
            </w:r>
          </w:p>
        </w:tc>
        <w:tc>
          <w:tcPr>
            <w:tcW w:w="60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9"/>
              </w:rPr>
              <w:t>—</w:t>
            </w:r>
          </w:p>
        </w:tc>
        <w:tc>
          <w:tcPr>
            <w:tcW w:w="84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9"/>
              </w:rPr>
              <w:t>—</w:t>
            </w:r>
          </w:p>
        </w:tc>
        <w:tc>
          <w:tcPr>
            <w:tcW w:w="90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9"/>
              </w:rPr>
              <w:t>—</w:t>
            </w:r>
          </w:p>
        </w:tc>
        <w:tc>
          <w:tcPr>
            <w:tcW w:w="94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9"/>
              </w:rPr>
              <w:t>—</w:t>
            </w:r>
          </w:p>
        </w:tc>
        <w:tc>
          <w:tcPr>
            <w:tcW w:w="68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9"/>
              </w:rPr>
              <w:t>—</w:t>
            </w:r>
          </w:p>
        </w:tc>
        <w:tc>
          <w:tcPr>
            <w:tcW w:w="78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9"/>
              </w:rPr>
              <w:t>—</w:t>
            </w:r>
          </w:p>
        </w:tc>
        <w:tc>
          <w:tcPr>
            <w:tcW w:w="126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9"/>
              </w:rPr>
              <w:t>—</w:t>
            </w:r>
          </w:p>
        </w:tc>
        <w:tc>
          <w:tcPr>
            <w:tcW w:w="78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9"/>
              </w:rPr>
              <w:t>—</w:t>
            </w:r>
          </w:p>
        </w:tc>
        <w:tc>
          <w:tcPr>
            <w:tcW w:w="82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9"/>
              </w:rPr>
              <w:t>—</w:t>
            </w:r>
          </w:p>
        </w:tc>
        <w:tc>
          <w:tcPr>
            <w:tcW w:w="70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840" w:type="dxa"/>
            <w:vAlign w:val="bottom"/>
            <w:tcBorders>
              <w:left w:val="single" w:sz="8" w:color="auto"/>
              <w:bottom w:val="single" w:sz="8" w:color="auto"/>
              <w:right w:val="single" w:sz="8" w:color="auto"/>
            </w:tcBorders>
          </w:tcPr>
          <w:p>
            <w:pPr>
              <w:ind w:left="160"/>
              <w:spacing w:after="0" w:line="142" w:lineRule="exact"/>
              <w:rPr>
                <w:sz w:val="20"/>
                <w:szCs w:val="20"/>
                <w:color w:val="auto"/>
              </w:rPr>
            </w:pPr>
            <w:r>
              <w:rPr>
                <w:rFonts w:ascii="Arial" w:cs="Arial" w:eastAsia="Arial" w:hAnsi="Arial"/>
                <w:sz w:val="14"/>
                <w:szCs w:val="14"/>
                <w:color w:val="auto"/>
              </w:rPr>
              <w:t>Claims</w:t>
            </w:r>
          </w:p>
        </w:tc>
        <w:tc>
          <w:tcPr>
            <w:tcW w:w="146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9"/>
              </w:rPr>
              <w:t>—</w:t>
            </w:r>
          </w:p>
        </w:tc>
        <w:tc>
          <w:tcPr>
            <w:tcW w:w="60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9"/>
              </w:rPr>
              <w:t>—</w:t>
            </w:r>
          </w:p>
        </w:tc>
        <w:tc>
          <w:tcPr>
            <w:tcW w:w="84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9"/>
              </w:rPr>
              <w:t>—</w:t>
            </w:r>
          </w:p>
        </w:tc>
        <w:tc>
          <w:tcPr>
            <w:tcW w:w="90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9"/>
              </w:rPr>
              <w:t>—</w:t>
            </w:r>
          </w:p>
        </w:tc>
        <w:tc>
          <w:tcPr>
            <w:tcW w:w="94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9"/>
              </w:rPr>
              <w:t>—</w:t>
            </w:r>
          </w:p>
        </w:tc>
        <w:tc>
          <w:tcPr>
            <w:tcW w:w="68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9"/>
              </w:rPr>
              <w:t>—</w:t>
            </w:r>
          </w:p>
        </w:tc>
        <w:tc>
          <w:tcPr>
            <w:tcW w:w="78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9"/>
              </w:rPr>
              <w:t>—</w:t>
            </w:r>
          </w:p>
        </w:tc>
        <w:tc>
          <w:tcPr>
            <w:tcW w:w="126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9"/>
              </w:rPr>
              <w:t>—</w:t>
            </w:r>
          </w:p>
        </w:tc>
        <w:tc>
          <w:tcPr>
            <w:tcW w:w="78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9"/>
              </w:rPr>
              <w:t>—</w:t>
            </w:r>
          </w:p>
        </w:tc>
        <w:tc>
          <w:tcPr>
            <w:tcW w:w="82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9"/>
              </w:rPr>
              <w:t>—</w:t>
            </w:r>
          </w:p>
        </w:tc>
        <w:tc>
          <w:tcPr>
            <w:tcW w:w="70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0580"/>
      </w:cols>
      <w:pgMar w:left="660" w:top="274"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
      <w:numFmt w:val="bullet"/>
      <w:start w:val="1"/>
    </w:lvl>
  </w:abstractNum>
  <w:abstractNum w:abstractNumId="2">
    <w:nsid w:val="436C6125"/>
    <w:multiLevelType w:val="hybridMultilevel"/>
    <w:lvl w:ilvl="0">
      <w:lvlJc w:val="left"/>
      <w:lvlText w:val="•"/>
      <w:numFmt w:val="bullet"/>
      <w:start w:val="1"/>
    </w:lvl>
  </w:abstractNum>
  <w:abstractNum w:abstractNumId="3">
    <w:nsid w:val="628C895D"/>
    <w:multiLevelType w:val="hybridMultilevel"/>
    <w:lvl w:ilvl="0">
      <w:lvlJc w:val="left"/>
      <w:lvlText w:val="•"/>
      <w:numFmt w:val="bullet"/>
      <w:start w:val="1"/>
    </w:lvl>
  </w:abstractNum>
  <w:abstractNum w:abstractNumId="4">
    <w:nsid w:val="333AB105"/>
    <w:multiLevelType w:val="hybridMultilevel"/>
    <w:lvl w:ilvl="0">
      <w:lvlJc w:val="left"/>
      <w:lvlText w:val="•"/>
      <w:numFmt w:val="bullet"/>
      <w:start w:val="1"/>
    </w:lvl>
  </w:abstractNum>
  <w:abstractNum w:abstractNumId="5">
    <w:nsid w:val="721DA317"/>
    <w:multiLevelType w:val="hybridMultilevel"/>
    <w:lvl w:ilvl="0">
      <w:lvlJc w:val="left"/>
      <w:lvlText w:val="•"/>
      <w:numFmt w:val="bullet"/>
      <w:start w:val="1"/>
    </w:lvl>
  </w:abstractNum>
  <w:abstractNum w:abstractNumId="6">
    <w:nsid w:val="2443A858"/>
    <w:multiLevelType w:val="hybridMultilevel"/>
    <w:lvl w:ilvl="0">
      <w:lvlJc w:val="left"/>
      <w:lvlText w:val="•"/>
      <w:numFmt w:val="bullet"/>
      <w:start w:val="1"/>
    </w:lvl>
  </w:abstractNum>
  <w:abstractNum w:abstractNumId="7">
    <w:nsid w:val="2D1D5AE9"/>
    <w:multiLevelType w:val="hybridMultilevel"/>
    <w:lvl w:ilvl="0">
      <w:lvlJc w:val="left"/>
      <w:lvlText w:val="•"/>
      <w:numFmt w:val="bullet"/>
      <w:start w:val="1"/>
    </w:lvl>
  </w:abstractNum>
  <w:abstractNum w:abstractNumId="8">
    <w:nsid w:val="6763845E"/>
    <w:multiLevelType w:val="hybridMultilevel"/>
    <w:lvl w:ilvl="0">
      <w:lvlJc w:val="left"/>
      <w:lvlText w:val="•"/>
      <w:numFmt w:val="bullet"/>
      <w:start w:val="1"/>
    </w:lvl>
  </w:abstractNum>
  <w:abstractNum w:abstractNumId="9">
    <w:nsid w:val="75A2A8D4"/>
    <w:multiLevelType w:val="hybridMultilevel"/>
    <w:lvl w:ilvl="0">
      <w:lvlJc w:val="left"/>
      <w:lvlText w:val="•"/>
      <w:numFmt w:val="bullet"/>
      <w:start w:val="1"/>
    </w:lvl>
  </w:abstractNum>
  <w:abstractNum w:abstractNumId="10">
    <w:nsid w:val="8EDBDAB"/>
    <w:multiLevelType w:val="hybridMultilevel"/>
    <w:lvl w:ilvl="0">
      <w:lvlJc w:val="left"/>
      <w:lvlText w:val="•"/>
      <w:numFmt w:val="bullet"/>
      <w:start w:val="1"/>
    </w:lvl>
  </w:abstractNum>
  <w:abstractNum w:abstractNumId="11">
    <w:nsid w:val="79838CB2"/>
    <w:multiLevelType w:val="hybridMultilevel"/>
    <w:lvl w:ilvl="0">
      <w:lvlJc w:val="left"/>
      <w:lvlText w:val="•"/>
      <w:numFmt w:val="bullet"/>
      <w:start w:val="1"/>
    </w:lvl>
  </w:abstractNum>
  <w:abstractNum w:abstractNumId="12">
    <w:nsid w:val="4353D0CD"/>
    <w:multiLevelType w:val="hybridMultilevel"/>
    <w:lvl w:ilvl="0">
      <w:lvlJc w:val="left"/>
      <w:lvlText w:val="•"/>
      <w:numFmt w:val="bullet"/>
      <w:start w:val="1"/>
    </w:lvl>
  </w:abstractNum>
  <w:abstractNum w:abstractNumId="13">
    <w:nsid w:val="B03E0C6"/>
    <w:multiLevelType w:val="hybridMultilevel"/>
    <w:lvl w:ilvl="0">
      <w:lvlJc w:val="left"/>
      <w:lvlText w:val="•"/>
      <w:numFmt w:val="bullet"/>
      <w:start w:val="1"/>
    </w:lvl>
  </w:abstractNum>
  <w:abstractNum w:abstractNumId="14">
    <w:nsid w:val="189A769B"/>
    <w:multiLevelType w:val="hybridMultilevel"/>
    <w:lvl w:ilvl="0">
      <w:lvlJc w:val="left"/>
      <w:lvlText w:val="•"/>
      <w:numFmt w:val="bullet"/>
      <w:start w:val="1"/>
    </w:lvl>
  </w:abstractNum>
  <w:abstractNum w:abstractNumId="15">
    <w:nsid w:val="54E49EB4"/>
    <w:multiLevelType w:val="hybridMultilevel"/>
    <w:lvl w:ilvl="0">
      <w:lvlJc w:val="left"/>
      <w:lvlText w:val="•"/>
      <w:numFmt w:val="bullet"/>
      <w:start w:val="1"/>
    </w:lvl>
  </w:abstractNum>
  <w:abstractNum w:abstractNumId="16">
    <w:nsid w:val="71F32454"/>
    <w:multiLevelType w:val="hybridMultilevel"/>
    <w:lvl w:ilvl="0">
      <w:lvlJc w:val="left"/>
      <w:lvlText w:val="•"/>
      <w:numFmt w:val="bullet"/>
      <w:start w:val="1"/>
    </w:lvl>
  </w:abstractNum>
  <w:abstractNum w:abstractNumId="17">
    <w:nsid w:val="2CA88611"/>
    <w:multiLevelType w:val="hybridMultilevel"/>
    <w:lvl w:ilvl="0">
      <w:lvlJc w:val="left"/>
      <w:lvlText w:val="•"/>
      <w:numFmt w:val="bullet"/>
      <w:start w:val="1"/>
    </w:lvl>
  </w:abstractNum>
  <w:abstractNum w:abstractNumId="18">
    <w:nsid w:val="836C40E"/>
    <w:multiLevelType w:val="hybridMultilevel"/>
    <w:lvl w:ilvl="0">
      <w:lvlJc w:val="left"/>
      <w:lvlText w:val="•"/>
      <w:numFmt w:val="bullet"/>
      <w:start w:val="1"/>
    </w:lvl>
  </w:abstractNum>
  <w:abstractNum w:abstractNumId="19">
    <w:nsid w:val="2901D82"/>
    <w:multiLevelType w:val="hybridMultilevel"/>
    <w:lvl w:ilvl="0">
      <w:lvlJc w:val="left"/>
      <w:lvlText w:val="•"/>
      <w:numFmt w:val="bullet"/>
      <w:start w:val="1"/>
    </w:lvl>
  </w:abstractNum>
  <w:abstractNum w:abstractNumId="20">
    <w:nsid w:val="3A95F874"/>
    <w:multiLevelType w:val="hybridMultilevel"/>
    <w:lvl w:ilvl="0">
      <w:lvlJc w:val="left"/>
      <w:lvlText w:val="•"/>
      <w:numFmt w:val="bullet"/>
      <w:start w:val="1"/>
    </w:lvl>
  </w:abstractNum>
  <w:abstractNum w:abstractNumId="21">
    <w:nsid w:val="8138641"/>
    <w:multiLevelType w:val="hybridMultilevel"/>
    <w:lvl w:ilvl="0">
      <w:lvlJc w:val="left"/>
      <w:lvlText w:val="•"/>
      <w:numFmt w:val="bullet"/>
      <w:start w:val="1"/>
    </w:lvl>
  </w:abstractNum>
  <w:abstractNum w:abstractNumId="22">
    <w:nsid w:val="1E7FF521"/>
    <w:multiLevelType w:val="hybridMultilevel"/>
    <w:lvl w:ilvl="0">
      <w:lvlJc w:val="left"/>
      <w:lvlText w:val="•"/>
      <w:numFmt w:val="bullet"/>
      <w:start w:val="1"/>
    </w:lvl>
  </w:abstractNum>
  <w:abstractNum w:abstractNumId="23">
    <w:nsid w:val="7C3DBD3D"/>
    <w:multiLevelType w:val="hybridMultilevel"/>
    <w:lvl w:ilvl="0">
      <w:lvlJc w:val="left"/>
      <w:lvlText w:val="•"/>
      <w:numFmt w:val="bullet"/>
      <w:start w:val="1"/>
    </w:lvl>
  </w:abstractNum>
  <w:abstractNum w:abstractNumId="24">
    <w:nsid w:val="737B8DDC"/>
    <w:multiLevelType w:val="hybridMultilevel"/>
    <w:lvl w:ilvl="0">
      <w:lvlJc w:val="left"/>
      <w:lvlText w:val="•"/>
      <w:numFmt w:val="bullet"/>
      <w:start w:val="1"/>
    </w:lvl>
  </w:abstractNum>
  <w:abstractNum w:abstractNumId="25">
    <w:nsid w:val="6CEAF087"/>
    <w:multiLevelType w:val="hybridMultilevel"/>
    <w:lvl w:ilvl="0">
      <w:lvlJc w:val="left"/>
      <w:lvlText w:val="•"/>
      <w:numFmt w:val="bullet"/>
      <w:start w:val="1"/>
    </w:lvl>
  </w:abstractNum>
  <w:abstractNum w:abstractNumId="26">
    <w:nsid w:val="22221A70"/>
    <w:multiLevelType w:val="hybridMultilevel"/>
    <w:lvl w:ilvl="0">
      <w:lvlJc w:val="left"/>
      <w:lvlText w:val="(%1)"/>
      <w:numFmt w:val="decimal"/>
      <w:start w:val="1"/>
    </w:lvl>
  </w:abstractNum>
  <w:abstractNum w:abstractNumId="27">
    <w:nsid w:val="4516DDE9"/>
    <w:multiLevelType w:val="hybridMultilevel"/>
    <w:lvl w:ilvl="0">
      <w:lvlJc w:val="left"/>
      <w:lvlText w:val="*"/>
      <w:numFmt w:val="bullet"/>
      <w:start w:val="1"/>
    </w:lvl>
  </w:abstractNum>
  <w:abstractNum w:abstractNumId="28">
    <w:nsid w:val="3006C83E"/>
    <w:multiLevelType w:val="hybridMultilevel"/>
    <w:lvl w:ilvl="0">
      <w:lvlJc w:val="left"/>
      <w:lvlText w:val="**"/>
      <w:numFmt w:val="bullet"/>
      <w:start w:val="1"/>
    </w:lvl>
  </w:abstractNum>
  <w:abstractNum w:abstractNumId="29">
    <w:nsid w:val="614FD4A1"/>
    <w:multiLevelType w:val="hybridMultilevel"/>
    <w:lvl w:ilvl="0">
      <w:lvlJc w:val="left"/>
      <w:lvlText w:val="***"/>
      <w:numFmt w:val="bullet"/>
      <w:start w:val="1"/>
    </w:lvl>
  </w:abstractNum>
  <w:abstractNum w:abstractNumId="30">
    <w:nsid w:val="419AC241"/>
    <w:multiLevelType w:val="hybridMultilevel"/>
    <w:lvl w:ilvl="0">
      <w:lvlJc w:val="left"/>
      <w:lvlText w:val="(%1)"/>
      <w:numFmt w:val="lowerRoman"/>
      <w:start w:val="1"/>
    </w:lvl>
  </w:abstractNum>
  <w:abstractNum w:abstractNumId="31">
    <w:nsid w:val="5577F8E1"/>
    <w:multiLevelType w:val="hybridMultilevel"/>
    <w:lvl w:ilvl="0">
      <w:lvlJc w:val="left"/>
      <w:lvlText w:val="(%1)"/>
      <w:numFmt w:val="decimal"/>
      <w:start w:val="2"/>
    </w:lvl>
    <w:lvl w:ilvl="1">
      <w:lvlJc w:val="left"/>
      <w:lvlText w:val="(%2)"/>
      <w:numFmt w:val="lowerRoman"/>
      <w:start w:val="1"/>
    </w:lvl>
  </w:abstractNum>
  <w:abstractNum w:abstractNumId="32">
    <w:nsid w:val="440BADFC"/>
    <w:multiLevelType w:val="hybridMultilevel"/>
    <w:lvl w:ilvl="0">
      <w:lvlJc w:val="left"/>
      <w:lvlText w:val="(%1)"/>
      <w:numFmt w:val="lowerLetter"/>
      <w:start w:val="2"/>
    </w:lvl>
  </w:abstractNum>
  <w:abstractNum w:abstractNumId="33">
    <w:nsid w:val="5072367"/>
    <w:multiLevelType w:val="hybridMultilevel"/>
    <w:lvl w:ilvl="0">
      <w:lvlJc w:val="left"/>
      <w:lvlText w:val="(%1)"/>
      <w:numFmt w:val="lowerLetter"/>
      <w:start w:val="3"/>
    </w:lvl>
    <w:lvl w:ilvl="1">
      <w:lvlJc w:val="left"/>
      <w:lvlText w:val="(%2)"/>
      <w:numFmt w:val="lowerRoman"/>
      <w:start w:val="1"/>
    </w:lvl>
  </w:abstractNum>
  <w:abstractNum w:abstractNumId="34">
    <w:nsid w:val="3804823E"/>
    <w:multiLevelType w:val="hybridMultilevel"/>
    <w:lvl w:ilvl="0">
      <w:lvlJc w:val="left"/>
      <w:lvlText w:val="•"/>
      <w:numFmt w:val="bullet"/>
      <w:start w:val="1"/>
    </w:lvl>
  </w:abstractNum>
  <w:abstractNum w:abstractNumId="35">
    <w:nsid w:val="77465F01"/>
    <w:multiLevelType w:val="hybridMultilevel"/>
    <w:lvl w:ilvl="0">
      <w:lvlJc w:val="left"/>
      <w:lvlText w:val="%1."/>
      <w:numFmt w:val="decimal"/>
      <w:start w:val="1"/>
    </w:lvl>
  </w:abstractNum>
  <w:abstractNum w:abstractNumId="36">
    <w:nsid w:val="7724C67E"/>
    <w:multiLevelType w:val="hybridMultilevel"/>
    <w:lvl w:ilvl="0">
      <w:lvlJc w:val="left"/>
      <w:lvlText w:val="%1."/>
      <w:numFmt w:val="decimal"/>
      <w:start w:val="4"/>
    </w:lvl>
  </w:abstractNum>
  <w:abstractNum w:abstractNumId="37">
    <w:nsid w:val="5C482A9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41" Type="http://schemas.openxmlformats.org/officeDocument/2006/relationships/image" Target="media/image21.png"/><Relationship Id="rId42" Type="http://schemas.openxmlformats.org/officeDocument/2006/relationships/image" Target="media/image22.png"/><Relationship Id="rId43" Type="http://schemas.openxmlformats.org/officeDocument/2006/relationships/image" Target="media/image23.png"/><Relationship Id="rId44" Type="http://schemas.openxmlformats.org/officeDocument/2006/relationships/image" Target="media/image24.png"/><Relationship Id="rId45" Type="http://schemas.openxmlformats.org/officeDocument/2006/relationships/image" Target="media/image25.png"/><Relationship Id="rId46" Type="http://schemas.openxmlformats.org/officeDocument/2006/relationships/image" Target="media/image26.png"/><Relationship Id="rId47" Type="http://schemas.openxmlformats.org/officeDocument/2006/relationships/image" Target="media/image27.png"/><Relationship Id="rId48" Type="http://schemas.openxmlformats.org/officeDocument/2006/relationships/image" Target="media/image28.png"/><Relationship Id="rId49" Type="http://schemas.openxmlformats.org/officeDocument/2006/relationships/image" Target="media/image29.png"/><Relationship Id="rId50" Type="http://schemas.openxmlformats.org/officeDocument/2006/relationships/image" Target="media/image30.png"/><Relationship Id="rId51" Type="http://schemas.openxmlformats.org/officeDocument/2006/relationships/image" Target="media/image31.png"/><Relationship Id="rId52" Type="http://schemas.openxmlformats.org/officeDocument/2006/relationships/image" Target="media/image32.png"/><Relationship Id="rId53" Type="http://schemas.openxmlformats.org/officeDocument/2006/relationships/image" Target="media/image33.png"/><Relationship Id="rId54" Type="http://schemas.openxmlformats.org/officeDocument/2006/relationships/image" Target="media/image34.png"/><Relationship Id="rId55" Type="http://schemas.openxmlformats.org/officeDocument/2006/relationships/image" Target="media/image35.png"/><Relationship Id="rId56" Type="http://schemas.openxmlformats.org/officeDocument/2006/relationships/image" Target="media/image36.png"/><Relationship Id="rId57" Type="http://schemas.openxmlformats.org/officeDocument/2006/relationships/image" Target="media/image37.png"/><Relationship Id="rId58" Type="http://schemas.openxmlformats.org/officeDocument/2006/relationships/image" Target="media/image38.png"/><Relationship Id="rId59" Type="http://schemas.openxmlformats.org/officeDocument/2006/relationships/image" Target="media/image39.png"/><Relationship Id="rId60" Type="http://schemas.openxmlformats.org/officeDocument/2006/relationships/image" Target="media/image40.png"/><Relationship Id="rId61" Type="http://schemas.openxmlformats.org/officeDocument/2006/relationships/image" Target="media/image41.png"/><Relationship Id="rId62" Type="http://schemas.openxmlformats.org/officeDocument/2006/relationships/image" Target="media/image42.png"/><Relationship Id="rId63" Type="http://schemas.openxmlformats.org/officeDocument/2006/relationships/image" Target="media/image43.png"/><Relationship Id="rId64" Type="http://schemas.openxmlformats.org/officeDocument/2006/relationships/image" Target="media/image44.png"/><Relationship Id="rId65" Type="http://schemas.openxmlformats.org/officeDocument/2006/relationships/image" Target="media/image45.png"/><Relationship Id="rId66" Type="http://schemas.openxmlformats.org/officeDocument/2006/relationships/image" Target="media/image46.png"/><Relationship Id="rId67" Type="http://schemas.openxmlformats.org/officeDocument/2006/relationships/image" Target="media/image47.png"/><Relationship Id="rId68" Type="http://schemas.openxmlformats.org/officeDocument/2006/relationships/image" Target="media/image48.png"/><Relationship Id="rId69" Type="http://schemas.openxmlformats.org/officeDocument/2006/relationships/image" Target="media/image49.png"/><Relationship Id="rId70" Type="http://schemas.openxmlformats.org/officeDocument/2006/relationships/image" Target="media/image50.png"/><Relationship Id="rId71" Type="http://schemas.openxmlformats.org/officeDocument/2006/relationships/image" Target="media/image51.png"/><Relationship Id="rId72" Type="http://schemas.openxmlformats.org/officeDocument/2006/relationships/image" Target="media/image52.png"/><Relationship Id="rId73" Type="http://schemas.openxmlformats.org/officeDocument/2006/relationships/image" Target="media/image53.png"/><Relationship Id="rId74" Type="http://schemas.openxmlformats.org/officeDocument/2006/relationships/image" Target="media/image54.png"/><Relationship Id="rId75" Type="http://schemas.openxmlformats.org/officeDocument/2006/relationships/image" Target="media/image55.png"/><Relationship Id="rId76" Type="http://schemas.openxmlformats.org/officeDocument/2006/relationships/image" Target="media/image56.png"/><Relationship Id="rId77" Type="http://schemas.openxmlformats.org/officeDocument/2006/relationships/image" Target="media/image57.png"/><Relationship Id="rId78" Type="http://schemas.openxmlformats.org/officeDocument/2006/relationships/image" Target="media/image58.png"/><Relationship Id="rId79" Type="http://schemas.openxmlformats.org/officeDocument/2006/relationships/image" Target="media/image59.png"/><Relationship Id="rId80" Type="http://schemas.openxmlformats.org/officeDocument/2006/relationships/image" Target="media/image60.png"/><Relationship Id="rId81" Type="http://schemas.openxmlformats.org/officeDocument/2006/relationships/image" Target="media/image61.png"/><Relationship Id="rId82" Type="http://schemas.openxmlformats.org/officeDocument/2006/relationships/image" Target="media/image62.png"/><Relationship Id="rId83" Type="http://schemas.openxmlformats.org/officeDocument/2006/relationships/image" Target="media/image63.png"/><Relationship Id="rId87" Type="http://schemas.openxmlformats.org/officeDocument/2006/relationships/image" Target="media/image64.png"/><Relationship Id="rId92" Type="http://schemas.openxmlformats.org/officeDocument/2006/relationships/image" Target="media/image65.png"/><Relationship Id="rId93" Type="http://schemas.openxmlformats.org/officeDocument/2006/relationships/image" Target="media/image66.png"/><Relationship Id="rId94" Type="http://schemas.openxmlformats.org/officeDocument/2006/relationships/image" Target="media/image67.png"/><Relationship Id="rId95" Type="http://schemas.openxmlformats.org/officeDocument/2006/relationships/image" Target="media/image68.png"/><Relationship Id="rId96" Type="http://schemas.openxmlformats.org/officeDocument/2006/relationships/image" Target="media/image69.png"/><Relationship Id="rId97" Type="http://schemas.openxmlformats.org/officeDocument/2006/relationships/image" Target="media/image70.png"/><Relationship Id="rId98" Type="http://schemas.openxmlformats.org/officeDocument/2006/relationships/image" Target="media/image71.jpeg"/><Relationship Id="rId99" Type="http://schemas.openxmlformats.org/officeDocument/2006/relationships/image" Target="media/image72.png"/><Relationship Id="rId100" Type="http://schemas.openxmlformats.org/officeDocument/2006/relationships/image" Target="media/image73.png"/><Relationship Id="rId101" Type="http://schemas.openxmlformats.org/officeDocument/2006/relationships/image" Target="media/image74.png"/><Relationship Id="rId28" Type="http://schemas.openxmlformats.org/officeDocument/2006/relationships/hyperlink" Target="http://www.sec.gov/Archives/edgar/data/0001680581/000156459021010715/fulc-10k_20201231.htm" TargetMode="External"/><Relationship Id="rId29" Type="http://schemas.openxmlformats.org/officeDocument/2006/relationships/hyperlink" Target="http://www.sec.gov/Archives/edgar/data/0001680581/000119312521138549/d41208ddef14a.htm" TargetMode="External"/><Relationship Id="rId30" Type="http://schemas.openxmlformats.org/officeDocument/2006/relationships/hyperlink" Target="http://www.sec.gov/Archives/edgar/data/0001680581/000156459021024505/fulc-10q_20210331.htm" TargetMode="External"/><Relationship Id="rId31" Type="http://schemas.openxmlformats.org/officeDocument/2006/relationships/hyperlink" Target="http://www.sec.gov/ix?doc=/Archives/edgar/data/0001680581/000156459021042876/fulc-10q_20210630.htm" TargetMode="External"/><Relationship Id="rId32" Type="http://schemas.openxmlformats.org/officeDocument/2006/relationships/hyperlink" Target="http://www.sec.gov/ix?doc=/Archives/edgar/data/0001680581/000156459021054234/fulc-10q_20210930.htm" TargetMode="External"/><Relationship Id="rId33" Type="http://schemas.openxmlformats.org/officeDocument/2006/relationships/hyperlink" Target="http://www.sec.gov/Archives/edgar/data/0001680581/000119312521011438/d102359d8k.htm" TargetMode="External"/><Relationship Id="rId34" Type="http://schemas.openxmlformats.org/officeDocument/2006/relationships/hyperlink" Target="http://www.sec.gov/Archives/edgar/data/0001680581/000119312521012403/d114001d8k.htm" TargetMode="External"/><Relationship Id="rId35" Type="http://schemas.openxmlformats.org/officeDocument/2006/relationships/hyperlink" Target="http://www.sec.gov/Archives/edgar/data/0001680581/000119312521068440/d122679d8k.htm" TargetMode="External"/><Relationship Id="rId36" Type="http://schemas.openxmlformats.org/officeDocument/2006/relationships/hyperlink" Target="http://www.sec.gov/ix?doc=/Archives/edgar/data/0001680581/000119312521348354/d273327d8k.htm" TargetMode="External"/><Relationship Id="rId37" Type="http://schemas.openxmlformats.org/officeDocument/2006/relationships/hyperlink" Target="http://www.sec.gov/ix?doc=/Archives/edgar/data/0001680581/000119312522001760/d237013d8k.htm" TargetMode="External"/><Relationship Id="rId38" Type="http://schemas.openxmlformats.org/officeDocument/2006/relationships/hyperlink" Target="http://www.sec.gov/ix?doc=/Archives/edgar/data/0001680581/000119312522005038/d157429d8k.htm" TargetMode="External"/><Relationship Id="rId39" Type="http://schemas.openxmlformats.org/officeDocument/2006/relationships/hyperlink" Target="http://www.sec.gov/Archives/edgar/data/1680581/000110465919040208/a19-3408_78a12b.htm" TargetMode="External"/><Relationship Id="rId40" Type="http://schemas.openxmlformats.org/officeDocument/2006/relationships/hyperlink" Target="http://www.sec.gov/Archives/edgar/data/1680581/000156459020008951/fulc-ex42_198.htm" TargetMode="External"/><Relationship Id="rId84" Type="http://schemas.openxmlformats.org/officeDocument/2006/relationships/hyperlink" Target="http://www.sec.gov/Archives/edgar/data/1680581/000104746919004324/a2239321zex-3_1.htm" TargetMode="External"/><Relationship Id="rId85" Type="http://schemas.openxmlformats.org/officeDocument/2006/relationships/hyperlink" Target="http://www.sec.gov/Archives/edgar/data/1680581/000104746919004324/a2239321zex-3_2.htm" TargetMode="External"/><Relationship Id="rId86" Type="http://schemas.openxmlformats.org/officeDocument/2006/relationships/hyperlink" Target="http://www.sec.gov/Archives/edgar/data/1680581/000104746919003793/a2239080zex-4_1.htm" TargetMode="External"/><Relationship Id="rId88" Type="http://schemas.openxmlformats.org/officeDocument/2006/relationships/hyperlink" Target="http://www.sec.gov/Archives/edgar/data/0001680581/000119312521319344/d245897dex44.htm" TargetMode="External"/><Relationship Id="rId89" Type="http://schemas.openxmlformats.org/officeDocument/2006/relationships/hyperlink" Target="http://www.sec.gov/Archives/edgar/data/0001680581/000119312521319344/d245897dex45.htm" TargetMode="External"/><Relationship Id="rId90" Type="http://schemas.openxmlformats.org/officeDocument/2006/relationships/hyperlink" Target="http://www.sec.gov/Archives/edgar/data/0001680581/000119312521319344/d245897dex46.htm" TargetMode="External"/><Relationship Id="rId91" Type="http://schemas.openxmlformats.org/officeDocument/2006/relationships/hyperlink" Target="http://www.sec.gov/Archives/edgar/data/0001680581/000119312521319344/d245897dex4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2022-03-03T05:16:26Z</dcterms:created>
  <dcterms:modified xsi:type="dcterms:W3CDTF">2022-03-03T05:16:26Z</dcterms:modified>
</cp:coreProperties>
</file>