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720" w:hanging="3812"/>
        <w:spacing w:after="0" w:line="396" w:lineRule="auto"/>
        <w:tabs>
          <w:tab w:leader="none" w:pos="3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3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highlight w:val="white"/>
        </w:rPr>
        <w:t>FULCRUM THERAPEUTICS, INC.</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47-4839948</w:t>
            </w:r>
          </w:p>
        </w:tc>
        <w:tc>
          <w:tcPr>
            <w:tcW w:w="0" w:type="dxa"/>
            <w:vAlign w:val="bottom"/>
          </w:tcPr>
          <w:p>
            <w:pPr>
              <w:spacing w:after="0"/>
              <w:rPr>
                <w:sz w:val="1"/>
                <w:szCs w:val="1"/>
                <w:color w:val="auto"/>
              </w:rPr>
            </w:pP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6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9"/>
        </w:trPr>
        <w:tc>
          <w:tcPr>
            <w:tcW w:w="4320" w:type="dxa"/>
            <w:vAlign w:val="bottom"/>
          </w:tcPr>
          <w:p>
            <w:pPr>
              <w:jc w:val="center"/>
              <w:ind w:right="1859"/>
              <w:spacing w:after="0" w:line="189" w:lineRule="exact"/>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06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227"/>
        </w:trPr>
        <w:tc>
          <w:tcPr>
            <w:tcW w:w="43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FULC</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66" w:lineRule="exact"/>
        <w:rPr>
          <w:sz w:val="24"/>
          <w:szCs w:val="24"/>
          <w:color w:val="auto"/>
        </w:rPr>
      </w:pPr>
    </w:p>
    <w:p>
      <w:pPr>
        <w:ind w:right="8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220" w:firstLine="509"/>
        <w:spacing w:after="0" w:line="23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2"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ind w:right="260" w:firstLine="509"/>
        <w:spacing w:after="0" w:line="24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2" w:right="339" w:bottom="1440" w:gutter="0" w:footer="0" w:header="0"/>
        </w:sectPr>
      </w:pPr>
    </w:p>
    <w:p>
      <w:pPr>
        <w:spacing w:after="0" w:line="68" w:lineRule="exact"/>
        <w:rPr>
          <w:sz w:val="24"/>
          <w:szCs w:val="24"/>
          <w:color w:val="auto"/>
        </w:rPr>
      </w:pPr>
    </w:p>
    <w:p>
      <w:pPr>
        <w:ind w:left="23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63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87" w:lineRule="exact"/>
        <w:rPr>
          <w:sz w:val="24"/>
          <w:szCs w:val="24"/>
          <w:color w:val="auto"/>
        </w:rPr>
      </w:pPr>
    </w:p>
    <w:p>
      <w:pPr>
        <w:sectPr>
          <w:pgSz w:w="11900" w:h="16838" w:orient="portrait"/>
          <w:cols w:equalWidth="0" w:num="2">
            <w:col w:w="8020" w:space="720"/>
            <w:col w:w="2500"/>
          </w:cols>
          <w:pgMar w:left="320" w:top="632" w:right="339" w:bottom="1440" w:gutter="0" w:footer="0" w:header="0"/>
          <w:type w:val="continuous"/>
        </w:sectPr>
      </w:pPr>
    </w:p>
    <w:p>
      <w:pPr>
        <w:ind w:left="23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2">
            <w:col w:w="10380" w:space="720"/>
            <w:col w:w="140"/>
          </w:cols>
          <w:pgMar w:left="320" w:top="632" w:right="339" w:bottom="1440" w:gutter="0" w:footer="0" w:header="0"/>
          <w:type w:val="continuous"/>
        </w:sectPr>
      </w:pPr>
    </w:p>
    <w:p>
      <w:pPr>
        <w:spacing w:after="0" w:line="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87" w:lineRule="exact"/>
        <w:rPr>
          <w:sz w:val="24"/>
          <w:szCs w:val="24"/>
          <w:color w:val="auto"/>
        </w:rPr>
      </w:pPr>
    </w:p>
    <w:p>
      <w:pPr>
        <w:sectPr>
          <w:pgSz w:w="11900" w:h="16838" w:orient="portrait"/>
          <w:cols w:equalWidth="0" w:num="2">
            <w:col w:w="8020" w:space="720"/>
            <w:col w:w="2500"/>
          </w:cols>
          <w:pgMar w:left="320" w:top="632" w:right="339" w:bottom="1440" w:gutter="0" w:footer="0" w:header="0"/>
          <w:type w:val="continuous"/>
        </w:sectPr>
      </w:pPr>
    </w:p>
    <w:p>
      <w:pPr>
        <w:spacing w:after="0" w:line="28"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2">
            <w:col w:w="10600" w:space="500"/>
            <w:col w:w="140"/>
          </w:cols>
          <w:pgMar w:left="320" w:top="632" w:right="339" w:bottom="1440" w:gutter="0" w:footer="0" w:header="0"/>
          <w:type w:val="continuous"/>
        </w:sectPr>
      </w:pPr>
    </w:p>
    <w:p>
      <w:pPr>
        <w:ind w:right="20" w:firstLine="509"/>
        <w:spacing w:after="0" w:line="20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520" w:right="1540"/>
        <w:spacing w:after="0" w:line="27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2, 2022, the registrant had 40,848,212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and “Management’s Discussion and Analysis of Financial Condition and Results of Operations” sections and include, among other things:</w:t>
      </w:r>
    </w:p>
    <w:p>
      <w:pPr>
        <w:spacing w:after="0" w:line="91"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FTX-6058;</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including our clinical trials and development plans, as well as our future financial results;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4"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FTX-6058 and any other product candidates, including in combination with other drugs and therapies;</w:t>
      </w:r>
    </w:p>
    <w:p>
      <w:pPr>
        <w:spacing w:after="0" w:line="40"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FTX-6058 and any other product candidates;</w:t>
      </w:r>
    </w:p>
    <w:p>
      <w:pPr>
        <w:spacing w:after="0" w:line="5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collaborations with Acceleron Pharma Inc., or Acceleron, a wholly-owned subsidiary of Merck &amp; Co., Inc., or Merck, and MyoKardia, Inc., or MyoKardia, a wholly-owned subsidiary of Bristol-Myers Squibb Company;</w:t>
      </w:r>
    </w:p>
    <w:p>
      <w:pPr>
        <w:spacing w:after="0" w:line="54"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firstLine="509"/>
        <w:spacing w:after="0" w:line="247"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90" w:lineRule="exact"/>
        <w:rPr>
          <w:sz w:val="20"/>
          <w:szCs w:val="20"/>
          <w:color w:val="auto"/>
        </w:rPr>
      </w:pPr>
    </w:p>
    <w:p>
      <w:pPr>
        <w:ind w:left="760" w:right="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$80.8 million for the year ended December 31, 2021 and $25.9 million for the three months ended March 31, 2022. We expect to incur losses over the next several years and may never achieve or maintain profitability. As of March 31, 2022, we had an accumulated deficit of $328.4 million.</w:t>
      </w:r>
    </w:p>
    <w:p>
      <w:pPr>
        <w:spacing w:after="0" w:line="190"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177"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5" w:lineRule="exact"/>
        <w:rPr>
          <w:rFonts w:ascii="Times New Roman" w:cs="Times New Roman" w:eastAsia="Times New Roman" w:hAnsi="Times New Roman"/>
          <w:sz w:val="18"/>
          <w:szCs w:val="18"/>
          <w:color w:val="auto"/>
        </w:rPr>
      </w:pPr>
    </w:p>
    <w:p>
      <w:pPr>
        <w:ind w:left="760" w:right="100" w:hanging="378"/>
        <w:spacing w:after="0" w:line="24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94"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0" w:lineRule="exact"/>
        <w:rPr>
          <w:rFonts w:ascii="Times New Roman" w:cs="Times New Roman" w:eastAsia="Times New Roman" w:hAnsi="Times New Roman"/>
          <w:sz w:val="18"/>
          <w:szCs w:val="18"/>
          <w:color w:val="auto"/>
        </w:rPr>
      </w:pPr>
    </w:p>
    <w:p>
      <w:pPr>
        <w:ind w:left="760" w:right="30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90"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90"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62"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 w:name="page4"/>
    <w:bookmarkEnd w:id="3"/>
    <w:p>
      <w:pPr>
        <w:ind w:left="380" w:right="300" w:hanging="378"/>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69"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48" w:lineRule="exact"/>
        <w:rPr>
          <w:rFonts w:ascii="Times New Roman" w:cs="Times New Roman" w:eastAsia="Times New Roman" w:hAnsi="Times New Roman"/>
          <w:sz w:val="18"/>
          <w:szCs w:val="18"/>
          <w:color w:val="auto"/>
        </w:rPr>
      </w:pPr>
    </w:p>
    <w:p>
      <w:pPr>
        <w:jc w:val="both"/>
        <w:ind w:left="380" w:right="40" w:hanging="378"/>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with third parties for the discovery, development or commercialization of product candidates, including our collaborations with Acceleron and MyoKardia. If our collaborations are not successful, we may not be able to capitalize on the market potential of these product candidates and our business could be adversely affected.</w:t>
      </w:r>
    </w:p>
    <w:p>
      <w:pPr>
        <w:spacing w:after="0" w:line="169" w:lineRule="exact"/>
        <w:rPr>
          <w:rFonts w:ascii="Times New Roman" w:cs="Times New Roman" w:eastAsia="Times New Roman" w:hAnsi="Times New Roman"/>
          <w:sz w:val="18"/>
          <w:szCs w:val="18"/>
          <w:color w:val="auto"/>
        </w:rPr>
      </w:pPr>
    </w:p>
    <w:p>
      <w:pPr>
        <w:ind w:left="380" w:hanging="378"/>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90" w:lineRule="exact"/>
        <w:rPr>
          <w:rFonts w:ascii="Times New Roman" w:cs="Times New Roman" w:eastAsia="Times New Roman" w:hAnsi="Times New Roman"/>
          <w:sz w:val="18"/>
          <w:szCs w:val="18"/>
          <w:color w:val="auto"/>
        </w:rPr>
      </w:pPr>
    </w:p>
    <w:p>
      <w:pPr>
        <w:ind w:left="380" w:right="520" w:hanging="378"/>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39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00" w:top="540"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880" w:type="dxa"/>
            <w:vAlign w:val="bottom"/>
            <w:gridSpan w:val="2"/>
            <w:vMerge w:val="continue"/>
          </w:tcPr>
          <w:p>
            <w:pPr>
              <w:spacing w:after="0"/>
              <w:rPr>
                <w:sz w:val="13"/>
                <w:szCs w:val="13"/>
                <w:color w:val="auto"/>
              </w:rPr>
            </w:pPr>
          </w:p>
        </w:tc>
        <w:tc>
          <w:tcPr>
            <w:tcW w:w="9840" w:type="dxa"/>
            <w:vAlign w:val="bottom"/>
            <w:gridSpan w:val="22"/>
            <w:vMerge w:val="continue"/>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40" w:type="dxa"/>
            <w:vAlign w:val="bottom"/>
            <w:tcBorders>
              <w:bottom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2022 and December 31, 2021</w:t>
            </w:r>
          </w:p>
        </w:tc>
        <w:tc>
          <w:tcPr>
            <w:tcW w:w="4400" w:type="dxa"/>
            <w:vAlign w:val="bottom"/>
            <w:gridSpan w:val="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4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2022 and 2021</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2022 and 2021</w:t>
            </w:r>
          </w:p>
        </w:tc>
        <w:tc>
          <w:tcPr>
            <w:tcW w:w="130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6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2022 and 2021</w:t>
            </w:r>
          </w:p>
        </w:tc>
        <w:tc>
          <w:tcPr>
            <w:tcW w:w="238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tcBorders>
              <w:top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60" w:type="dxa"/>
            <w:vAlign w:val="bottom"/>
            <w:gridSpan w:val="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1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w:t>
            </w:r>
          </w:p>
        </w:tc>
        <w:tc>
          <w:tcPr>
            <w:tcW w:w="20" w:type="dxa"/>
            <w:vAlign w:val="bottom"/>
            <w:tcBorders>
              <w:top w:val="single" w:sz="8" w:color="0000EE"/>
            </w:tcBorders>
          </w:tcPr>
          <w:p>
            <w:pPr>
              <w:spacing w:after="0"/>
              <w:rPr>
                <w:sz w:val="15"/>
                <w:szCs w:val="15"/>
                <w:color w:val="auto"/>
              </w:rPr>
            </w:pPr>
          </w:p>
        </w:tc>
        <w:tc>
          <w:tcPr>
            <w:tcW w:w="66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80" w:type="dxa"/>
            <w:vAlign w:val="bottom"/>
            <w:gridSpan w:val="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20" w:type="dxa"/>
            <w:vAlign w:val="bottom"/>
            <w:tcBorders>
              <w:top w:val="single" w:sz="8" w:color="0000EE"/>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5"/>
          </w:tcPr>
          <w:p>
            <w:pPr>
              <w:spacing w:after="0"/>
              <w:rPr>
                <w:sz w:val="15"/>
                <w:szCs w:val="15"/>
                <w:color w:val="auto"/>
              </w:rPr>
            </w:pPr>
          </w:p>
        </w:tc>
        <w:tc>
          <w:tcPr>
            <w:tcW w:w="2020" w:type="dxa"/>
            <w:vAlign w:val="bottom"/>
            <w:gridSpan w:val="5"/>
          </w:tcPr>
          <w:p>
            <w:pPr>
              <w:spacing w:after="0"/>
              <w:rPr>
                <w:sz w:val="15"/>
                <w:szCs w:val="15"/>
                <w:color w:val="auto"/>
              </w:rPr>
            </w:pP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20" w:type="dxa"/>
            <w:vAlign w:val="bottom"/>
            <w:tcBorders>
              <w:top w:val="single" w:sz="8" w:color="0000EE"/>
            </w:tcBorders>
          </w:tcPr>
          <w:p>
            <w:pPr>
              <w:spacing w:after="0"/>
              <w:rPr>
                <w:sz w:val="15"/>
                <w:szCs w:val="15"/>
                <w:color w:val="auto"/>
              </w:rPr>
            </w:pPr>
          </w:p>
        </w:tc>
        <w:tc>
          <w:tcPr>
            <w:tcW w:w="8920" w:type="dxa"/>
            <w:vAlign w:val="bottom"/>
            <w:gridSpan w:val="19"/>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7"/>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1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080" w:type="dxa"/>
            <w:vAlign w:val="bottom"/>
            <w:gridSpan w:val="1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520" w:type="dxa"/>
            <w:vAlign w:val="bottom"/>
            <w:gridSpan w:val="18"/>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33,313</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161,799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182,750</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4,150</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4,199</w:t>
            </w: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225,998</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7,888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220,248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235,000</w:t>
            </w: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6,939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r>
      <w:tr>
        <w:trPr>
          <w:trHeight w:val="21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18,288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19,199</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2,582</w:t>
            </w:r>
          </w:p>
        </w:tc>
      </w:tr>
      <w:tr>
        <w:trPr>
          <w:trHeight w:val="21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31,088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23,461</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200,000,000 shares authorized; 40,684,025 and 40,636,398 shares</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9"/>
        </w:trPr>
        <w:tc>
          <w:tcPr>
            <w:tcW w:w="7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issued as of March 31, 2022 and December 31, 2021, respectively; 40,683,605 and</w:t>
            </w: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40,626,224 shares outstanding as of March 31, 2022 and December 31, 2021, respectively</w:t>
            </w:r>
          </w:p>
        </w:tc>
        <w:tc>
          <w:tcPr>
            <w:tcW w:w="3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no shares as of March 31, 2022 and December 31, 2021</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518,604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514,362</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(328,395 )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(302,467 )</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189,160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211,539</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220,248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-4182745</wp:posOffset>
            </wp:positionV>
            <wp:extent cx="111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-3342640</wp:posOffset>
            </wp:positionV>
            <wp:extent cx="11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-3325495</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4,789</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17,831</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16,334</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10,759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5,498</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28,590</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21,832</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(25,998 )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(25,928 )</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(16,999 )</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020" w:type="dxa"/>
            <w:vAlign w:val="bottom"/>
            <w:tcBorders>
              <w:bottom w:val="single" w:sz="8" w:color="auto"/>
            </w:tcBorders>
            <w:shd w:val="clear" w:color="auto" w:fill="CFF0FC"/>
          </w:tcPr>
          <w:p>
            <w:pPr>
              <w:jc w:val="right"/>
              <w:ind w:right="8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(0.64 )</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(0.54 )</w:t>
            </w: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40,644</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31,510</w:t>
            </w: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(25,928 )</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(16,999 )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2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(26,621 )</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-1782445</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-1499235</wp:posOffset>
            </wp:positionV>
            <wp:extent cx="111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-1190625</wp:posOffset>
            </wp:positionV>
            <wp:extent cx="111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-1173480</wp:posOffset>
            </wp:positionV>
            <wp:extent cx="111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98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6"/>
                <w:szCs w:val="16"/>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  Accumula</w:t>
            </w:r>
          </w:p>
        </w:tc>
        <w:tc>
          <w:tcPr>
            <w:tcW w:w="98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Stockholde</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98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ive</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ted</w:t>
            </w:r>
          </w:p>
        </w:tc>
        <w:tc>
          <w:tcPr>
            <w:tcW w:w="14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rs’</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27,941,566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(221,620 )</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connection with public offering, net</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Repurchase of unvested restricted</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awards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(1,836 )</w:t>
            </w: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(16,999 )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(16,999 )</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32,594,436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366,344</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 $</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(238,619 )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December 31, 2021</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40,626,224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514,362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(397 )</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(302,467 )</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211,539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(693 )</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(25,928 )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(25,928 )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40,683,605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518,604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(1,090 ) $</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(328,395 )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(25,928 )</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(16,999 )</w:t>
            </w: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10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3,847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2,073</w:t>
            </w: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amortization of premiums and discounts on marketable securities</w:t>
            </w:r>
          </w:p>
        </w:tc>
        <w:tc>
          <w:tcPr>
            <w:tcW w:w="10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r>
      <w:tr>
        <w:trPr>
          <w:trHeight w:val="20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1,466</w:t>
            </w:r>
          </w:p>
        </w:tc>
      </w:tr>
      <w:tr>
        <w:trPr>
          <w:trHeight w:val="203"/>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0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920</w:t>
            </w:r>
          </w:p>
        </w:tc>
      </w:tr>
      <w:tr>
        <w:trPr>
          <w:trHeight w:val="20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(2,016 )</w:t>
            </w:r>
          </w:p>
        </w:tc>
      </w:tr>
      <w:tr>
        <w:trPr>
          <w:trHeight w:val="202"/>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(4,258 )</w:t>
            </w: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(22,106 )</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(16,226 )</w:t>
            </w: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(2,997 )</w:t>
            </w: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24,895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15,674</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(262 )</w:t>
            </w: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19,659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follow-on offering, net of issuance costs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47,424</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10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47,504</w:t>
            </w: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43,693</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36,504</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58,144</w:t>
            </w:r>
          </w:p>
        </w:tc>
      </w:tr>
      <w:tr>
        <w:trPr>
          <w:trHeight w:val="23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34,405</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101,837</w:t>
            </w:r>
          </w:p>
        </w:tc>
      </w:t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c>
          <w:tcPr>
            <w:tcW w:w="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847</w:t>
            </w:r>
          </w:p>
        </w:tc>
        <w:tc>
          <w:tcPr>
            <w:tcW w:w="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receivable</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Offering costs unpaid at end of period</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-2639695</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-1336675</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-779145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720" w:type="dxa"/>
            <w:vAlign w:val="bottom"/>
          </w:tcPr>
          <w:p>
            <w:pPr>
              <w:spacing w:after="0"/>
              <w:rPr>
                <w:sz w:val="16"/>
                <w:szCs w:val="16"/>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0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5"/>
              </w:rPr>
              <w:t>33,313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100,745</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1,092</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1,092</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00" w:type="dxa"/>
            <w:vAlign w:val="bottom"/>
            <w:tcBorders>
              <w:bottom w:val="single" w:sz="8" w:color="auto"/>
            </w:tcBorders>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5"/>
              </w:rPr>
              <w:t>34,405</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101,837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6" w:lineRule="exact"/>
        <w:rPr>
          <w:sz w:val="20"/>
          <w:szCs w:val="20"/>
          <w:color w:val="auto"/>
        </w:rPr>
      </w:pPr>
    </w:p>
    <w:p>
      <w:pPr>
        <w:ind w:right="660" w:firstLine="509"/>
        <w:spacing w:after="0" w:line="250"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63" w:lineRule="exact"/>
        <w:rPr>
          <w:sz w:val="20"/>
          <w:szCs w:val="20"/>
          <w:color w:val="auto"/>
        </w:rPr>
      </w:pPr>
    </w:p>
    <w:p>
      <w:pPr>
        <w:ind w:right="20" w:firstLine="509"/>
        <w:spacing w:after="0" w:line="22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w:t>
      </w:r>
    </w:p>
    <w:p>
      <w:pPr>
        <w:spacing w:after="0"/>
        <w:rPr>
          <w:sz w:val="20"/>
          <w:szCs w:val="20"/>
          <w:color w:val="auto"/>
        </w:rPr>
      </w:pPr>
      <w:r>
        <w:rPr>
          <w:rFonts w:ascii="Times New Roman" w:cs="Times New Roman" w:eastAsia="Times New Roman" w:hAnsi="Times New Roman"/>
          <w:sz w:val="18"/>
          <w:szCs w:val="18"/>
          <w:color w:val="auto"/>
        </w:rPr>
        <w:t>Standards Codification (“ASC”) and Accounting Standards Updates (“ASU”) of the Financial Accounting Standards Board (“FASB”).</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recently audited annual consolidated financial statements and, in the opinion of management, reflect all normal recurring adjustments necessary for the fair presentation of the Company’s financial position as of March 31, 2022 and the results of its operations and its cash flows for the three months ended March</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31, 2022 and 2021. The results for the three months ended March 31, 2022 are not necessarily indicative of results to be expected for the year ending December 31, 2021, any other interim periods, or any future year or period. These consolidated financial statements should be read in conjunction with the Company’s audited consolidated financial statements and the notes thereto for the year ended December 31, 2021 included in the Company’s Annual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10-K filed with the Securities and Exchange Commission (the “SEC”) on March 4, 2021 (the “Annual Report on Form 10-K”).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1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6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common stock in public offerings, a private placement, and an "at-the-market" offering program, through issuances of convertible preferred stock, and from upfront payments received from the collaboration and license agreements with Acceleron Pharma Inc. (“Acceleron”), a wholly-owned subsidiary of Merck &amp; Co., Inc., and MyoKardia, Inc. (“MyoKardia”), a wholly owned subsidiary of Bristol Myers Squibb Company. As of March 31, 2022, the Company had an accumulated deficit of $328.4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6" w:lineRule="exact"/>
        <w:rPr>
          <w:sz w:val="20"/>
          <w:szCs w:val="20"/>
          <w:color w:val="auto"/>
        </w:rPr>
      </w:pPr>
    </w:p>
    <w:p>
      <w:pPr>
        <w:ind w:right="60" w:firstLine="509"/>
        <w:spacing w:after="0" w:line="238"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1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There have been no material changes in the Company’s significant accounting policies during the three months ended March 31, 2022, except as noted below with respect to the Company’s accounting policies related to leases.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5"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For contracts entered into on or after the effective date,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16" w:lineRule="exact"/>
        <w:rPr>
          <w:sz w:val="20"/>
          <w:szCs w:val="20"/>
          <w:color w:val="auto"/>
        </w:rPr>
      </w:pPr>
    </w:p>
    <w:p>
      <w:pPr>
        <w:ind w:right="20" w:firstLine="8"/>
        <w:spacing w:after="0" w:line="246"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11" w:name="page12"/>
    <w:bookmarkEnd w:id="11"/>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180"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1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primarily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22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requires that credit losses be reported using an expected losses model rather than the incurred losses model that is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7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21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February 2016, the FASB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permits entities to continue applying legacy guidance in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including its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the comparative periods presented in the year that the entity adopts the new leasing standard. Under this transition method, the cumulative effect of initially applying ASU 2016-02, as amended, is recognized as an adjustment to the opening balance of retained earnings or accumulated deficit at the beginning of the annual reporting period that includes the date of initial application.</w:t>
      </w:r>
    </w:p>
    <w:p>
      <w:pPr>
        <w:spacing w:after="0" w:line="18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Accordingly, the Company adopted the new standard effective January 1, 2022 using the transition method permitted by ASU 2016-02, as amended. In adopting the new standard, the Company elected to utilize certain available expedients by electing the transition package of practical expedients permitted within ASU 2016-02, which allow the Company to not reassess previous accounting conclusions around whether arrangements are, or contain, leases, the classification of existing or expired leases, and the treatment of previous initial direct costs that would qualify for capitalization under the new standard. The Company elected to apply the practical expedient to not separate lease and non-lease components for new and modified leases. The Company also made an accounting policy election to exclude leases with an initial term of twelve months or less from the balance sheet.</w:t>
      </w:r>
    </w:p>
    <w:p>
      <w:pPr>
        <w:spacing w:after="0" w:line="180"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Upon the adoption of ASU 2016-02, as amended, the Company removed its legacy deferred rent balances that were previously recorded under ASC 840 and established an operating lease right-of-use asset of $10.8 million, an operating lease liability, current of $2.2 million and an operating lease liability, net of current portion of $13.4 million, all relating to the Company’s existing operating leases for office and laboratory space. The following table presents a summary of the amount by which each financial statement line item was affected by the adoption of ASU 2016-02, as amended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Prior to the Adoption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Effect of Adoption</w:t>
            </w:r>
          </w:p>
        </w:tc>
        <w:tc>
          <w:tcPr>
            <w:tcW w:w="1500" w:type="dxa"/>
            <w:vAlign w:val="bottom"/>
          </w:tcPr>
          <w:p>
            <w:pPr>
              <w:jc w:val="center"/>
              <w:ind w:left="15"/>
              <w:spacing w:after="0" w:line="131" w:lineRule="exact"/>
              <w:rPr>
                <w:sz w:val="20"/>
                <w:szCs w:val="20"/>
                <w:color w:val="auto"/>
              </w:rPr>
            </w:pPr>
            <w:r>
              <w:rPr>
                <w:rFonts w:ascii="Times New Roman" w:cs="Times New Roman" w:eastAsia="Times New Roman" w:hAnsi="Times New Roman"/>
                <w:sz w:val="14"/>
                <w:szCs w:val="14"/>
                <w:b w:val="1"/>
                <w:bCs w:val="1"/>
                <w:color w:val="auto"/>
              </w:rPr>
              <w:t>Subsequent to the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of ASU 2016, as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2016-20, as Amended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40" w:type="dxa"/>
            <w:vAlign w:val="bottom"/>
            <w:gridSpan w:val="6"/>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(2,582 )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4640" w:type="dxa"/>
            <w:vAlign w:val="bottom"/>
          </w:tcPr>
          <w:p>
            <w:pPr>
              <w:spacing w:after="0"/>
              <w:rPr>
                <w:sz w:val="24"/>
                <w:szCs w:val="24"/>
                <w:color w:val="auto"/>
              </w:rPr>
            </w:pPr>
          </w:p>
        </w:tc>
        <w:tc>
          <w:tcPr>
            <w:tcW w:w="19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adoption of ASU 2016-02, as amended, did not have a material impact on the consolidated statements of operations and comprehensive loss or the consolidated statement of cash flows for the three months ended March 31, 2022. See Note 12, “Commitments and Contingencies”, for further information on the application of ASU 2016-02, as amended, to the Company’s operating lease for its existing operating leases for office and laboratory space.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March 31, 2022 and December 31, 2021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7"/>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21,815</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65,251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195,112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33,313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35,412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35,412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81,382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218,162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35,412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-1516380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-1516380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-1516380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March 31, 2022 and December 31, 2021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left="1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60" w:type="dxa"/>
            <w:vAlign w:val="bottom"/>
          </w:tcPr>
          <w:p>
            <w:pPr>
              <w:jc w:val="center"/>
              <w:ind w:left="168"/>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21,815</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21,815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11,498</w:t>
            </w:r>
          </w:p>
        </w:tc>
        <w:tc>
          <w:tcPr>
            <w:tcW w:w="0" w:type="dxa"/>
            <w:vAlign w:val="bottom"/>
          </w:tcPr>
          <w:p>
            <w:pPr>
              <w:spacing w:after="0"/>
              <w:rPr>
                <w:sz w:val="1"/>
                <w:szCs w:val="1"/>
                <w:color w:val="auto"/>
              </w:rPr>
            </w:pPr>
          </w:p>
        </w:tc>
      </w:tr>
      <w:tr>
        <w:trPr>
          <w:trHeight w:val="210"/>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33,313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33,313</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92,425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91,558</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65,471</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65,251</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162,889</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161,799</w:t>
            </w:r>
          </w:p>
        </w:tc>
        <w:tc>
          <w:tcPr>
            <w:tcW w:w="0" w:type="dxa"/>
            <w:vAlign w:val="bottom"/>
          </w:tcPr>
          <w:p>
            <w:pPr>
              <w:spacing w:after="0"/>
              <w:rPr>
                <w:sz w:val="1"/>
                <w:szCs w:val="1"/>
                <w:color w:val="auto"/>
              </w:rPr>
            </w:pPr>
          </w:p>
        </w:tc>
      </w:tr>
      <w:tr>
        <w:trPr>
          <w:trHeight w:val="210"/>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196,202</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195,112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-1499870</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-1499870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-1499870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-659765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-659765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-659765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44"/>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16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left="268"/>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7"/>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0"/>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35,412</w:t>
            </w: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35,412</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101,697</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(329 )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101,368</w:t>
            </w: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81,450</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81,382</w:t>
            </w:r>
          </w:p>
        </w:tc>
      </w:tr>
      <w:tr>
        <w:trPr>
          <w:trHeight w:val="209"/>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183,147</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182,750</w:t>
            </w:r>
          </w:p>
        </w:tc>
      </w:tr>
      <w:tr>
        <w:trPr>
          <w:trHeight w:val="210"/>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218,559</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(397 )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218,162</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-170815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60" w:firstLine="509"/>
        <w:spacing w:after="0" w:line="236"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months ended March 31, 2022. As of March 31, 2022, the aggregate fair value of securities that were in an unrealized loss position for less than twelve months was $160.3 million. As of March 31, 2022, no securities were in an unrealized loss position for greater than twelve months.</w:t>
      </w:r>
    </w:p>
    <w:p>
      <w:pPr>
        <w:spacing w:after="0" w:line="172"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The Company determined that it did not hold any securities with any other-than-temporary impairment as of March 31, 2022. As of March 31, 2022, the aggregate fair value of securities with a remaining contractual maturity of greater than one year was $16.9 million. As of March 31, 2022, the Company did not intend to sell, and would not be more likely than not be required to sell, the securities in an unrealized loss position before recovery of their amortized cost bases.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8,182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6,289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15,637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(8,269 )</w:t>
            </w:r>
          </w:p>
        </w:tc>
      </w:tr>
      <w:tr>
        <w:trPr>
          <w:trHeight w:val="249"/>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$0.5 million and $0.6 million, respectively.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51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-496570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-479425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9"/>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1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5,000,000 shares of undesignated preferred stock were authorized. No shares of preferred stock were issued or outstanding as of March 31, 2022 and December 31, 2021.</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and December 31, 2021, 200,000,000 shares of common stock, $0.001 par value per share, were authorized.</w:t>
      </w:r>
    </w:p>
    <w:p>
      <w:pPr>
        <w:spacing w:after="0" w:line="212" w:lineRule="exact"/>
        <w:rPr>
          <w:sz w:val="20"/>
          <w:szCs w:val="20"/>
          <w:color w:val="auto"/>
        </w:rPr>
      </w:pPr>
    </w:p>
    <w:p>
      <w:pPr>
        <w:jc w:val="both"/>
        <w:ind w:right="20" w:firstLine="509"/>
        <w:spacing w:after="0" w:line="24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and December 31, 2021, the Company has reserved for future issuance the following number of shares of common stock:</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6,526,973</w:t>
            </w:r>
          </w:p>
        </w:tc>
        <w:tc>
          <w:tcPr>
            <w:tcW w:w="1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9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2019 Stock</w:t>
            </w: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953,886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286,324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9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706,658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9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1,718,480</w:t>
            </w:r>
          </w:p>
        </w:tc>
        <w:tc>
          <w:tcPr>
            <w:tcW w:w="10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Incentive Plan</w:t>
            </w: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10,356,787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6,181,336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4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-650875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1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2022, no shares remained available for future issuance under the 2016 Plan. Any options or other awards outstanding under the 2016 Plan remain outstanding and effective.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2022, the number of shares reserved for issuance under the 2019 Plan was increased by 1,625,455 shares. As of March 31, 2022, there were 953,886 shares available for future issuance under the 2019 Plan.</w:t>
      </w:r>
    </w:p>
    <w:p>
      <w:pPr>
        <w:spacing w:after="0" w:line="186"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As of March 31, 2022, there were 1,718,480 shares available for future grant under the Inducement Plan.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may repurchase unvested restricted stock awards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7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restricted stock awards typically vest over a four-year period. The shares of common stock are recorded in stockholders’ equity as they vest.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activity during the three months ended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0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2080" w:type="dxa"/>
            <w:vAlign w:val="bottom"/>
          </w:tcPr>
          <w:p>
            <w:pPr>
              <w:spacing w:after="0"/>
              <w:rPr>
                <w:sz w:val="18"/>
                <w:szCs w:val="18"/>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2022</w:t>
            </w:r>
          </w:p>
        </w:tc>
        <w:tc>
          <w:tcPr>
            <w:tcW w:w="20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-513715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three months ended March 31, 2022:</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1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3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5,188,354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27,082,052</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1,607,401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(47,627 )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6,526,973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13.85</w:t>
            </w:r>
          </w:p>
        </w:tc>
        <w:tc>
          <w:tcPr>
            <w:tcW w:w="1220" w:type="dxa"/>
            <w:vAlign w:val="bottom"/>
            <w:tcBorders>
              <w:bottom w:val="single" w:sz="8" w:color="CFF0FC"/>
            </w:tcBorders>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8.11</w:t>
            </w:r>
          </w:p>
        </w:tc>
        <w:tc>
          <w:tcPr>
            <w:tcW w:w="3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67,305,741</w:t>
            </w:r>
          </w:p>
        </w:tc>
        <w:tc>
          <w:tcPr>
            <w:tcW w:w="0" w:type="dxa"/>
            <w:vAlign w:val="bottom"/>
          </w:tcPr>
          <w:p>
            <w:pPr>
              <w:spacing w:after="0"/>
              <w:rPr>
                <w:sz w:val="1"/>
                <w:szCs w:val="1"/>
                <w:color w:val="auto"/>
              </w:rPr>
            </w:pPr>
          </w:p>
        </w:tc>
      </w:tr>
      <w:tr>
        <w:trPr>
          <w:trHeight w:val="197"/>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2022</w:t>
            </w:r>
          </w:p>
        </w:tc>
        <w:tc>
          <w:tcPr>
            <w:tcW w:w="130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1,668,499</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11.66</w:t>
            </w:r>
          </w:p>
        </w:tc>
        <w:tc>
          <w:tcPr>
            <w:tcW w:w="1220" w:type="dxa"/>
            <w:vAlign w:val="bottom"/>
            <w:gridSpan w:val="2"/>
          </w:tcPr>
          <w:p>
            <w:pPr>
              <w:jc w:val="right"/>
              <w:ind w:right="25"/>
              <w:spacing w:after="0" w:line="196" w:lineRule="exact"/>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20,009,494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-187960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months ended March 31, 2022 and 2021 was $9.83 per share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$8.85 per share, respectively. The total intrinsic value of stock options exercised during the three months ended March 31, 2022 and 2021 was $0.4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$0.1 million, respectively. The fair value of stock options granted during the three months ended March 31, 2022 and 2021 has been calculated on the</w:t>
      </w:r>
    </w:p>
    <w:p>
      <w:pPr>
        <w:spacing w:after="0"/>
        <w:rPr>
          <w:sz w:val="20"/>
          <w:szCs w:val="20"/>
          <w:color w:val="auto"/>
        </w:rPr>
      </w:pPr>
      <w:r>
        <w:rPr>
          <w:rFonts w:ascii="Times New Roman" w:cs="Times New Roman" w:eastAsia="Times New Roman" w:hAnsi="Times New Roman"/>
          <w:sz w:val="18"/>
          <w:szCs w:val="18"/>
          <w:color w:val="auto"/>
        </w:rPr>
        <w:t>date of grant using the following weighted average assumptions: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58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6740" w:type="dxa"/>
            <w:vAlign w:val="bottom"/>
          </w:tcPr>
          <w:p>
            <w:pPr>
              <w:spacing w:after="0"/>
              <w:rPr>
                <w:sz w:val="12"/>
                <w:szCs w:val="12"/>
                <w:color w:val="auto"/>
              </w:rPr>
            </w:pPr>
          </w:p>
        </w:tc>
        <w:tc>
          <w:tcPr>
            <w:tcW w:w="16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58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4"/>
        </w:trPr>
        <w:tc>
          <w:tcPr>
            <w:tcW w:w="6740" w:type="dxa"/>
            <w:vAlign w:val="bottom"/>
          </w:tcPr>
          <w:p>
            <w:pPr>
              <w:spacing w:after="0"/>
              <w:rPr>
                <w:sz w:val="16"/>
                <w:szCs w:val="16"/>
                <w:color w:val="auto"/>
              </w:rPr>
            </w:pPr>
          </w:p>
        </w:tc>
        <w:tc>
          <w:tcPr>
            <w:tcW w:w="16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2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85.6 %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three months ended March 31, 2022:</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6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0"/>
        </w:trPr>
        <w:tc>
          <w:tcPr>
            <w:tcW w:w="6800" w:type="dxa"/>
            <w:vAlign w:val="bottom"/>
          </w:tcPr>
          <w:p>
            <w:pPr>
              <w:spacing w:after="0"/>
              <w:rPr>
                <w:sz w:val="13"/>
                <w:szCs w:val="13"/>
                <w:color w:val="auto"/>
              </w:rPr>
            </w:pPr>
          </w:p>
        </w:tc>
        <w:tc>
          <w:tcPr>
            <w:tcW w:w="1580" w:type="dxa"/>
            <w:vAlign w:val="bottom"/>
          </w:tcPr>
          <w:p>
            <w:pPr>
              <w:jc w:val="right"/>
              <w:ind w:right="435"/>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218"/>
              <w:spacing w:after="0" w:line="160" w:lineRule="exact"/>
              <w:rPr>
                <w:sz w:val="20"/>
                <w:szCs w:val="20"/>
                <w:color w:val="auto"/>
              </w:rPr>
            </w:pPr>
            <w:r>
              <w:rPr>
                <w:rFonts w:ascii="Times New Roman" w:cs="Times New Roman" w:eastAsia="Times New Roman" w:hAnsi="Times New Roman"/>
                <w:sz w:val="14"/>
                <w:szCs w:val="14"/>
                <w:b w:val="1"/>
                <w:bCs w:val="1"/>
                <w:color w:val="auto"/>
              </w:rPr>
              <w:t>Date Fair</w:t>
            </w:r>
          </w:p>
        </w:tc>
      </w:tr>
      <w:tr>
        <w:trPr>
          <w:trHeight w:val="189"/>
        </w:trPr>
        <w:tc>
          <w:tcPr>
            <w:tcW w:w="6800" w:type="dxa"/>
            <w:vAlign w:val="bottom"/>
          </w:tcPr>
          <w:p>
            <w:pPr>
              <w:spacing w:after="0"/>
              <w:rPr>
                <w:sz w:val="16"/>
                <w:szCs w:val="16"/>
                <w:color w:val="auto"/>
              </w:rPr>
            </w:pP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12.46</w:t>
            </w:r>
          </w:p>
        </w:tc>
      </w:tr>
      <w:tr>
        <w:trPr>
          <w:trHeight w:val="216"/>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12.46</w:t>
            </w:r>
          </w:p>
        </w:tc>
      </w:tr>
      <w:tr>
        <w:trPr>
          <w:trHeight w:val="250"/>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2022</w:t>
            </w: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44,427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three months ended March 31, 2022 and 2021 was $0.1 million and $0.5 million, respectively.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21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4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an aggregate of $44.9 million of unrecognized stock-based compensation expense, which is expected to be recognized over a weighted average period of 2.99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02" w:lineRule="exact"/>
        <w:rPr>
          <w:sz w:val="20"/>
          <w:szCs w:val="20"/>
          <w:color w:val="auto"/>
        </w:rPr>
      </w:pPr>
    </w:p>
    <w:p>
      <w:pPr>
        <w:ind w:right="140" w:firstLine="509"/>
        <w:spacing w:after="0" w:line="233"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2022, the number of shares reserved for issuance under the 2019 ESPP was increased by 406,363 shares. As of March 31, 2022, there were 1,113,021 shares available for future issuance under the ESPP.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Acceleron Collaboration Agreement</w:t>
      </w:r>
    </w:p>
    <w:p>
      <w:pPr>
        <w:spacing w:after="0" w:line="202"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75" w:lineRule="exact"/>
        <w:rPr>
          <w:sz w:val="20"/>
          <w:szCs w:val="20"/>
          <w:color w:val="auto"/>
        </w:rPr>
      </w:pPr>
    </w:p>
    <w:p>
      <w:pPr>
        <w:ind w:right="60" w:firstLine="509"/>
        <w:spacing w:after="0" w:line="231"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71"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5" w:lineRule="exact"/>
        <w:rPr>
          <w:sz w:val="20"/>
          <w:szCs w:val="20"/>
          <w:color w:val="auto"/>
        </w:rPr>
      </w:pPr>
    </w:p>
    <w:p>
      <w:pPr>
        <w:ind w:right="220" w:firstLine="509"/>
        <w:spacing w:after="0" w:line="233"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has achieved $2.0 million of specified research milestones. In addition, the Company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9" w:name="page20"/>
    <w:bookmarkEnd w:id="19"/>
    <w:p>
      <w:pPr>
        <w:ind w:right="20"/>
        <w:spacing w:after="0" w:line="242" w:lineRule="auto"/>
        <w:rPr>
          <w:sz w:val="20"/>
          <w:szCs w:val="20"/>
          <w:color w:val="auto"/>
        </w:rPr>
      </w:pPr>
      <w:r>
        <w:rPr>
          <w:rFonts w:ascii="Times New Roman" w:cs="Times New Roman" w:eastAsia="Times New Roman" w:hAnsi="Times New Roman"/>
          <w:sz w:val="18"/>
          <w:szCs w:val="18"/>
          <w:color w:val="auto"/>
        </w:rPr>
        <w:t>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9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82"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assessed the Acceleron Collaboration Agreement and concluded that it represents a contract with a customer within the scope of ASC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60"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6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potential medicinal chemistry services were not identified as a promised good or service because the Company is under no obligation to provide those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the Company has included in the transaction price.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Research Services.</w:t>
      </w:r>
    </w:p>
    <w:p>
      <w:pPr>
        <w:spacing w:after="0" w:line="212" w:lineRule="exact"/>
        <w:rPr>
          <w:sz w:val="20"/>
          <w:szCs w:val="20"/>
          <w:color w:val="auto"/>
        </w:rPr>
      </w:pPr>
    </w:p>
    <w:p>
      <w:pPr>
        <w:jc w:val="both"/>
        <w:ind w:right="840" w:firstLine="509"/>
        <w:spacing w:after="0" w:line="258"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2022.</w:t>
      </w:r>
    </w:p>
    <w:p>
      <w:pPr>
        <w:spacing w:after="0" w:line="169"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0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87"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w:t>
      </w:r>
    </w:p>
    <w:p>
      <w:pPr>
        <w:spacing w:after="0" w:line="3"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estimate of the period over which it will perform the Research Services. Changes in estimates of total internal and external costs expected to be incurred are recognized in the period of change as a cumulative catch-up adjustment.</w:t>
      </w:r>
    </w:p>
    <w:p>
      <w:pPr>
        <w:spacing w:after="0" w:line="171"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7"/>
          <w:szCs w:val="17"/>
          <w:color w:val="auto"/>
        </w:rPr>
        <w:t>During the three months ended March 31, 2022, the Company recognized $0.9 million of collaboration revenue associated with the Acceleron Collaboration Agreement, which includes $0.5 million of revenue recognized that was included in deferred revenue as of December 31, 2021. During the</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three months ended March 31, 2021, the Company recognized $2.6 million of collaboration revenue under the Acceleron Collaboration Agreement, which includes $2.1 million of revenue recognized that was included in deferred revenue as of December 31, 2020. As of March 31, 2022 and December 31,</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2021, the Company recorded deferred revenue of $0.1 million and $0.6 million, respectively, associated with the Acceleron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w:t>
      </w:r>
    </w:p>
    <w:p>
      <w:pPr>
        <w:ind w:right="120"/>
        <w:spacing w:after="0" w:line="223" w:lineRule="auto"/>
        <w:rPr>
          <w:sz w:val="20"/>
          <w:szCs w:val="20"/>
          <w:color w:val="auto"/>
        </w:rPr>
      </w:pPr>
      <w:r>
        <w:rPr>
          <w:rFonts w:ascii="Times New Roman" w:cs="Times New Roman" w:eastAsia="Times New Roman" w:hAnsi="Times New Roman"/>
          <w:sz w:val="17"/>
          <w:szCs w:val="17"/>
          <w:color w:val="auto"/>
        </w:rPr>
        <w:t>obligations that are unsatisfied as of March 31, 2022 and December 31, 2021, respectively. As of March 31, 2022, the Company had received $4.6 million of cost reimbursement payments under the Acceleron Collaboration Agreement and $2.0 million associated with the achievement of specified research</w:t>
      </w:r>
    </w:p>
    <w:p>
      <w:pPr>
        <w:spacing w:after="0" w:line="1"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17"/>
          <w:szCs w:val="17"/>
          <w:color w:val="auto"/>
        </w:rPr>
        <w:t>milestones. As of December 31, 2021, the Company had received $3.9 million of cost reimbursement payment under the Acceleron Collaboration Agreement and $2.0 million associated with the achievement of specified research milestones. As of March 31, 2022, the Company recorded unbilled accounts receivable of $0.4 million related to reimbursable research and development costs under the Acceleron Collaboration Agreement for activities</w:t>
      </w:r>
    </w:p>
    <w:p>
      <w:pPr>
        <w:ind w:right="180"/>
        <w:spacing w:after="0" w:line="223" w:lineRule="auto"/>
        <w:rPr>
          <w:sz w:val="20"/>
          <w:szCs w:val="20"/>
          <w:color w:val="auto"/>
        </w:rPr>
      </w:pPr>
      <w:r>
        <w:rPr>
          <w:rFonts w:ascii="Times New Roman" w:cs="Times New Roman" w:eastAsia="Times New Roman" w:hAnsi="Times New Roman"/>
          <w:sz w:val="17"/>
          <w:szCs w:val="17"/>
          <w:color w:val="auto"/>
        </w:rPr>
        <w:t>performed during the three months ended March 31, 2022. As of December 31, 2021, the Company recorded unbilled accounts receivable of $0.7 million related to reimbursable research and development costs under the Acceleron Collaboration Agreement for activities performed during the three months</w:t>
      </w:r>
    </w:p>
    <w:p>
      <w:pPr>
        <w:spacing w:after="0" w:line="1" w:lineRule="exact"/>
        <w:rPr>
          <w:sz w:val="20"/>
          <w:szCs w:val="20"/>
          <w:color w:val="auto"/>
        </w:rPr>
      </w:pPr>
    </w:p>
    <w:p>
      <w:pPr>
        <w:ind w:right="980"/>
        <w:spacing w:after="0" w:line="233" w:lineRule="auto"/>
        <w:rPr>
          <w:sz w:val="20"/>
          <w:szCs w:val="20"/>
          <w:color w:val="auto"/>
        </w:rPr>
      </w:pPr>
      <w:r>
        <w:rPr>
          <w:rFonts w:ascii="Times New Roman" w:cs="Times New Roman" w:eastAsia="Times New Roman" w:hAnsi="Times New Roman"/>
          <w:sz w:val="18"/>
          <w:szCs w:val="18"/>
          <w:color w:val="auto"/>
        </w:rPr>
        <w:t>ended December 31, 2021. As of March 31, 2022 and December 31, 2021, the Company recorded no accounts receivable under the Acceleron Collaboration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Collaboration Agreement</w:t>
      </w:r>
    </w:p>
    <w:p>
      <w:pPr>
        <w:spacing w:after="0" w:line="216"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9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7"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00" w:lineRule="exact"/>
        <w:rPr>
          <w:sz w:val="20"/>
          <w:szCs w:val="20"/>
          <w:color w:val="auto"/>
        </w:rPr>
      </w:pPr>
    </w:p>
    <w:p>
      <w:pPr>
        <w:ind w:right="320" w:firstLine="509"/>
        <w:spacing w:after="0" w:line="237"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1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95"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1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20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62" w:lineRule="exact"/>
        <w:rPr>
          <w:sz w:val="20"/>
          <w:szCs w:val="20"/>
          <w:color w:val="auto"/>
        </w:rPr>
      </w:pPr>
    </w:p>
    <w:p>
      <w:pPr>
        <w:jc w:val="both"/>
        <w:ind w:right="840" w:firstLine="509"/>
        <w:spacing w:after="0" w:line="258"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2022.</w:t>
      </w:r>
    </w:p>
    <w:p>
      <w:pPr>
        <w:spacing w:after="0" w:line="1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1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27"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95"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$1.7 million of collaboration revenue associated with the MyoKardia Collaboration Agreement, which includes $1.3 million of revenue recognized that was included in deferred revenue as of December 31, 2021. During the three months ended March 31, 2021, the Company recognized $2.2 million of collaboration revenue associated with the MyoKardia Collaboration Agreement, all of which was included in deferred revenue as of December 31, 2020. As of March 31, 2022 and December 31, 2021, the Company recorded deferred revenue of $2.8 million and $4.1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March 31, 2022. As of March 31, 2022, the Company had received $3.7 million of cost reimbursement payments under the MyoKardia Collaboration Agreement and $2.5 million associated with the achievement of a preclinical milestone. As of December 31, 2021, the Company had received $3.2 million of cost reimbursement payments under the MyoKardia Collaboration Agreement and no milestone or royalty payments. As of March 31, 2022, the Company recorded unbilled accounts receivable of $0.4 million related to reimbursable research and development costs under the MyoKardia Collaboration Agreement for activities performed during the three months ended March 31, 2022. As of December 31, 2021, the Company recorded unbilled accounts receivable of $0.5 million related to reimbursable research and development costs under the MyoKardia Collaboration Agreement for activities performed during the three months ended December 31, 2021. As of March 31, 2022, the Company recorded no accounts receivable under the MyoKardia Collaboration Agreement. As of December 31, 2021, the Company recorded accounts receivable of $2.5 million under the MyoKardia Collaboration Agreement associated with the achievement of a preclinical milestone in December 2021.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Right of Reference and License Agreement</w:t>
      </w:r>
    </w:p>
    <w:p>
      <w:pPr>
        <w:spacing w:after="0" w:line="189" w:lineRule="exact"/>
        <w:rPr>
          <w:sz w:val="20"/>
          <w:szCs w:val="20"/>
          <w:color w:val="auto"/>
        </w:rPr>
      </w:pPr>
    </w:p>
    <w:p>
      <w:pPr>
        <w:jc w:val="both"/>
        <w:ind w:right="80" w:firstLine="509"/>
        <w:spacing w:after="0" w:line="22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responsible for costs related to the filing and maintenance of the licensed patent rights.</w:t>
      </w:r>
    </w:p>
    <w:p>
      <w:pPr>
        <w:spacing w:after="0" w:line="178" w:lineRule="exact"/>
        <w:rPr>
          <w:sz w:val="20"/>
          <w:szCs w:val="20"/>
          <w:color w:val="auto"/>
        </w:rPr>
      </w:pPr>
    </w:p>
    <w:p>
      <w:pPr>
        <w:ind w:right="220" w:firstLine="509"/>
        <w:spacing w:after="0" w:line="230"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In addition, the Company may owe GSK up to $37.5 million in certain specified clinical and regulatory milestones, including $2.5 million previously achieved and paid during 2019, and up to</w:t>
      </w:r>
    </w:p>
    <w:p>
      <w:pPr>
        <w:spacing w:after="0" w:line="1"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8"/>
          <w:szCs w:val="18"/>
          <w:color w:val="auto"/>
        </w:rPr>
        <w:t>$60.0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and may be reduced in specified circumstances.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w:t>
      </w:r>
    </w:p>
    <w:p>
      <w:pPr>
        <w:spacing w:after="0" w:line="2" w:lineRule="exact"/>
        <w:rPr>
          <w:sz w:val="20"/>
          <w:szCs w:val="20"/>
          <w:color w:val="auto"/>
        </w:rPr>
      </w:pPr>
    </w:p>
    <w:p>
      <w:pPr>
        <w:ind w:right="320"/>
        <w:spacing w:after="0" w:line="223" w:lineRule="auto"/>
        <w:rPr>
          <w:sz w:val="20"/>
          <w:szCs w:val="20"/>
          <w:color w:val="auto"/>
        </w:rPr>
      </w:pPr>
      <w:r>
        <w:rPr>
          <w:rFonts w:ascii="Times New Roman" w:cs="Times New Roman" w:eastAsia="Times New Roman" w:hAnsi="Times New Roman"/>
          <w:sz w:val="17"/>
          <w:szCs w:val="17"/>
          <w:color w:val="auto"/>
        </w:rPr>
        <w:t>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agency.</w:t>
      </w:r>
    </w:p>
    <w:p>
      <w:pPr>
        <w:spacing w:after="0" w:line="178" w:lineRule="exact"/>
        <w:rPr>
          <w:sz w:val="20"/>
          <w:szCs w:val="20"/>
          <w:color w:val="auto"/>
        </w:rPr>
      </w:pPr>
    </w:p>
    <w:p>
      <w:pPr>
        <w:jc w:val="both"/>
        <w:ind w:right="120" w:firstLine="509"/>
        <w:spacing w:after="0" w:line="244" w:lineRule="auto"/>
        <w:rPr>
          <w:sz w:val="20"/>
          <w:szCs w:val="20"/>
          <w:color w:val="auto"/>
        </w:rPr>
      </w:pPr>
      <w:r>
        <w:rPr>
          <w:rFonts w:ascii="Times New Roman" w:cs="Times New Roman" w:eastAsia="Times New Roman" w:hAnsi="Times New Roman"/>
          <w:sz w:val="17"/>
          <w:szCs w:val="17"/>
          <w:color w:val="auto"/>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Company will record sales milestone payments and royalties as additional expense of the related product sales in the period in which the corresponding sales occur.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ind w:right="9940" w:firstLine="8"/>
        <w:spacing w:after="0" w:line="396"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b w:val="1"/>
          <w:bCs w:val="1"/>
          <w:i w:val="1"/>
          <w:iCs w:val="1"/>
          <w:color w:val="auto"/>
        </w:rPr>
        <w:t>Operating Leases</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14"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March 31, 2022 and December 31, 2021.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27"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26 Landsdowne Street lease on the consolidated balance sheet as of March 31, 2022. As there is no rate implicit in the 26 Landsdowne Street lease, the Company estimated its incremental borrowing rate based upon a synthetic credit rating and yield curve analysis. Based upon this analysis, the Company calculated a discount rate of 6.1% for the lease. As of March 31, 2022, the remaining lease term was 6.3 years.</w:t>
      </w:r>
    </w:p>
    <w:p>
      <w:pPr>
        <w:spacing w:after="0" w:line="18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and variable lease expense associated with this lease for the three months ended March 31, 2022 was approximately $0.5 million, and $0.3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March 31, 2022,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3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3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7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6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tcPr>
          <w:p>
            <w:pPr>
              <w:spacing w:after="0"/>
              <w:rPr>
                <w:sz w:val="18"/>
                <w:szCs w:val="18"/>
                <w:color w:val="auto"/>
              </w:rPr>
            </w:pPr>
          </w:p>
        </w:tc>
      </w:tr>
      <w:tr>
        <w:trPr>
          <w:trHeight w:val="209"/>
        </w:trPr>
        <w:tc>
          <w:tcPr>
            <w:tcW w:w="9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6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60" w:type="dxa"/>
            <w:vAlign w:val="bottom"/>
          </w:tcPr>
          <w:p>
            <w:pPr>
              <w:spacing w:after="0"/>
              <w:rPr>
                <w:sz w:val="18"/>
                <w:szCs w:val="18"/>
                <w:color w:val="auto"/>
              </w:rPr>
            </w:pPr>
          </w:p>
        </w:tc>
      </w:tr>
      <w:tr>
        <w:trPr>
          <w:trHeight w:val="250"/>
        </w:trPr>
        <w:tc>
          <w:tcPr>
            <w:tcW w:w="9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-119380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-102235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 w:lineRule="exact"/>
        <w:rPr>
          <w:sz w:val="20"/>
          <w:szCs w:val="20"/>
          <w:color w:val="auto"/>
        </w:rPr>
      </w:pPr>
    </w:p>
    <w:p>
      <w:pPr>
        <w:ind w:left="520" w:right="6320" w:hanging="512"/>
        <w:spacing w:after="0" w:line="48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nine months ending December 31, 2022. </w:t>
      </w:r>
      <w:r>
        <w:rPr>
          <w:rFonts w:ascii="Times New Roman" w:cs="Times New Roman" w:eastAsia="Times New Roman" w:hAnsi="Times New Roman"/>
          <w:sz w:val="18"/>
          <w:szCs w:val="18"/>
          <w:i w:val="1"/>
          <w:iCs w:val="1"/>
          <w:u w:val="single" w:color="auto"/>
          <w:color w:val="auto"/>
        </w:rPr>
        <w:t>Accounting Under ASC 840</w:t>
      </w: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The Company recorded the leasehold improvement incentives as a deferred lease incentive on the consolidated balance sheets and amortized the deferred lease incentive through a reduction of rent expense ratably over the lease term.</w:t>
      </w:r>
    </w:p>
    <w:p>
      <w:pPr>
        <w:spacing w:after="0" w:line="18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Pursuant to ASC 840, rent expense associated with this lease for the three months ended March 31, 2021 was approximately $0.5 million. Under ASC 840, minimum rental commitments under non-cancelable leases for each of the next five years and total thereafter as of December 31, 2021, were as follows (in thousands):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6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6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6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6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6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200"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14" w:lineRule="exact"/>
        <w:rPr>
          <w:sz w:val="20"/>
          <w:szCs w:val="20"/>
          <w:color w:val="auto"/>
        </w:rPr>
      </w:pPr>
    </w:p>
    <w:p>
      <w:pPr>
        <w:jc w:val="both"/>
        <w:ind w:right="120" w:firstLine="509"/>
        <w:spacing w:after="0" w:line="245"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125 Sidney Street lease on the consolidated balance sheet as of March 31, 2022. As there is no rate implicit in the 125 Sidney Street lease, the Company estimated its incremental borrowing rate based upon a synthetic credit rating and yield curve analysis. Based upon this analysis, the Company calculated a discount rate of 4.2% for the lease. As of March 31, 2022, the remaining lease term was 2.0 years.</w:t>
      </w:r>
    </w:p>
    <w:p>
      <w:pPr>
        <w:spacing w:after="0" w:line="181" w:lineRule="exact"/>
        <w:rPr>
          <w:sz w:val="20"/>
          <w:szCs w:val="20"/>
          <w:color w:val="auto"/>
        </w:rPr>
      </w:pPr>
    </w:p>
    <w:p>
      <w:pPr>
        <w:ind w:right="440" w:firstLine="509"/>
        <w:spacing w:after="0" w:line="250"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associated with this lease for the three months ended March 31, 2022 was approximately $0.2 million. No variable lease expense was recorded associated with this lease for the three months ended March 31, 2022. The future minimum lease payments associated with this lease as of March 31, 2022,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3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3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(1)</w:t>
            </w:r>
          </w:p>
        </w:tc>
        <w:tc>
          <w:tcPr>
            <w:tcW w:w="78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tcPr>
          <w:p>
            <w:pPr>
              <w:spacing w:after="0"/>
              <w:rPr>
                <w:sz w:val="18"/>
                <w:szCs w:val="18"/>
                <w:color w:val="auto"/>
              </w:rPr>
            </w:pPr>
          </w:p>
        </w:tc>
      </w:tr>
      <w:tr>
        <w:trPr>
          <w:trHeight w:val="216"/>
        </w:trPr>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tcPr>
          <w:p>
            <w:pPr>
              <w:spacing w:after="0"/>
              <w:rPr>
                <w:sz w:val="18"/>
                <w:szCs w:val="18"/>
                <w:color w:val="auto"/>
              </w:rPr>
            </w:pPr>
          </w:p>
        </w:tc>
      </w:tr>
      <w:tr>
        <w:trPr>
          <w:trHeight w:val="216"/>
        </w:trPr>
        <w:tc>
          <w:tcPr>
            <w:tcW w:w="9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7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-556895</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-273685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 w:lineRule="exact"/>
        <w:rPr>
          <w:sz w:val="20"/>
          <w:szCs w:val="20"/>
          <w:color w:val="auto"/>
        </w:rPr>
      </w:pPr>
    </w:p>
    <w:p>
      <w:pPr>
        <w:ind w:left="520" w:right="6320" w:hanging="512"/>
        <w:spacing w:after="0" w:line="477"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nine months ending December 31, 2022. </w:t>
      </w:r>
      <w:r>
        <w:rPr>
          <w:rFonts w:ascii="Times New Roman" w:cs="Times New Roman" w:eastAsia="Times New Roman" w:hAnsi="Times New Roman"/>
          <w:sz w:val="18"/>
          <w:szCs w:val="18"/>
          <w:i w:val="1"/>
          <w:iCs w:val="1"/>
          <w:u w:val="single" w:color="auto"/>
          <w:color w:val="auto"/>
        </w:rPr>
        <w:t>Accounting Under ASC 840</w:t>
      </w:r>
    </w:p>
    <w:p>
      <w:pPr>
        <w:spacing w:after="0" w:line="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No rent expense was recorded during the three months ended March 31, 2021 as the Company had not yet entered into the lease agreement.</w:t>
      </w:r>
    </w:p>
    <w:p>
      <w:pPr>
        <w:spacing w:after="0" w:line="17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Under ASC 840, minimum rental commitments under non-cancelable leases for each of the next five years and total thereafter as of December 31, 2021,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1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34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-650875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6" w:name="page27"/>
    <w:bookmarkEnd w:id="26"/>
    <w:p>
      <w:pPr>
        <w:ind w:right="8420" w:firstLine="8"/>
        <w:spacing w:after="0" w:line="396"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Other Agreements</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agreements with third parties in the normal course of business under which it can license certain developed technologies. If the</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Company exercises its rights to license the technologies, it may be subject to additional fees and milestone payments. As of March 31, 2022, the Company has not exercised its rights to license such technologies.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not incurred any material costs as a result of such indemnifications. The Company is not aware of any claims under indemnification arrangements, and it has not accrued any liabilities related to such obligations as of March 31, 2022 or December 31, 2021.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200" w:firstLine="509"/>
        <w:spacing w:after="0" w:line="222"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for contingencies. The Company expenses the costs related to its legal proceedings as they are incurred. No such costs have been incurred during the three months ended March 31, 2022 and 2021.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21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in contributions to the 401(k) Plan for the three months ended March 31, 2022. No contributions were made to the 401(k) Plan for the three months ended March 31, 2021.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16"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210"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0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6,526,973</w:t>
            </w:r>
          </w:p>
        </w:tc>
        <w:tc>
          <w:tcPr>
            <w:tcW w:w="12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4,206,984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44,427</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0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6,571,820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4,290,002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12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-659130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3,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FSHD. Our other clinical product candidate is FTX-6058, which is being developed for the treatment of certain hemoglobinopathies, including SCD and ß-thalassemia. We expect to initiate REACH, a randomized, double-blind, placebo-controlled, multi-national Phase 3 clinical trial of losmapimod, our product candidate for FSHD, in the second quarter of 2022. We initiated a Phase 1b clinical trial of FTX-6058 in people with SCD in the fourth quarter of 2021, and we plan to present initial data, including measures of fetal hemoglobin, or HbF, protein induction and safety, from the ongoing 6 mg dose cohort at the European Hematology Association, or EHA, 2022 Hybrid Congress, taking place from June 9-12, 2022. Additionally, we submitted an IND in the fourth quarter of 2021 for FTX-6058 in other select hemoglobinopathies, including ß-thalassemia, and expect to initiate a Phase 1b clinical trial in the second half of 2022.</w:t>
      </w:r>
    </w:p>
    <w:p>
      <w:pPr>
        <w:spacing w:after="0" w:line="176" w:lineRule="exact"/>
        <w:rPr>
          <w:sz w:val="20"/>
          <w:szCs w:val="20"/>
          <w:color w:val="auto"/>
        </w:rPr>
      </w:pPr>
    </w:p>
    <w:p>
      <w:pPr>
        <w:ind w:right="80" w:firstLine="509"/>
        <w:spacing w:after="0" w:line="228"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nominate our next development candidate this year to support our fourth IND by the end of the first quarter of 2023.</w:t>
      </w:r>
    </w:p>
    <w:p>
      <w:pPr>
        <w:spacing w:after="0" w:line="17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7"/>
          <w:szCs w:val="17"/>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the ATM Offering, through issuances of convertible preferred stock, and from upfront payments received under our collaboration and license agreements.</w:t>
      </w:r>
    </w:p>
    <w:p>
      <w:pPr>
        <w:spacing w:after="0" w:line="165" w:lineRule="exact"/>
        <w:rPr>
          <w:sz w:val="20"/>
          <w:szCs w:val="20"/>
          <w:color w:val="auto"/>
        </w:rPr>
      </w:pPr>
    </w:p>
    <w:p>
      <w:pPr>
        <w:ind w:right="120" w:firstLine="509"/>
        <w:spacing w:after="0" w:line="229"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$25.9 million and $17.0 million for the three months ended March 31, 2022 and the three months ended March 31, 2021, respectively. As of March 31, 2022, we had an accumulated deficit of $328.4 million. We expect our expenses and operating losses will increase substantially over the next several years in connection with our ongoing activities, as we:</w:t>
      </w:r>
    </w:p>
    <w:p>
      <w:pPr>
        <w:spacing w:after="0" w:line="79"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0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28" w:name="page29"/>
    <w:bookmarkEnd w:id="28"/>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0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w:t>
      </w:r>
    </w:p>
    <w:p>
      <w:pPr>
        <w:ind w:right="40"/>
        <w:spacing w:after="0" w:line="223" w:lineRule="auto"/>
        <w:rPr>
          <w:sz w:val="20"/>
          <w:szCs w:val="20"/>
          <w:color w:val="auto"/>
        </w:rPr>
      </w:pPr>
      <w:r>
        <w:rPr>
          <w:rFonts w:ascii="Times New Roman" w:cs="Times New Roman" w:eastAsia="Times New Roman" w:hAnsi="Times New Roman"/>
          <w:sz w:val="17"/>
          <w:szCs w:val="17"/>
          <w:color w:val="auto"/>
        </w:rPr>
        <w:t>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develop and market our product candidates even if we would otherwise prefer to develop and market such product candidates ourselves.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w:t>
      </w:r>
    </w:p>
    <w:p>
      <w:pPr>
        <w:spacing w:after="0" w:line="2"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levels and be forced to reduce or terminate our operations.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we had $195.1 million in cash, cash equivalents, and marketable securities. We believe that our existing cash, cash</w:t>
      </w:r>
    </w:p>
    <w:p>
      <w:pPr>
        <w:spacing w:after="0" w:line="2"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equivalents, and marketable securities as of March 31, 2022 will enable us to fund our operating expenses and capital expenditure requirements into 2024. We have based this estimate on assumptions that may prove to be wrong, and we could exhaust our available capital resources sooner than we expect.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40" w:firstLine="509"/>
        <w:spacing w:after="0" w:line="222"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w:t>
      </w:r>
    </w:p>
    <w:p>
      <w:pPr>
        <w:spacing w:after="0" w:line="205" w:lineRule="auto"/>
        <w:rPr>
          <w:sz w:val="20"/>
          <w:szCs w:val="20"/>
          <w:color w:val="auto"/>
        </w:rPr>
      </w:pPr>
      <w:r>
        <w:rPr>
          <w:rFonts w:ascii="Times New Roman" w:cs="Times New Roman" w:eastAsia="Times New Roman" w:hAnsi="Times New Roman"/>
          <w:sz w:val="18"/>
          <w:szCs w:val="18"/>
          <w:color w:val="auto"/>
        </w:rPr>
        <w:t>from product sales. We cannot predict if, when or to what extent we will generate revenue from the commercialization and sale of our product candidates.</w:t>
      </w:r>
    </w:p>
    <w:p>
      <w:pPr>
        <w:spacing w:after="0"/>
        <w:rPr>
          <w:sz w:val="20"/>
          <w:szCs w:val="20"/>
          <w:color w:val="auto"/>
        </w:rPr>
      </w:pPr>
      <w:r>
        <w:rPr>
          <w:rFonts w:ascii="Times New Roman" w:cs="Times New Roman" w:eastAsia="Times New Roman" w:hAnsi="Times New Roman"/>
          <w:sz w:val="18"/>
          <w:szCs w:val="18"/>
          <w:color w:val="auto"/>
        </w:rPr>
        <w:t>We may never succeed in obtaining regulatory approval for any of our product candidates.</w:t>
      </w:r>
    </w:p>
    <w:p>
      <w:pPr>
        <w:spacing w:after="0" w:line="19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Acceleron to identify biological targets to modulate specific pathways associated with a targeted indication within the pulmonary disease space. Under the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Acceleron was subsequently acquired by Merck in November 2021.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8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Under the terms of the collaboration agreement, we received a $10.0 million upfront payment from Acceleron in December 2019 and in December 2020, achieved $2.0 million of specified research milestones.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9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and 2021, we recognized $0.9 million and $2.6 million, respectively, of collaboration revenue under the Acceleron collaboration agreement. As of March 31, 2022 and December 31, 2021, we have recorded $0.1 million and $0.6 million, respectively, of deferred revenue associated with the Acceleron collaboration agreement, which is classified as either current or net of current portion in our consolidated balance sheets based on the period over which the revenue is expected to be recognized. As of March 31, 2022, we had received $4.6 million of cost reimbursement payments and $2.0 million 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milestone payments under the Acceleron collaboration agreement. As of March 31, 2022, we recorded unbilled accounts receivable of $0.4 million related</w:t>
      </w:r>
    </w:p>
    <w:p>
      <w:pPr>
        <w:spacing w:after="0" w:line="27"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to reimbursable research and development costs under the Acceleron collaboration agreement for activities performed during the three months ended March 31, 2022.</w:t>
      </w:r>
    </w:p>
    <w:p>
      <w:pPr>
        <w:spacing w:after="0" w:line="168"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8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July 20, 2020, we entered into a collaboration and license agreement with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8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5"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For the three months ended March 31, 2022 and 2021, we recognized $1.7 million and $2.2 million, respectively, of collaboration revenue under the MyoKardia collaboration agreement. As of March 31, 2022 and December 31, 2021, we have recorded $2.8 million and $4.1 million, respectively, of deferred revenue associated with the MyoKardia collaboration agreement, which is classified as either current or net of current portion in our consolidated balance sheets based on the period over which the revenue is expected to be recognized. As of March 31, 2022, we had received $3.7 million of cost reimbursement payments and $2.5 million of milestone payments under the MyoKardia collaboration agreement. As of March 31, 2022, we recorded</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unbilled accounts receivable of $0.4 million related to reimbursable research and development costs under the MyoKardia collaboration agreement for activities performed during the three months ended March 31, 2022.</w:t>
      </w:r>
    </w:p>
    <w:p>
      <w:pPr>
        <w:spacing w:after="0" w:line="168" w:lineRule="exact"/>
        <w:rPr>
          <w:sz w:val="20"/>
          <w:szCs w:val="20"/>
          <w:color w:val="auto"/>
        </w:rPr>
      </w:pPr>
    </w:p>
    <w:p>
      <w:pPr>
        <w:ind w:right="220" w:firstLine="509"/>
        <w:spacing w:after="0" w:line="247" w:lineRule="auto"/>
        <w:rPr>
          <w:sz w:val="20"/>
          <w:szCs w:val="20"/>
          <w:color w:val="auto"/>
        </w:rPr>
      </w:pPr>
      <w:r>
        <w:rPr>
          <w:rFonts w:ascii="Times New Roman" w:cs="Times New Roman" w:eastAsia="Times New Roman" w:hAnsi="Times New Roman"/>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68" w:lineRule="exact"/>
        <w:rPr>
          <w:sz w:val="20"/>
          <w:szCs w:val="20"/>
          <w:color w:val="auto"/>
        </w:rPr>
      </w:pPr>
    </w:p>
    <w:p>
      <w:pPr>
        <w:ind w:left="900" w:right="78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7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months ended March 31, 2022 and 2021. Pre-development candidate expenses, unallocated expenses and internal research and development expenses are classified separately.</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r>
      <w:tr>
        <w:trPr>
          <w:trHeight w:val="187"/>
        </w:trPr>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69"/>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FTX-6058 external expenses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49"/>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1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69"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in light of the ongoing COVID-19 pandemic;</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1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6"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71" w:lineRule="exact"/>
        <w:rPr>
          <w:sz w:val="20"/>
          <w:szCs w:val="20"/>
          <w:color w:val="auto"/>
        </w:rPr>
      </w:pPr>
    </w:p>
    <w:p>
      <w:pPr>
        <w:ind w:right="180" w:firstLine="509"/>
        <w:spacing w:after="0"/>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21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March 31, 2022 and 2021, along with the changes in those items in dollars: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17,831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16,334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10,759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28,590</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(25,928 )</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-454025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-454025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Collaboration revenue decreased by $2.2 million from $4.8 million for the three months ended March 31, 2021 to $2.6 million for the three months ended March 31, 2022.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March 31, 2022 and 2021, we recognized $0.9 million and $2.6 million, respectively, of collaboration revenue under the Acceleron collaboration agreement and $1.7 million and $2.2 million, respectively, of collaboration revenue under the MyoKardia collaboration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2022:</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-659765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-659765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-659765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3" w:name="page34"/>
    <w:bookmarkEnd w:id="33"/>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$1.5 million from $16.3 million for the three months ended March 31, 2021 to $17.8 million for the three months ended March 31, 2022. The increase in research and development expense was primarily attributable to the following:</w:t>
      </w:r>
    </w:p>
    <w:p>
      <w:pPr>
        <w:spacing w:after="0" w:line="40" w:lineRule="exact"/>
        <w:rPr>
          <w:sz w:val="20"/>
          <w:szCs w:val="20"/>
          <w:color w:val="auto"/>
        </w:rPr>
      </w:pPr>
    </w:p>
    <w:p>
      <w:pPr>
        <w:ind w:left="1020" w:right="2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 increased employee compensation costs, including a $0.6 million increase in stock-based compensation expense, primarily due to increased research and development headcount;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 increased facilities costs;</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 increased other costs, offset by a $0.8 million decrease in external research and development costs, primarily associated with decreased costs associated with losmapimod as we completed the ReDUX4 trial in January 2021, and a $0.4 million decrease in laboratory supplies costs.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2022:</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8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2,906</w:t>
            </w: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5,498</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-25400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431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from $5.5 million for the three months ended March 31, 2021 to $10.8 million for the three months ended March 31, 2022. The increase in general and administrative expenses was primarily attributable to the following:</w:t>
      </w:r>
    </w:p>
    <w:p>
      <w:pPr>
        <w:spacing w:after="0" w:line="54" w:lineRule="exact"/>
        <w:rPr>
          <w:sz w:val="20"/>
          <w:szCs w:val="20"/>
          <w:color w:val="auto"/>
        </w:rPr>
      </w:pPr>
    </w:p>
    <w:p>
      <w:pPr>
        <w:ind w:left="900" w:right="1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 increased employee compensation costs, including a $1.2 million increase in stock-based compensation expense, primarily due to increased general and administrative headcount;</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 increased professional services, primarily due to increased use of consulting services and preparatory commercial activities;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 increased facility-related costs, including depreciation and other utility and maintenance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 increased other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1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income, net increased by $0.1 million from less than $0.1 million for the three months ended March 31, 2021 to $0.1 million for the three months ended March 31, 2022. The increase in other income, net was primarily attributable to the increase in the Company's average cash and investment balance.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2022, we have funded our operations primarily with aggregate gross proceeds of $501.2 million from the sale of shares of our common stock in public offerings, a private placement, and an "at-the-market" offering, through issuances of convertible preferred stock, and from upfront payments received under our collaboration and license agreements. As of March 31, 2022, we had cash, cash equivalents, and marketable securities of $195.1 million.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169" w:lineRule="exact"/>
        <w:rPr>
          <w:sz w:val="20"/>
          <w:szCs w:val="20"/>
          <w:color w:val="auto"/>
        </w:rPr>
      </w:pPr>
    </w:p>
    <w:p>
      <w:pPr>
        <w:jc w:val="both"/>
        <w:ind w:right="560" w:firstLine="509"/>
        <w:spacing w:after="0" w:line="258" w:lineRule="auto"/>
        <w:rPr>
          <w:sz w:val="20"/>
          <w:szCs w:val="20"/>
          <w:color w:val="auto"/>
        </w:rPr>
      </w:pPr>
      <w:r>
        <w:rPr>
          <w:rFonts w:ascii="Times New Roman" w:cs="Times New Roman" w:eastAsia="Times New Roman" w:hAnsi="Times New Roman"/>
          <w:sz w:val="18"/>
          <w:szCs w:val="18"/>
          <w:color w:val="auto"/>
        </w:rPr>
        <w:t>On August 16, 2021, we completed a public offering of our common stock and issued and sold 7,590,000 shares of common stock at a public offering price of $19.00 per share, resulting in net proceeds of $135.5 million after deducting underwriting discounts and commissions and offering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2022 and 2021:</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(22,106 )</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(16,226 )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47,504</w:t>
            </w:r>
          </w:p>
        </w:tc>
        <w:tc>
          <w:tcPr>
            <w:tcW w:w="0" w:type="dxa"/>
            <w:vAlign w:val="bottom"/>
          </w:tcPr>
          <w:p>
            <w:pPr>
              <w:spacing w:after="0"/>
              <w:rPr>
                <w:sz w:val="1"/>
                <w:szCs w:val="1"/>
                <w:color w:val="auto"/>
              </w:rPr>
            </w:pPr>
          </w:p>
        </w:tc>
      </w:tr>
      <w:tr>
        <w:trPr>
          <w:trHeight w:val="164"/>
        </w:trPr>
        <w:tc>
          <w:tcPr>
            <w:tcW w:w="50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(2,099 )</w:t>
            </w:r>
          </w:p>
        </w:tc>
        <w:tc>
          <w:tcPr>
            <w:tcW w:w="4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43,693</w:t>
            </w:r>
          </w:p>
        </w:tc>
        <w:tc>
          <w:tcPr>
            <w:tcW w:w="0" w:type="dxa"/>
            <w:vAlign w:val="bottom"/>
          </w:tcPr>
          <w:p>
            <w:pPr>
              <w:spacing w:after="0"/>
              <w:rPr>
                <w:sz w:val="1"/>
                <w:szCs w:val="1"/>
                <w:color w:val="auto"/>
              </w:rPr>
            </w:pPr>
          </w:p>
        </w:tc>
      </w:tr>
      <w:tr>
        <w:trPr>
          <w:trHeight w:val="194"/>
        </w:trPr>
        <w:tc>
          <w:tcPr>
            <w:tcW w:w="5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cash</w:t>
            </w:r>
          </w:p>
        </w:tc>
        <w:tc>
          <w:tcPr>
            <w:tcW w:w="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-264795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was $22.1 million during the three months ended March 31, 2022 compared to net cash used in operating</w:t>
      </w:r>
    </w:p>
    <w:p>
      <w:pPr>
        <w:spacing w:after="0" w:line="2"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activities of $16.2 million during the three months ended March 31, 2021. The increase in net cash used in operating activities of $5.9 million was primarily due to increased external research and development costs as we continue to advance our lead programs, increased employee compensation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increased general and administrative costs to support the growth of our organization.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Net cash provided by investing activities was $19.7 million during the three months ended March 31, 2022 compared to net cash provided by</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investing activities of $12.4 million during the three months ended March 31, 2021. The increase in net cash provided by investing activities of $7.3 million was primarily due to higher net maturities of marketable securities during the three months ended March 31,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$0.3 million during the three months ended March 31, 2022 compared to net cash provided by financing activities of $47.5 million during the three months ended March 31, 2021. Net cash provided by financing activities during the three months ended March 31, 2022 consisted of net proceeds of approximately $0.3 million from the issuance of common stock under our benefit plans. Net cash provided by financing activities during the three months ended March 31, 2021 primarily consisted of net proceeds of approximately $47.4 million from the completion of the public offering of our common stock in January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9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March 31, 2022, will enable us to fund our operating expenses and capital expenditure requirements into 2024. However, we have based this estimate on assumptions that may prove to be wrong and we could exhaust our capital resources sooner than we expect.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FTX-6058;</w:t>
      </w:r>
    </w:p>
    <w:p>
      <w:pPr>
        <w:spacing w:after="0" w:line="103"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0" w:lineRule="exact"/>
        <w:rPr>
          <w:rFonts w:ascii="Times New Roman" w:cs="Times New Roman" w:eastAsia="Times New Roman" w:hAnsi="Times New Roman"/>
          <w:sz w:val="18"/>
          <w:szCs w:val="18"/>
          <w:color w:val="auto"/>
        </w:rPr>
      </w:pPr>
    </w:p>
    <w:p>
      <w:pPr>
        <w:ind w:left="900" w:right="30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Acceleron and MyoKardia;</w:t>
      </w:r>
    </w:p>
    <w:p>
      <w:pPr>
        <w:spacing w:after="0" w:line="76" w:lineRule="exact"/>
        <w:rPr>
          <w:rFonts w:ascii="Times New Roman" w:cs="Times New Roman" w:eastAsia="Times New Roman" w:hAnsi="Times New Roman"/>
          <w:sz w:val="18"/>
          <w:szCs w:val="18"/>
          <w:color w:val="auto"/>
        </w:rPr>
      </w:pPr>
    </w:p>
    <w:p>
      <w:pPr>
        <w:ind w:left="900" w:right="66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0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2022, there were no material changes to our critical accounting policies from those described in our Annual Report on Form 10-K filed with the SEC on March 3,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32"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$80.8 million for the year ended December 31, 2021 and $25.9 million for the three months ended March 31, 2022. As of March 31, 2022, we had an accumulated deficit of $328.4 million. To date, we have funded our operations primarily from the sale of shares of our common stock in public offerings, a private placement, and in “at-the-market” offerings, and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0"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 such as the Phase 3 clinical trial of losmapimod for the treatment of FSHD;</w:t>
      </w:r>
    </w:p>
    <w:p>
      <w:pPr>
        <w:spacing w:after="0" w:line="10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9" w:name="page40"/>
    <w:bookmarkEnd w:id="39"/>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0" w:lineRule="exact"/>
        <w:rPr>
          <w:sz w:val="20"/>
          <w:szCs w:val="20"/>
          <w:color w:val="auto"/>
        </w:rPr>
      </w:pPr>
    </w:p>
    <w:p>
      <w:pPr>
        <w:ind w:left="900" w:right="640" w:hanging="383"/>
        <w:spacing w:after="0" w:line="25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198"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0" w:lineRule="exact"/>
        <w:rPr>
          <w:sz w:val="20"/>
          <w:szCs w:val="20"/>
          <w:color w:val="auto"/>
        </w:rPr>
      </w:pPr>
    </w:p>
    <w:p>
      <w:pPr>
        <w:ind w:right="180" w:firstLine="509"/>
        <w:spacing w:after="0" w:line="236" w:lineRule="auto"/>
        <w:rPr>
          <w:sz w:val="20"/>
          <w:szCs w:val="20"/>
          <w:color w:val="auto"/>
        </w:rPr>
      </w:pPr>
      <w:r>
        <w:rPr>
          <w:rFonts w:ascii="Times New Roman" w:cs="Times New Roman" w:eastAsia="Times New Roman" w:hAnsi="Times New Roman"/>
          <w:sz w:val="17"/>
          <w:szCs w:val="17"/>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w:t>
      </w:r>
    </w:p>
    <w:p>
      <w:pPr>
        <w:spacing w:after="0" w:line="208" w:lineRule="auto"/>
        <w:rPr>
          <w:sz w:val="20"/>
          <w:szCs w:val="20"/>
          <w:color w:val="auto"/>
        </w:rPr>
      </w:pPr>
      <w:r>
        <w:rPr>
          <w:rFonts w:ascii="Times New Roman" w:cs="Times New Roman" w:eastAsia="Times New Roman" w:hAnsi="Times New Roman"/>
          <w:sz w:val="18"/>
          <w:szCs w:val="18"/>
          <w:color w:val="auto"/>
        </w:rPr>
        <w:t>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commercialization efforts.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and FTX-6058;</w:t>
      </w:r>
    </w:p>
    <w:p>
      <w:pPr>
        <w:spacing w:after="0" w:line="76" w:lineRule="exact"/>
        <w:rPr>
          <w:rFonts w:ascii="Times New Roman" w:cs="Times New Roman" w:eastAsia="Times New Roman" w:hAnsi="Times New Roman"/>
          <w:sz w:val="18"/>
          <w:szCs w:val="18"/>
          <w:color w:val="auto"/>
        </w:rPr>
      </w:pPr>
    </w:p>
    <w:p>
      <w:pPr>
        <w:ind w:left="900" w:right="80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 such as our planned Phase 1b clinical trial of FTX-6058 in select hemoglobinopathies, including ß-thalassemia, and plans for the Phase 3 clinical trial of losmapimod for the treatment of FSHD;</w:t>
      </w:r>
    </w:p>
    <w:p>
      <w:pPr>
        <w:spacing w:after="0" w:line="41" w:lineRule="exact"/>
        <w:rPr>
          <w:rFonts w:ascii="Times New Roman" w:cs="Times New Roman" w:eastAsia="Times New Roman" w:hAnsi="Times New Roman"/>
          <w:sz w:val="18"/>
          <w:szCs w:val="18"/>
          <w:color w:val="auto"/>
        </w:rPr>
      </w:pPr>
    </w:p>
    <w:p>
      <w:pPr>
        <w:ind w:left="900" w:right="56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0" w:lineRule="exact"/>
        <w:rPr>
          <w:rFonts w:ascii="Times New Roman" w:cs="Times New Roman" w:eastAsia="Times New Roman" w:hAnsi="Times New Roman"/>
          <w:sz w:val="18"/>
          <w:szCs w:val="18"/>
          <w:color w:val="auto"/>
        </w:rPr>
      </w:pPr>
    </w:p>
    <w:p>
      <w:pPr>
        <w:ind w:left="900" w:right="240" w:hanging="383"/>
        <w:spacing w:after="0" w:line="23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Acceleron and MyoKardia;</w:t>
      </w:r>
    </w:p>
    <w:p>
      <w:pPr>
        <w:spacing w:after="0" w:line="90" w:lineRule="exact"/>
        <w:rPr>
          <w:rFonts w:ascii="Times New Roman" w:cs="Times New Roman" w:eastAsia="Times New Roman" w:hAnsi="Times New Roman"/>
          <w:sz w:val="18"/>
          <w:szCs w:val="18"/>
          <w:color w:val="auto"/>
        </w:rPr>
      </w:pPr>
    </w:p>
    <w:p>
      <w:pPr>
        <w:ind w:left="900" w:right="660" w:hanging="383"/>
        <w:spacing w:after="0" w:line="23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76" w:lineRule="exact"/>
        <w:rPr>
          <w:rFonts w:ascii="Times New Roman" w:cs="Times New Roman" w:eastAsia="Times New Roman" w:hAnsi="Times New Roman"/>
          <w:sz w:val="18"/>
          <w:szCs w:val="18"/>
          <w:color w:val="auto"/>
        </w:rPr>
      </w:pPr>
    </w:p>
    <w:p>
      <w:pPr>
        <w:ind w:left="900" w:right="160" w:hanging="383"/>
        <w:spacing w:after="0" w:line="25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4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90" w:lineRule="exact"/>
        <w:rPr>
          <w:rFonts w:ascii="Times New Roman" w:cs="Times New Roman" w:eastAsia="Times New Roman" w:hAnsi="Times New Roman"/>
          <w:sz w:val="18"/>
          <w:szCs w:val="18"/>
          <w:color w:val="auto"/>
        </w:rPr>
      </w:pPr>
    </w:p>
    <w:p>
      <w:pPr>
        <w:ind w:left="900" w:right="820" w:hanging="383"/>
        <w:spacing w:after="0" w:line="23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4" w:lineRule="exact"/>
        <w:rPr>
          <w:sz w:val="20"/>
          <w:szCs w:val="20"/>
          <w:color w:val="auto"/>
        </w:rPr>
      </w:pPr>
    </w:p>
    <w:p>
      <w:pPr>
        <w:ind w:left="5540" w:right="1780" w:hanging="5023"/>
        <w:spacing w:after="0" w:line="501" w:lineRule="auto"/>
        <w:tabs>
          <w:tab w:leader="none" w:pos="9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we had cash, cash equivalents, and marketable securities of approximately $195.1 million. We believe that our cash, cash equivalents, and marketable securities as of March 31, 2022 will enable us to fund our operating expenses and capital expenditure requirements into 2024.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91"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307"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0"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21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73"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6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In light of the COVID-19 pandemic, we and our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pandemic.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response to the COVID-19 pandemic,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pandemic. In addition, since the beginning of the COVID-19 pandemic, three vaccines for COVID-19 have received Emergency Use Authorization by the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further delays in these trials. The response to the ongoing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recommended safety measures intended to limit in-person interactions.</w:t>
      </w:r>
    </w:p>
    <w:p>
      <w:pPr>
        <w:spacing w:after="0" w:line="7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Additionally, the impact of the ongoing COVID-19 pandemic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ongoing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ongoing pandemic has on the ability of our CROs to deliver data sets and execute on experimentation could cause substantial delays for our discovery activities and materially impact our ability to fuel our pipeline with new product candidates.</w:t>
      </w:r>
    </w:p>
    <w:p>
      <w:pPr>
        <w:spacing w:after="0" w:line="9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ongoing COVID-19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ongoing COVID-19 pandemic will be on our business. The extent of the impact of COVID-19 on our business, financial condition, results of operations and prospects will depend on future developments that are highly uncertain, including as a result of new information that may emerge concerning COVID-19 or any variant strains of the virus and actions to be taken to contain or mitigate the impact of COVID-19, including the supply, distribution and effectiveness of vaccines.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1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$245.8 million and $244.0 million, respectively, which begin to expire in 2035. Approximately $214.8 million of the federal net operating losses can be carried forward indefinitely. As of December 31, 2021, we also had federal orphan drug credits of $6.7 million, which begin to expire in 2040. As of December 31, 2021, we also had federal and state research and development tax credit carryforwards of $6.1 million and $3.3 million, respectively, which begin to expire in 2035 and 2030, respectively. These net operating loss and tax credit carryforwards could expire unused and be unavailable to offset future income tax liabilities.</w:t>
      </w:r>
    </w:p>
    <w:p>
      <w:pPr>
        <w:spacing w:after="0" w:line="7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9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90"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0"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7"/>
          <w:szCs w:val="17"/>
          <w:color w:val="auto"/>
        </w:rPr>
        <w:t>We are early in our development efforts, and we have advanced only two product candidates into clinical trials, losmapimod for the treatment of FSHD, and FTX-6058 for the treatment of SCD and select hemoglobinopathies. We have invested substantially all of our efforts and financial resources in</w:t>
      </w:r>
    </w:p>
    <w:p>
      <w:pPr>
        <w:ind w:right="140"/>
        <w:spacing w:after="0" w:line="232" w:lineRule="auto"/>
        <w:rPr>
          <w:sz w:val="20"/>
          <w:szCs w:val="20"/>
          <w:color w:val="auto"/>
        </w:rPr>
      </w:pPr>
      <w:r>
        <w:rPr>
          <w:rFonts w:ascii="Times New Roman" w:cs="Times New Roman" w:eastAsia="Times New Roman" w:hAnsi="Times New Roman"/>
          <w:sz w:val="17"/>
          <w:szCs w:val="17"/>
          <w:color w:val="auto"/>
        </w:rPr>
        <w:t>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w:t>
      </w:r>
    </w:p>
    <w:p>
      <w:pPr>
        <w:ind w:right="140"/>
        <w:spacing w:after="0" w:line="226" w:lineRule="auto"/>
        <w:rPr>
          <w:sz w:val="20"/>
          <w:szCs w:val="20"/>
          <w:color w:val="auto"/>
        </w:rPr>
      </w:pPr>
      <w:r>
        <w:rPr>
          <w:rFonts w:ascii="Times New Roman" w:cs="Times New Roman" w:eastAsia="Times New Roman" w:hAnsi="Times New Roman"/>
          <w:sz w:val="18"/>
          <w:szCs w:val="18"/>
          <w:color w:val="auto"/>
        </w:rPr>
        <w:t>on the successful development, regulatory approval and eventual commercialization of our product candidates. The success of our product candidates will depend on several factors, including the following:</w:t>
      </w:r>
    </w:p>
    <w:p>
      <w:pPr>
        <w:spacing w:after="0" w:line="63"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90" w:lineRule="exact"/>
        <w:rPr>
          <w:rFonts w:ascii="Times New Roman" w:cs="Times New Roman" w:eastAsia="Times New Roman" w:hAnsi="Times New Roman"/>
          <w:sz w:val="18"/>
          <w:szCs w:val="18"/>
          <w:color w:val="auto"/>
        </w:rPr>
      </w:pPr>
    </w:p>
    <w:p>
      <w:pPr>
        <w:ind w:left="900" w:right="20" w:hanging="383"/>
        <w:spacing w:after="0" w:line="250"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FTX-6058 and future product candidates;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90" w:lineRule="exact"/>
        <w:rPr>
          <w:rFonts w:ascii="Times New Roman" w:cs="Times New Roman" w:eastAsia="Times New Roman" w:hAnsi="Times New Roman"/>
          <w:sz w:val="18"/>
          <w:szCs w:val="18"/>
          <w:color w:val="auto"/>
        </w:rPr>
      </w:pPr>
    </w:p>
    <w:p>
      <w:pPr>
        <w:ind w:left="900" w:right="120" w:hanging="383"/>
        <w:spacing w:after="0" w:line="237"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3" w:name="page44"/>
    <w:bookmarkEnd w:id="43"/>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product engine to build a pipeline of product candidates.</w:t>
      </w:r>
    </w:p>
    <w:p>
      <w:pPr>
        <w:spacing w:after="0" w:line="94"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w:t>
      </w:r>
    </w:p>
    <w:p>
      <w:pPr>
        <w:ind w:right="160"/>
        <w:spacing w:after="0" w:line="232" w:lineRule="auto"/>
        <w:rPr>
          <w:sz w:val="20"/>
          <w:szCs w:val="20"/>
          <w:color w:val="auto"/>
        </w:rPr>
      </w:pPr>
      <w:r>
        <w:rPr>
          <w:rFonts w:ascii="Times New Roman" w:cs="Times New Roman" w:eastAsia="Times New Roman" w:hAnsi="Times New Roman"/>
          <w:sz w:val="17"/>
          <w:szCs w:val="17"/>
          <w:color w:val="auto"/>
        </w:rPr>
        <w:t>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w:t>
      </w:r>
    </w:p>
    <w:p>
      <w:pPr>
        <w:ind w:right="140"/>
        <w:spacing w:after="0" w:line="211" w:lineRule="auto"/>
        <w:rPr>
          <w:sz w:val="20"/>
          <w:szCs w:val="20"/>
          <w:color w:val="auto"/>
        </w:rPr>
      </w:pPr>
      <w:r>
        <w:rPr>
          <w:rFonts w:ascii="Times New Roman" w:cs="Times New Roman" w:eastAsia="Times New Roman" w:hAnsi="Times New Roman"/>
          <w:sz w:val="18"/>
          <w:szCs w:val="18"/>
          <w:color w:val="auto"/>
        </w:rPr>
        <w:t>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w:t>
      </w:r>
    </w:p>
    <w:p>
      <w:pPr>
        <w:spacing w:after="0" w:line="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w:t>
      </w:r>
    </w:p>
    <w:p>
      <w:pPr>
        <w:ind w:right="140"/>
        <w:spacing w:after="0" w:line="211" w:lineRule="auto"/>
        <w:rPr>
          <w:sz w:val="20"/>
          <w:szCs w:val="20"/>
          <w:color w:val="auto"/>
        </w:rPr>
      </w:pPr>
      <w:r>
        <w:rPr>
          <w:rFonts w:ascii="Times New Roman" w:cs="Times New Roman" w:eastAsia="Times New Roman" w:hAnsi="Times New Roman"/>
          <w:sz w:val="18"/>
          <w:szCs w:val="18"/>
          <w:color w:val="auto"/>
        </w:rPr>
        <w:t>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w:t>
      </w:r>
    </w:p>
    <w:p>
      <w:pPr>
        <w:spacing w:after="0" w:line="1" w:lineRule="exact"/>
        <w:rPr>
          <w:sz w:val="20"/>
          <w:szCs w:val="20"/>
          <w:color w:val="auto"/>
        </w:rPr>
      </w:pPr>
    </w:p>
    <w:p>
      <w:pPr>
        <w:jc w:val="both"/>
        <w:ind w:right="400"/>
        <w:spacing w:after="0" w:line="228" w:lineRule="auto"/>
        <w:rPr>
          <w:sz w:val="20"/>
          <w:szCs w:val="20"/>
          <w:color w:val="auto"/>
        </w:rPr>
      </w:pPr>
      <w:r>
        <w:rPr>
          <w:rFonts w:ascii="Times New Roman" w:cs="Times New Roman" w:eastAsia="Times New Roman" w:hAnsi="Times New Roman"/>
          <w:sz w:val="18"/>
          <w:szCs w:val="18"/>
          <w:color w:val="auto"/>
        </w:rPr>
        <w:t>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7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of our product candidates.</w:t>
      </w:r>
    </w:p>
    <w:p>
      <w:pPr>
        <w:spacing w:after="0" w:line="84" w:lineRule="exact"/>
        <w:rPr>
          <w:sz w:val="20"/>
          <w:szCs w:val="20"/>
          <w:color w:val="auto"/>
        </w:rPr>
      </w:pPr>
    </w:p>
    <w:p>
      <w:pPr>
        <w:jc w:val="both"/>
        <w:ind w:right="220" w:firstLine="509"/>
        <w:spacing w:after="0" w:line="244"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2"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4" w:name="page45"/>
    <w:bookmarkEnd w:id="44"/>
    <w:p>
      <w:pPr>
        <w:ind w:firstLine="509"/>
        <w:spacing w:after="0" w:line="245" w:lineRule="auto"/>
        <w:rPr>
          <w:sz w:val="20"/>
          <w:szCs w:val="20"/>
          <w:color w:val="auto"/>
        </w:rPr>
      </w:pPr>
      <w:r>
        <w:rPr>
          <w:rFonts w:ascii="Times New Roman" w:cs="Times New Roman" w:eastAsia="Times New Roman" w:hAnsi="Times New Roman"/>
          <w:sz w:val="18"/>
          <w:szCs w:val="18"/>
          <w:color w:val="auto"/>
        </w:rPr>
        <w:t>As described in Item 1 “Business—Licenses and Collaborations--Right of Reference and License Agreement with GlaxoSmithKline” in our Annual Report on Form 10-K for the year ended December 31, 2021, or the 2021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9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16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900" w:right="74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4"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40" w:lineRule="exact"/>
        <w:rPr>
          <w:rFonts w:ascii="Times New Roman" w:cs="Times New Roman" w:eastAsia="Times New Roman" w:hAnsi="Times New Roman"/>
          <w:sz w:val="18"/>
          <w:szCs w:val="18"/>
          <w:color w:val="auto"/>
        </w:rPr>
      </w:pPr>
    </w:p>
    <w:p>
      <w:pPr>
        <w:ind w:left="900" w:right="34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340" w:hanging="383"/>
        <w:spacing w:after="0" w:line="296"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0" w:lineRule="exact"/>
        <w:rPr>
          <w:rFonts w:ascii="Times New Roman" w:cs="Times New Roman" w:eastAsia="Times New Roman" w:hAnsi="Times New Roman"/>
          <w:sz w:val="17"/>
          <w:szCs w:val="17"/>
          <w:color w:val="auto"/>
        </w:rPr>
      </w:pPr>
    </w:p>
    <w:p>
      <w:pPr>
        <w:ind w:left="900" w:right="80" w:hanging="383"/>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1"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40" w:lineRule="exact"/>
        <w:rPr>
          <w:rFonts w:ascii="Times New Roman" w:cs="Times New Roman" w:eastAsia="Times New Roman" w:hAnsi="Times New Roman"/>
          <w:sz w:val="18"/>
          <w:szCs w:val="18"/>
          <w:color w:val="auto"/>
        </w:rPr>
      </w:pPr>
    </w:p>
    <w:p>
      <w:pPr>
        <w:ind w:left="900" w:right="380" w:hanging="383"/>
        <w:spacing w:after="0" w:line="279"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0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0" w:lineRule="exact"/>
        <w:rPr>
          <w:rFonts w:ascii="Times New Roman" w:cs="Times New Roman" w:eastAsia="Times New Roman" w:hAnsi="Times New Roman"/>
          <w:sz w:val="18"/>
          <w:szCs w:val="18"/>
          <w:color w:val="auto"/>
        </w:rPr>
      </w:pPr>
    </w:p>
    <w:p>
      <w:pPr>
        <w:ind w:left="900" w:right="640" w:hanging="383"/>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4" w:lineRule="exact"/>
        <w:rPr>
          <w:rFonts w:ascii="Times New Roman" w:cs="Times New Roman" w:eastAsia="Times New Roman" w:hAnsi="Times New Roman"/>
          <w:sz w:val="18"/>
          <w:szCs w:val="18"/>
          <w:color w:val="auto"/>
        </w:rPr>
      </w:pPr>
    </w:p>
    <w:p>
      <w:pPr>
        <w:ind w:left="900" w:right="340" w:hanging="383"/>
        <w:spacing w:after="0" w:line="23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63" w:lineRule="exact"/>
        <w:rPr>
          <w:rFonts w:ascii="Times New Roman" w:cs="Times New Roman" w:eastAsia="Times New Roman" w:hAnsi="Times New Roman"/>
          <w:sz w:val="18"/>
          <w:szCs w:val="18"/>
          <w:color w:val="auto"/>
        </w:rPr>
      </w:pPr>
    </w:p>
    <w:p>
      <w:pPr>
        <w:ind w:left="900" w:right="100" w:hanging="383"/>
        <w:spacing w:after="0" w:line="23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instability from an outbreak of pandemic or contagious disease, such as the ongoing COVID-19 pandemic, in or around the countries in which we conduct our clinical trials, could delay the commencement or rate of completion of our clinical trials; and</w:t>
      </w:r>
    </w:p>
    <w:p>
      <w:pPr>
        <w:spacing w:after="0" w:line="64" w:lineRule="exact"/>
        <w:rPr>
          <w:rFonts w:ascii="Times New Roman" w:cs="Times New Roman" w:eastAsia="Times New Roman" w:hAnsi="Times New Roman"/>
          <w:sz w:val="18"/>
          <w:szCs w:val="18"/>
          <w:color w:val="auto"/>
        </w:rPr>
      </w:pPr>
    </w:p>
    <w:p>
      <w:pPr>
        <w:ind w:left="900" w:right="400" w:hanging="383"/>
        <w:spacing w:after="0" w:line="23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45" w:name="page46"/>
    <w:bookmarkEnd w:id="45"/>
    <w:p>
      <w:pPr>
        <w:jc w:val="both"/>
        <w:ind w:right="460" w:firstLine="509"/>
        <w:spacing w:after="0" w:line="258" w:lineRule="auto"/>
        <w:rPr>
          <w:sz w:val="20"/>
          <w:szCs w:val="20"/>
          <w:color w:val="auto"/>
        </w:rPr>
      </w:pPr>
      <w:r>
        <w:rPr>
          <w:rFonts w:ascii="Times New Roman" w:cs="Times New Roman" w:eastAsia="Times New Roman" w:hAnsi="Times New Roman"/>
          <w:sz w:val="18"/>
          <w:szCs w:val="18"/>
          <w:color w:val="auto"/>
        </w:rPr>
        <w:t>For example, in response to the ongoing COVID-19 pandemic,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61"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48"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w:t>
      </w:r>
    </w:p>
    <w:p>
      <w:pPr>
        <w:spacing w:after="0" w:line="2"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w:t>
      </w:r>
    </w:p>
    <w:p>
      <w:pPr>
        <w:spacing w:after="0" w:line="1" w:lineRule="exact"/>
        <w:rPr>
          <w:sz w:val="20"/>
          <w:szCs w:val="20"/>
          <w:color w:val="auto"/>
        </w:rPr>
      </w:pPr>
    </w:p>
    <w:p>
      <w:pPr>
        <w:jc w:val="both"/>
        <w:ind w:right="600"/>
        <w:spacing w:after="0" w:line="228" w:lineRule="auto"/>
        <w:rPr>
          <w:sz w:val="20"/>
          <w:szCs w:val="20"/>
          <w:color w:val="auto"/>
        </w:rPr>
      </w:pPr>
      <w:r>
        <w:rPr>
          <w:rFonts w:ascii="Times New Roman" w:cs="Times New Roman" w:eastAsia="Times New Roman" w:hAnsi="Times New Roman"/>
          <w:sz w:val="18"/>
          <w:szCs w:val="18"/>
          <w:color w:val="auto"/>
        </w:rPr>
        <w:t>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77"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 clinically meaningful results.</w:t>
      </w:r>
    </w:p>
    <w:p>
      <w:pPr>
        <w:spacing w:after="0" w:line="8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supportive data. However, such regulatory authorities may not consider the endpoints of our clinical trial(s) to provide clinically meaningful results, even where we believe such results are clinically meaningful. For example, while we have met with regulators to discuss the design of our future clinical trial and registration strategy for losmapimod for FSHD, including our proposed endpoints for REACH, regulators may require additional data to support the RWS functional primary endpoint for approval of losmapimod for FSHD.</w:t>
      </w:r>
    </w:p>
    <w:p>
      <w:pPr>
        <w:spacing w:after="0" w:line="7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04"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0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7" w:name="page48"/>
    <w:bookmarkEnd w:id="47"/>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64" w:lineRule="exact"/>
        <w:rPr>
          <w:sz w:val="20"/>
          <w:szCs w:val="20"/>
          <w:color w:val="auto"/>
        </w:rPr>
      </w:pPr>
    </w:p>
    <w:p>
      <w:pPr>
        <w:ind w:right="320" w:firstLine="509"/>
        <w:spacing w:after="0" w:line="229"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66"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198"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50" w:lineRule="exact"/>
        <w:rPr>
          <w:sz w:val="20"/>
          <w:szCs w:val="20"/>
          <w:color w:val="auto"/>
        </w:rPr>
      </w:pPr>
    </w:p>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We are currently conducting an open label extension of our Phase 2b clinical trial and of our Phase 2 open label clinical trial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GCP,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8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3"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12"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9" w:name="page50"/>
    <w:bookmarkEnd w:id="49"/>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0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bluebird, Aruvant Sciences, Inc., Novo Nordisk A/S, Imara, Inc., Agios Pharmaceuticals, Inc., Forma Therapeutics Holdings, Inc., Global Blood Therapeutics, Inc., Takeda Pharmaceutical Company Limited, Pfizer, Inc., CSL Behring, Intellia Therapeutics, Inc., Editas Medicine, Inc., Sangamo Therapeutics Inc., or Sangamo (in collaboration with Bioverativ Inc.) and CRISPR Therapeutics AG (in collaboration with Vertex Pharmaceuticals, Inc.) are developing therapeutic approaches for patients with SCD. Acceleron (in collaboration with Celgene), Bellicum Pharmaceuticals, Inc., Silence Therapeutics plcImara Inc., Agios Pharmaceuticals, Inc., Forma Therapeutics Holdings, Inc., Ionis Pharmaceuticals, Inc., Orchard Therapeutics plc, Sangamo (in collaboration with Bioverativ, Inc.) and CRISPR Therapeutics AG (in collaboration with Vertex Pharmaceuticals, Inc.) are developing therapeutic approaches for patients with ß-thalassemia.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2"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77"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9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6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7"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3" w:lineRule="exact"/>
        <w:rPr>
          <w:sz w:val="20"/>
          <w:szCs w:val="20"/>
          <w:color w:val="auto"/>
        </w:rPr>
      </w:pPr>
    </w:p>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1" w:name="page52"/>
    <w:bookmarkEnd w:id="51"/>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64"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4"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Phase 2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FTX-6058 from a CMO for the completion of our ongoing Phase 1 clinical trial, our ongoing Phase 1b clinical trial for SCD, and our planned Phase 1b trial in non-SCD hemoglobinopathies, including ß-thalassemia, we cannot be sure we have correctly estimated our drug product requirements, which could delay, prevent or impair our development efforts.</w:t>
      </w:r>
    </w:p>
    <w:p>
      <w:pPr>
        <w:spacing w:after="0" w:line="9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3"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6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2" w:name="page53"/>
    <w:bookmarkEnd w:id="5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3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entitled “Business — Pharmaceutical Insurance Coverage and Health Care Reform” in the 2021 Annual Report.</w:t>
      </w:r>
    </w:p>
    <w:p>
      <w:pPr>
        <w:spacing w:after="0" w:line="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8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5"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53" w:name="page54"/>
    <w:bookmarkEnd w:id="53"/>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84" w:lineRule="exact"/>
        <w:rPr>
          <w:sz w:val="20"/>
          <w:szCs w:val="20"/>
          <w:color w:val="auto"/>
        </w:rPr>
      </w:pPr>
    </w:p>
    <w:p>
      <w:pPr>
        <w:ind w:left="900" w:right="32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40"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4"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02"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80"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4" w:name="page55"/>
    <w:bookmarkEnd w:id="54"/>
    <w:p>
      <w:pPr>
        <w:ind w:right="120" w:firstLine="509"/>
        <w:spacing w:after="0" w:line="238"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ongoing clinical trials of losmapimod and FTX-6058.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6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7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have collaboration and license agreements with Acceleron (with a targeted indication within the pulmonary disease space) and MyoKardia (for certain genetically defined cardiomyopathies). See “Business—License Agreements and Collaborations” in the 2021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9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03" w:lineRule="exact"/>
        <w:rPr>
          <w:rFonts w:ascii="Times New Roman" w:cs="Times New Roman" w:eastAsia="Times New Roman" w:hAnsi="Times New Roman"/>
          <w:sz w:val="18"/>
          <w:szCs w:val="18"/>
          <w:color w:val="auto"/>
        </w:rPr>
      </w:pPr>
    </w:p>
    <w:p>
      <w:pPr>
        <w:ind w:left="900" w:right="260" w:hanging="383"/>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1"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5" w:name="page56"/>
    <w:bookmarkEnd w:id="55"/>
    <w:p>
      <w:pPr>
        <w:ind w:left="383" w:right="320"/>
        <w:spacing w:after="0" w:line="282" w:lineRule="auto"/>
        <w:rPr>
          <w:sz w:val="20"/>
          <w:szCs w:val="20"/>
          <w:color w:val="auto"/>
        </w:rPr>
      </w:pPr>
      <w:r>
        <w:rPr>
          <w:rFonts w:ascii="Times New Roman" w:cs="Times New Roman" w:eastAsia="Times New Roman" w:hAnsi="Times New Roman"/>
          <w:sz w:val="18"/>
          <w:szCs w:val="18"/>
          <w:color w:val="auto"/>
        </w:rPr>
        <w:t>collaborators’ strategic focus or available funding, or external factors, such as an acquisition, that may divert resources or create competing priorities;</w:t>
      </w:r>
    </w:p>
    <w:p>
      <w:pPr>
        <w:spacing w:after="0" w:line="40" w:lineRule="exact"/>
        <w:rPr>
          <w:sz w:val="20"/>
          <w:szCs w:val="20"/>
          <w:color w:val="auto"/>
        </w:rPr>
      </w:pPr>
    </w:p>
    <w:p>
      <w:pPr>
        <w:ind w:left="383" w:right="600" w:hanging="383"/>
        <w:spacing w:after="0" w:line="266"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383" w:right="160" w:hanging="383"/>
        <w:spacing w:after="0" w:line="250"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82" w:lineRule="exact"/>
        <w:rPr>
          <w:rFonts w:ascii="Times New Roman" w:cs="Times New Roman" w:eastAsia="Times New Roman" w:hAnsi="Times New Roman"/>
          <w:sz w:val="18"/>
          <w:szCs w:val="18"/>
          <w:color w:val="auto"/>
        </w:rPr>
      </w:pPr>
    </w:p>
    <w:p>
      <w:pPr>
        <w:ind w:left="383" w:right="560" w:hanging="383"/>
        <w:spacing w:after="0" w:line="250"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40" w:lineRule="exact"/>
        <w:rPr>
          <w:rFonts w:ascii="Times New Roman" w:cs="Times New Roman" w:eastAsia="Times New Roman" w:hAnsi="Times New Roman"/>
          <w:sz w:val="18"/>
          <w:szCs w:val="18"/>
          <w:color w:val="auto"/>
        </w:rPr>
      </w:pPr>
    </w:p>
    <w:p>
      <w:pPr>
        <w:ind w:left="383" w:right="160" w:hanging="383"/>
        <w:spacing w:after="0" w:line="266"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383" w:hanging="383"/>
        <w:spacing w:after="0" w:line="266"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383" w:right="60" w:hanging="383"/>
        <w:spacing w:after="0" w:line="250"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2" w:lineRule="exact"/>
        <w:rPr>
          <w:rFonts w:ascii="Times New Roman" w:cs="Times New Roman" w:eastAsia="Times New Roman" w:hAnsi="Times New Roman"/>
          <w:sz w:val="18"/>
          <w:szCs w:val="18"/>
          <w:color w:val="auto"/>
        </w:rPr>
      </w:pPr>
    </w:p>
    <w:p>
      <w:pPr>
        <w:ind w:left="383" w:right="120" w:hanging="383"/>
        <w:spacing w:after="0" w:line="250"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82"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03" w:lineRule="exact"/>
        <w:rPr>
          <w:rFonts w:ascii="Times New Roman" w:cs="Times New Roman" w:eastAsia="Times New Roman" w:hAnsi="Times New Roman"/>
          <w:sz w:val="18"/>
          <w:szCs w:val="18"/>
          <w:color w:val="auto"/>
        </w:rPr>
      </w:pPr>
    </w:p>
    <w:p>
      <w:pPr>
        <w:ind w:left="383" w:right="540" w:hanging="383"/>
        <w:spacing w:after="0" w:line="266"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4" w:lineRule="exact"/>
        <w:rPr>
          <w:rFonts w:ascii="Times New Roman" w:cs="Times New Roman" w:eastAsia="Times New Roman" w:hAnsi="Times New Roman"/>
          <w:sz w:val="18"/>
          <w:szCs w:val="18"/>
          <w:color w:val="auto"/>
        </w:rPr>
      </w:pPr>
    </w:p>
    <w:p>
      <w:pPr>
        <w:ind w:left="383" w:right="100" w:hanging="383"/>
        <w:spacing w:after="0" w:line="282" w:lineRule="auto"/>
        <w:tabs>
          <w:tab w:leader="none" w:pos="3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2" w:right="339" w:bottom="1440" w:gutter="0" w:footer="0" w:header="0"/>
        </w:sectPr>
      </w:pPr>
    </w:p>
    <w:bookmarkStart w:id="56" w:name="page57"/>
    <w:bookmarkEnd w:id="56"/>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Additionally, in November 2021, subsequent to our entering into the Acceleron collaboration agreement, Acceleron was acquired by Merck &amp; Co., Inc. Merck &amp; Co., Inc. could determine to reprioritize Acceleron's development programs such that it ceases to diligently pursue the development of our programs and/or cause the agreement between Acceleron and us to terminate. If one of our collaborators terminates its agreement with us, we may find it more difficult to attract new collaborators and our perception in the business and financial communities could be adversely affected.</w:t>
      </w:r>
    </w:p>
    <w:p>
      <w:pPr>
        <w:spacing w:after="0" w:line="27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63"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8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87"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2021 Annual Report.</w:t>
      </w:r>
    </w:p>
    <w:p>
      <w:pPr>
        <w:spacing w:after="0" w:line="19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right="240"/>
        <w:spacing w:after="0" w:line="250" w:lineRule="auto"/>
        <w:rPr>
          <w:sz w:val="20"/>
          <w:szCs w:val="20"/>
          <w:color w:val="auto"/>
        </w:rPr>
      </w:pPr>
      <w:r>
        <w:rPr>
          <w:rFonts w:ascii="Times New Roman" w:cs="Times New Roman" w:eastAsia="Times New Roman" w:hAnsi="Times New Roman"/>
          <w:sz w:val="18"/>
          <w:szCs w:val="18"/>
          <w:color w:val="auto"/>
        </w:rPr>
        <w:t>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94"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9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9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1"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20"/>
        <w:spacing w:after="0" w:line="282" w:lineRule="auto"/>
        <w:rPr>
          <w:sz w:val="20"/>
          <w:szCs w:val="20"/>
          <w:color w:val="auto"/>
        </w:rPr>
      </w:pPr>
      <w:r>
        <w:rPr>
          <w:rFonts w:ascii="Times New Roman" w:cs="Times New Roman" w:eastAsia="Times New Roman" w:hAnsi="Times New Roman"/>
          <w:sz w:val="18"/>
          <w:szCs w:val="18"/>
          <w:color w:val="auto"/>
        </w:rPr>
        <w:t>including our rights to important intellectual property or technology or impede, or delay or prohibit the further development or commercialization of one or more product candidates that rely on such agreements.</w:t>
      </w:r>
    </w:p>
    <w:p>
      <w:pPr>
        <w:spacing w:after="0" w:line="23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202"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9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“Business—Intellectual Property” in the 2021 Annual Report for additional information regarding patent laws and patent protection.</w:t>
      </w:r>
    </w:p>
    <w:p>
      <w:pPr>
        <w:spacing w:after="0" w:line="286"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4"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36"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w:t>
      </w:r>
    </w:p>
    <w:p>
      <w:pPr>
        <w:spacing w:after="0" w:line="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6"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5"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64" w:lineRule="exact"/>
        <w:rPr>
          <w:sz w:val="20"/>
          <w:szCs w:val="20"/>
          <w:color w:val="auto"/>
        </w:rPr>
      </w:pPr>
    </w:p>
    <w:p>
      <w:pPr>
        <w:ind w:right="120" w:firstLine="509"/>
        <w:spacing w:after="0" w:line="230"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1" w:name="page62"/>
    <w:bookmarkEnd w:id="61"/>
    <w:p>
      <w:pPr>
        <w:ind w:right="480"/>
        <w:spacing w:after="0" w:line="296" w:lineRule="auto"/>
        <w:rPr>
          <w:sz w:val="20"/>
          <w:szCs w:val="20"/>
          <w:color w:val="auto"/>
        </w:rPr>
      </w:pPr>
      <w:r>
        <w:rPr>
          <w:rFonts w:ascii="Times New Roman" w:cs="Times New Roman" w:eastAsia="Times New Roman" w:hAnsi="Times New Roman"/>
          <w:sz w:val="17"/>
          <w:szCs w:val="17"/>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25" w:lineRule="exact"/>
        <w:rPr>
          <w:sz w:val="20"/>
          <w:szCs w:val="20"/>
          <w:color w:val="auto"/>
        </w:rPr>
      </w:pPr>
    </w:p>
    <w:p>
      <w:pPr>
        <w:ind w:right="40" w:firstLine="509"/>
        <w:spacing w:after="0" w:line="23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8"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5"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30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2" w:name="page63"/>
    <w:bookmarkEnd w:id="62"/>
    <w:p>
      <w:pPr>
        <w:ind w:right="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8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3" w:name="page64"/>
    <w:bookmarkEnd w:id="63"/>
    <w:p>
      <w:pPr>
        <w:ind w:right="60"/>
        <w:spacing w:after="0" w:line="266" w:lineRule="auto"/>
        <w:rPr>
          <w:sz w:val="20"/>
          <w:szCs w:val="20"/>
          <w:color w:val="auto"/>
        </w:rPr>
      </w:pPr>
      <w:r>
        <w:rPr>
          <w:rFonts w:ascii="Times New Roman" w:cs="Times New Roman" w:eastAsia="Times New Roman" w:hAnsi="Times New Roman"/>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20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0"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4" w:name="page65"/>
    <w:bookmarkEnd w:id="64"/>
    <w:p>
      <w:pPr>
        <w:ind w:right="300"/>
        <w:spacing w:after="0" w:line="282" w:lineRule="auto"/>
        <w:rPr>
          <w:sz w:val="20"/>
          <w:szCs w:val="20"/>
          <w:color w:val="auto"/>
        </w:rPr>
      </w:pPr>
      <w:r>
        <w:rPr>
          <w:rFonts w:ascii="Times New Roman" w:cs="Times New Roman" w:eastAsia="Times New Roman" w:hAnsi="Times New Roman"/>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5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left="900" w:right="10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03"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6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8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6" w:name="page67"/>
    <w:bookmarkEnd w:id="66"/>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3"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In addition, since March 2020 when foreign and domestic inspections of facilities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9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3"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a certain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74"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7" w:name="page68"/>
    <w:bookmarkEnd w:id="6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7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0"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83"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69"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In addition, the FDA generally requires pre-approval of promotional materials for products under consideration for accelerated approval, which could adversely impact the timing of the commercial launch of the product. Thus, even if a product candidate is eligible for the accelerated approval pathway, we may not experience a faster development or regulatory review or approval process for that product, and receiving accelerated approval does not assure that the product’s accelerated approval will ultimately be converted to a traditional approval.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9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withdrawal of the United Kingdom from the European Union, commonly referred to as Brexit. The United Kingdom and European Union entered into a Trade and Cooperation Agreement in connection with Brexit, which sets out certain procedures for approval and recognition of medical products in each jurisdiction. Because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90"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0" w:lineRule="exact"/>
        <w:rPr>
          <w:sz w:val="20"/>
          <w:szCs w:val="20"/>
          <w:color w:val="auto"/>
        </w:rPr>
      </w:pPr>
    </w:p>
    <w:p>
      <w:pPr>
        <w:ind w:right="340" w:firstLine="509"/>
        <w:spacing w:after="0" w:line="24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40"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9" w:name="page70"/>
    <w:bookmarkEnd w:id="69"/>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jc w:val="both"/>
        <w:ind w:right="520" w:firstLine="509"/>
        <w:spacing w:after="0" w:line="258"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6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1"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the section entitled “Business—Government Regulation and Product Approvals—Health Care Law and Regulation” in the 2021 Annual Report.</w:t>
      </w:r>
    </w:p>
    <w:p>
      <w:pPr>
        <w:spacing w:after="0" w:line="7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4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jc w:val="both"/>
        <w:ind w:right="1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59"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EU GDPR, which took effect across all Member States of the EEA, on May 25, 2018.</w:t>
      </w:r>
    </w:p>
    <w:p>
      <w:pPr>
        <w:spacing w:after="0" w:line="64" w:lineRule="exact"/>
        <w:rPr>
          <w:sz w:val="20"/>
          <w:szCs w:val="20"/>
          <w:color w:val="auto"/>
        </w:rPr>
      </w:pPr>
    </w:p>
    <w:p>
      <w:pPr>
        <w:ind w:right="80" w:firstLine="509"/>
        <w:spacing w:after="0" w:line="226" w:lineRule="auto"/>
        <w:rPr>
          <w:sz w:val="20"/>
          <w:szCs w:val="20"/>
          <w:color w:val="auto"/>
        </w:rPr>
      </w:pPr>
      <w:r>
        <w:rPr>
          <w:rFonts w:ascii="Times New Roman" w:cs="Times New Roman" w:eastAsia="Times New Roman" w:hAnsi="Times New Roman"/>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CCPA, which went into effect on January 1, 2020, is creating similar risks and obligations as those created by the GDPR, and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For more information regarding the GDPR, the CCPA and other regulations, see Item 1 “Business –Government Regulation and Product Approvals” in the 2021 Annual Report.</w:t>
      </w:r>
    </w:p>
    <w:p>
      <w:pPr>
        <w:spacing w:after="0" w:line="68"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EEA and the United Kingdom.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3"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0"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2021 Annual Report.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1" w:name="page72"/>
    <w:bookmarkEnd w:id="71"/>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81" w:lineRule="exact"/>
        <w:rPr>
          <w:sz w:val="20"/>
          <w:szCs w:val="20"/>
          <w:color w:val="auto"/>
        </w:rPr>
      </w:pPr>
    </w:p>
    <w:p>
      <w:pPr>
        <w:ind w:firstLine="509"/>
        <w:spacing w:after="0" w:line="217"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6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68" w:lineRule="exact"/>
        <w:rPr>
          <w:sz w:val="20"/>
          <w:szCs w:val="20"/>
          <w:color w:val="auto"/>
        </w:rPr>
      </w:pPr>
    </w:p>
    <w:p>
      <w:pPr>
        <w:jc w:val="both"/>
        <w:ind w:right="120" w:firstLine="509"/>
        <w:spacing w:after="0" w:line="232"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7" w:lineRule="exact"/>
        <w:rPr>
          <w:sz w:val="20"/>
          <w:szCs w:val="20"/>
          <w:color w:val="auto"/>
        </w:rPr>
      </w:pPr>
    </w:p>
    <w:p>
      <w:pPr>
        <w:jc w:val="both"/>
        <w:ind w:right="160" w:firstLine="509"/>
        <w:spacing w:after="0" w:line="23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60" w:firstLine="509"/>
        <w:spacing w:after="0" w:line="229"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72" w:name="page73"/>
    <w:bookmarkEnd w:id="72"/>
    <w:p>
      <w:pPr>
        <w:ind w:right="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7"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7"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6"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7"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6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3" w:name="page74"/>
    <w:bookmarkEnd w:id="73"/>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24"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66"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08"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74" w:name="page75"/>
    <w:bookmarkEnd w:id="74"/>
    <w:p>
      <w:pPr>
        <w:ind w:right="80" w:firstLine="509"/>
        <w:spacing w:after="0" w:line="225"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scientific officer and chief financial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As of May 2, 2022, our executive officers and directors and our stockholders who owned more than 5% of our outstanding common stock in the aggregate beneficially owned shares representing approximately 66.5%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04"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16"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7"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5" w:name="page76"/>
    <w:bookmarkEnd w:id="75"/>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4"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03" w:lineRule="exact"/>
        <w:rPr>
          <w:rFonts w:ascii="Times New Roman" w:cs="Times New Roman" w:eastAsia="Times New Roman" w:hAnsi="Times New Roman"/>
          <w:sz w:val="18"/>
          <w:szCs w:val="18"/>
          <w:color w:val="auto"/>
        </w:rPr>
      </w:pPr>
    </w:p>
    <w:p>
      <w:pPr>
        <w:ind w:left="90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1"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63"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9" w:lineRule="exact"/>
        <w:rPr>
          <w:sz w:val="20"/>
          <w:szCs w:val="20"/>
          <w:color w:val="auto"/>
        </w:rPr>
      </w:pPr>
    </w:p>
    <w:p>
      <w:pPr>
        <w:ind w:left="900" w:right="840" w:hanging="383"/>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6" w:name="page77"/>
    <w:bookmarkEnd w:id="76"/>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2"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0"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64" w:lineRule="exact"/>
        <w:rPr>
          <w:sz w:val="20"/>
          <w:szCs w:val="20"/>
          <w:color w:val="auto"/>
        </w:rPr>
      </w:pPr>
    </w:p>
    <w:p>
      <w:pPr>
        <w:ind w:right="580" w:firstLine="509"/>
        <w:spacing w:after="0" w:line="250"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63"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7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72" w:lineRule="exact"/>
        <w:rPr>
          <w:sz w:val="20"/>
          <w:szCs w:val="20"/>
          <w:color w:val="auto"/>
        </w:rPr>
      </w:pPr>
    </w:p>
    <w:p>
      <w:pPr>
        <w:ind w:right="440" w:firstLine="509"/>
        <w:spacing w:after="0" w:line="236" w:lineRule="auto"/>
        <w:rPr>
          <w:sz w:val="20"/>
          <w:szCs w:val="20"/>
          <w:color w:val="auto"/>
        </w:rPr>
      </w:pPr>
      <w:r>
        <w:rPr>
          <w:rFonts w:ascii="Times New Roman" w:cs="Times New Roman" w:eastAsia="Times New Roman" w:hAnsi="Times New Roman"/>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2" w:lineRule="exact"/>
        <w:rPr>
          <w:sz w:val="20"/>
          <w:szCs w:val="20"/>
          <w:color w:val="auto"/>
        </w:rPr>
      </w:pPr>
    </w:p>
    <w:p>
      <w:pPr>
        <w:jc w:val="center"/>
        <w:ind w:left="5540" w:right="580" w:hanging="5023"/>
        <w:spacing w:after="0" w:line="516"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7" w:name="page78"/>
    <w:bookmarkEnd w:id="77"/>
    <w:p>
      <w:pPr>
        <w:ind w:left="900" w:right="580" w:hanging="383"/>
        <w:spacing w:after="0" w:line="258"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41" w:lineRule="exact"/>
        <w:rPr>
          <w:sz w:val="20"/>
          <w:szCs w:val="20"/>
          <w:color w:val="auto"/>
        </w:rPr>
      </w:pPr>
    </w:p>
    <w:p>
      <w:pPr>
        <w:jc w:val="both"/>
        <w:ind w:right="140" w:firstLine="509"/>
        <w:spacing w:after="0" w:line="23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6"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0" w:lineRule="exact"/>
        <w:rPr>
          <w:sz w:val="20"/>
          <w:szCs w:val="20"/>
          <w:color w:val="auto"/>
        </w:rPr>
      </w:pPr>
    </w:p>
    <w:p>
      <w:pPr>
        <w:ind w:right="40" w:firstLine="509"/>
        <w:spacing w:after="0" w:line="226"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ind w:right="40" w:firstLine="509"/>
        <w:spacing w:after="0" w:line="225"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78"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7"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02" w:lineRule="exact"/>
        <w:rPr>
          <w:sz w:val="20"/>
          <w:szCs w:val="20"/>
          <w:color w:val="auto"/>
        </w:rPr>
      </w:pPr>
    </w:p>
    <w:p>
      <w:pPr>
        <w:ind w:right="80" w:firstLine="509"/>
        <w:spacing w:after="0" w:line="226" w:lineRule="auto"/>
        <w:rPr>
          <w:sz w:val="20"/>
          <w:szCs w:val="20"/>
          <w:color w:val="auto"/>
        </w:rPr>
      </w:pPr>
      <w:r>
        <w:rPr>
          <w:rFonts w:ascii="Times New Roman" w:cs="Times New Roman" w:eastAsia="Times New Roman" w:hAnsi="Times New Roman"/>
          <w:sz w:val="18"/>
          <w:szCs w:val="18"/>
          <w:color w:val="auto"/>
        </w:rPr>
        <w:t>Effective January 3, 2022, we granted one employee an option to purchase 200,000 shares of our common stock at an exercise price of $17.82 per share. Effective February 7, 2022, we granted one employee an option to purchase 43,260 shares of our common stock at an exercise price of $10.93 per share. These option grants were inducement grants in accordance with Nasdaq Listing Rule 5635(c)(4) and were made outside of our 2019 Stock Incentive</w:t>
      </w:r>
    </w:p>
    <w:p>
      <w:pPr>
        <w:spacing w:after="0" w:line="2"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Plan. The options have a ten-year term and vest over four years, with 25% of the shares underlying the option vesting on the first anniversary of the respective employee’s start date and an additional 6.25% of the shares vesting in equal quarterly installments over the 12 successive quarters following the</w:t>
      </w:r>
    </w:p>
    <w:p>
      <w:pPr>
        <w:spacing w:after="0" w:line="1" w:lineRule="exact"/>
        <w:rPr>
          <w:sz w:val="20"/>
          <w:szCs w:val="20"/>
          <w:color w:val="auto"/>
        </w:rPr>
      </w:pPr>
    </w:p>
    <w:p>
      <w:pPr>
        <w:ind w:right="760"/>
        <w:spacing w:after="0" w:line="233" w:lineRule="auto"/>
        <w:rPr>
          <w:sz w:val="20"/>
          <w:szCs w:val="20"/>
          <w:color w:val="auto"/>
        </w:rPr>
      </w:pPr>
      <w:r>
        <w:rPr>
          <w:rFonts w:ascii="Times New Roman" w:cs="Times New Roman" w:eastAsia="Times New Roman" w:hAnsi="Times New Roman"/>
          <w:sz w:val="18"/>
          <w:szCs w:val="18"/>
          <w:color w:val="auto"/>
        </w:rPr>
        <w:t>first anniversary of the respective start date, subject to such employee’s continued service with us through the applicable vesting dates. We filed a registration statement on a Form S-8 to register the shares of common stock underlying these options.</w:t>
      </w:r>
    </w:p>
    <w:p>
      <w:pPr>
        <w:spacing w:after="0" w:line="172" w:lineRule="exact"/>
        <w:rPr>
          <w:sz w:val="20"/>
          <w:szCs w:val="20"/>
          <w:color w:val="auto"/>
        </w:rPr>
      </w:pPr>
    </w:p>
    <w:p>
      <w:pPr>
        <w:ind w:right="120" w:firstLine="509"/>
        <w:spacing w:after="0" w:line="222" w:lineRule="auto"/>
        <w:rPr>
          <w:sz w:val="20"/>
          <w:szCs w:val="20"/>
          <w:color w:val="auto"/>
        </w:rPr>
      </w:pPr>
      <w:r>
        <w:rPr>
          <w:rFonts w:ascii="Times New Roman" w:cs="Times New Roman" w:eastAsia="Times New Roman" w:hAnsi="Times New Roman"/>
          <w:sz w:val="18"/>
          <w:szCs w:val="18"/>
          <w:color w:val="auto"/>
        </w:rPr>
        <w:t>No underwriters were involved in the foregoing issuances of securities. The securities were issued pursuant to Section 4(a)(2) under the Securities Act of 1933, as amended, relating to transactions by an issuer not involving any public offering. The recipients either received adequate information about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had access, through other relationships, to such information.</w:t>
      </w:r>
    </w:p>
    <w:p>
      <w:pPr>
        <w:spacing w:after="0" w:line="17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Other than as stated above, we did not sell any securities during the period covered by this Quarterly Report on Form 10-Q that were not registered under the Securities Act of 1933, as amended.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23"/>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2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highlight w:val="white"/>
                <w:w w:val="88"/>
              </w:rPr>
              <w:t>3.1</w:t>
            </w: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auto"/>
            </w:tcBorders>
            <w:gridSpan w:val="25"/>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69"/>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3.2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8-K filed with the Securities and Exchange Commission on July 22,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Amended and Restated Bylaws of the Registrant (incorporated by reference</w:t>
              </w:r>
            </w:hyperlink>
          </w:p>
        </w:tc>
        <w:tc>
          <w:tcPr>
            <w:tcW w:w="4740" w:type="dxa"/>
            <w:vAlign w:val="bottom"/>
            <w:gridSpan w:val="18"/>
          </w:tcPr>
          <w:p>
            <w:pPr>
              <w:ind w:left="100"/>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to Exhibit 3.2 to the Registrant’s Current Report on Form 8-K</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filed with the Securities and Exchange Commission on July 22,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100" w:type="dxa"/>
            <w:vAlign w:val="bottom"/>
            <w:gridSpan w:val="6"/>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Employment Agreement, dated January 3, 2022, by and between the</w:t>
              </w:r>
            </w:hyperlink>
          </w:p>
        </w:tc>
        <w:tc>
          <w:tcPr>
            <w:tcW w:w="5040" w:type="dxa"/>
            <w:vAlign w:val="bottom"/>
            <w:gridSpan w:val="19"/>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Registrant and Esther Rajavelu (incorporated by reference to Exhibit</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4"/>
                <w:szCs w:val="14"/>
                <w:color w:val="auto"/>
              </w:rPr>
            </w:pPr>
          </w:p>
        </w:tc>
        <w:tc>
          <w:tcPr>
            <w:tcW w:w="99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0000FF"/>
                </w:rPr>
                <w:t xml:space="preserve"> to the Registrant’s Annual Report on Form 10-K filed with the Securities and Exchange Commission on March 3, 2022).</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Restricted Stock Unit Agreement under the 2019 Stock Incentive Plan (incorporated by reference to Exhibit 10.10 to the</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4"/>
                <w:szCs w:val="14"/>
                <w:color w:val="auto"/>
              </w:rPr>
            </w:pPr>
          </w:p>
        </w:tc>
        <w:tc>
          <w:tcPr>
            <w:tcW w:w="93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Registrant’s Annual Report on Form 10-K filed with the Securities and Exchange Commission on March 3, 2022).</w:t>
              </w:r>
            </w:hyperlink>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2022 Inducement Stock Incentive Plan (incorporated by reference to Exhibit 10.12 to the Registrant’s Annual Report on Form 10-K filed</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4"/>
                <w:szCs w:val="14"/>
                <w:color w:val="auto"/>
              </w:rPr>
            </w:pPr>
          </w:p>
        </w:tc>
        <w:tc>
          <w:tcPr>
            <w:tcW w:w="99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with the Securities and Exchange Commission on March 3, 2022).</w:t>
              </w:r>
            </w:hyperlink>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Form of Non-Statutory Stock Option Agreement under 2022 Inducement Stock Incentive Plan (incorporated by reference to Exhibit 10.13</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to the Registrant’s Annual Report on Form 10-K filed with the Securities and Exchange Commission on March 3,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34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Restricted Stock Unit Agreement under 2022 Inducement Stock Incentive Plan (incorporated by reference to Exhibit 10.14 to the</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4"/>
                <w:szCs w:val="14"/>
                <w:color w:val="auto"/>
              </w:rPr>
            </w:pPr>
          </w:p>
        </w:tc>
        <w:tc>
          <w:tcPr>
            <w:tcW w:w="99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Registrant’s Annual Report on Form 10-K filed with the Securities and Exchange Commission on March 3, 2022).</w:t>
              </w:r>
            </w:hyperlink>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6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Summary of Non-Employee Director Compensation Program (incorporated by reference to Exhibit 10.15 to the</w:t>
              </w:r>
            </w:hyperlink>
          </w:p>
        </w:tc>
        <w:tc>
          <w:tcPr>
            <w:tcW w:w="1880" w:type="dxa"/>
            <w:vAlign w:val="bottom"/>
            <w:gridSpan w:val="16"/>
          </w:tcPr>
          <w:p>
            <w:pPr>
              <w:spacing w:after="0" w:line="182" w:lineRule="exact"/>
              <w:rPr>
                <w:rFonts w:ascii="Times New Roman" w:cs="Times New Roman" w:eastAsia="Times New Roman" w:hAnsi="Times New Roman"/>
                <w:sz w:val="18"/>
                <w:szCs w:val="18"/>
                <w:color w:val="0000FF"/>
                <w:w w:val="93"/>
              </w:rPr>
            </w:pPr>
            <w:hyperlink r:id="rId200">
              <w:r>
                <w:rPr>
                  <w:rFonts w:ascii="Times New Roman" w:cs="Times New Roman" w:eastAsia="Times New Roman" w:hAnsi="Times New Roman"/>
                  <w:sz w:val="18"/>
                  <w:szCs w:val="18"/>
                  <w:color w:val="0000FF"/>
                  <w:w w:val="93"/>
                </w:rPr>
                <w:t>Registrant’s Annual Report</w:t>
              </w:r>
            </w:hyperlink>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101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on Form 10-K filed with the Securities and Exchange Commission on March 3,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900" w:type="dxa"/>
            <w:vAlign w:val="bottom"/>
            <w:gridSpan w:val="17"/>
          </w:tcPr>
          <w:p>
            <w:pPr>
              <w:ind w:left="40"/>
              <w:spacing w:after="0" w:line="182"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966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8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962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101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6"/>
              </w:rPr>
              <w:t>Certification</w:t>
            </w:r>
          </w:p>
        </w:tc>
        <w:tc>
          <w:tcPr>
            <w:tcW w:w="20" w:type="dxa"/>
            <w:vAlign w:val="bottom"/>
            <w:tcBorders>
              <w:top w:val="single" w:sz="8" w:color="0000EE"/>
            </w:tcBorders>
          </w:tcPr>
          <w:p>
            <w:pPr>
              <w:spacing w:after="0"/>
              <w:rPr>
                <w:sz w:val="15"/>
                <w:szCs w:val="15"/>
                <w:color w:val="auto"/>
              </w:rPr>
            </w:pPr>
          </w:p>
        </w:tc>
        <w:tc>
          <w:tcPr>
            <w:tcW w:w="9220" w:type="dxa"/>
            <w:vAlign w:val="bottom"/>
            <w:gridSpan w:val="23"/>
          </w:tcPr>
          <w:p>
            <w:pPr>
              <w:ind w:left="4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1004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93"/>
              </w:rPr>
              <w:t>Inline XBRL</w:t>
            </w:r>
          </w:p>
        </w:tc>
        <w:tc>
          <w:tcPr>
            <w:tcW w:w="20" w:type="dxa"/>
            <w:vAlign w:val="bottom"/>
            <w:tcBorders>
              <w:top w:val="single" w:sz="8" w:color="0000EE"/>
            </w:tcBorders>
          </w:tcPr>
          <w:p>
            <w:pPr>
              <w:spacing w:after="0"/>
              <w:rPr>
                <w:sz w:val="19"/>
                <w:szCs w:val="19"/>
                <w:color w:val="auto"/>
              </w:rPr>
            </w:pPr>
          </w:p>
        </w:tc>
        <w:tc>
          <w:tcPr>
            <w:tcW w:w="922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Instance Document</w:t>
            </w:r>
          </w:p>
        </w:tc>
        <w:tc>
          <w:tcPr>
            <w:tcW w:w="0" w:type="dxa"/>
            <w:vAlign w:val="bottom"/>
          </w:tcPr>
          <w:p>
            <w:pPr>
              <w:spacing w:after="0"/>
              <w:rPr>
                <w:sz w:val="1"/>
                <w:szCs w:val="1"/>
                <w:color w:val="auto"/>
              </w:rPr>
            </w:pPr>
          </w:p>
        </w:tc>
      </w:tr>
      <w:tr>
        <w:trPr>
          <w:trHeight w:val="35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9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1014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1014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1014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101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-3875405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260" w:firstLine="21"/>
        <w:spacing w:after="0" w:line="406" w:lineRule="auto"/>
        <w:tabs>
          <w:tab w:leader="none" w:pos="10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9512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198" w:lineRule="exact"/>
        <w:rPr>
          <w:sz w:val="20"/>
          <w:szCs w:val="20"/>
          <w:color w:val="auto"/>
        </w:rPr>
      </w:pPr>
    </w:p>
    <w:p>
      <w:pPr>
        <w:ind w:left="5320" w:right="2220" w:hanging="7953"/>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Bryan Stuart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 and President, Director (Principal Executive Officer)</w:t>
      </w:r>
    </w:p>
    <w:p>
      <w:pPr>
        <w:spacing w:after="0" w:line="190" w:lineRule="exact"/>
        <w:rPr>
          <w:sz w:val="20"/>
          <w:szCs w:val="20"/>
          <w:color w:val="auto"/>
        </w:rPr>
      </w:pPr>
    </w:p>
    <w:p>
      <w:pPr>
        <w:ind w:left="5320" w:right="2100" w:hanging="7838"/>
        <w:spacing w:after="0" w:line="254" w:lineRule="auto"/>
        <w:tabs>
          <w:tab w:leader="none" w:pos="53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Esther Rajavelu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Stuart, certify that:</w:t>
      </w:r>
    </w:p>
    <w:p>
      <w:pPr>
        <w:spacing w:after="0" w:line="117" w:lineRule="exact"/>
        <w:rPr>
          <w:sz w:val="20"/>
          <w:szCs w:val="20"/>
          <w:color w:val="auto"/>
        </w:rPr>
      </w:pPr>
    </w:p>
    <w:p>
      <w:pPr>
        <w:ind w:left="700" w:hanging="183"/>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40" w:firstLine="517"/>
        <w:spacing w:after="0" w:line="296" w:lineRule="auto"/>
        <w:tabs>
          <w:tab w:leader="none" w:pos="6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7"/>
          <w:szCs w:val="17"/>
          <w:color w:val="auto"/>
        </w:rPr>
      </w:pPr>
    </w:p>
    <w:p>
      <w:pPr>
        <w:ind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40" w:firstLine="517"/>
        <w:spacing w:after="0" w:line="258"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520" w:right="380" w:firstLine="506"/>
        <w:spacing w:after="0" w:line="258"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jc w:val="both"/>
        <w:ind w:left="520" w:right="100" w:firstLine="506"/>
        <w:spacing w:after="0" w:line="258"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520" w:right="200" w:firstLine="506"/>
        <w:spacing w:after="0" w:line="250"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440" w:firstLine="506"/>
        <w:spacing w:after="0" w:line="266" w:lineRule="auto"/>
        <w:tabs>
          <w:tab w:leader="none" w:pos="1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520" w:right="120" w:firstLine="506"/>
        <w:spacing w:after="0" w:line="266" w:lineRule="auto"/>
        <w:tabs>
          <w:tab w:leader="none" w:pos="12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Bryan Stuart</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 SARBANES-</w:t>
      </w:r>
    </w:p>
    <w:p>
      <w:pPr>
        <w:jc w:val="center"/>
        <w:spacing w:after="0"/>
        <w:rPr>
          <w:sz w:val="20"/>
          <w:szCs w:val="20"/>
          <w:color w:val="auto"/>
        </w:rPr>
      </w:pPr>
      <w:r>
        <w:rPr>
          <w:rFonts w:ascii="Times New Roman" w:cs="Times New Roman" w:eastAsia="Times New Roman" w:hAnsi="Times New Roman"/>
          <w:sz w:val="18"/>
          <w:szCs w:val="18"/>
          <w:b w:val="1"/>
          <w:bCs w:val="1"/>
          <w:color w:val="auto"/>
        </w:rPr>
        <w:t>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Rajavelu, certify that:</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03" w:lineRule="exact"/>
        <w:rPr>
          <w:rFonts w:ascii="Times New Roman" w:cs="Times New Roman" w:eastAsia="Times New Roman" w:hAnsi="Times New Roman"/>
          <w:sz w:val="18"/>
          <w:szCs w:val="18"/>
          <w:color w:val="auto"/>
        </w:rPr>
      </w:pPr>
    </w:p>
    <w:p>
      <w:pPr>
        <w:ind w:right="20" w:firstLine="517"/>
        <w:spacing w:after="0" w:line="258"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right="600" w:firstLine="517"/>
        <w:spacing w:after="0" w:line="266"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360" w:firstLine="517"/>
        <w:spacing w:after="0" w:line="254"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8"/>
          <w:szCs w:val="18"/>
          <w:color w:val="auto"/>
        </w:rPr>
      </w:pPr>
    </w:p>
    <w:p>
      <w:pPr>
        <w:ind w:left="520" w:right="420" w:firstLine="507"/>
        <w:spacing w:after="0" w:line="258"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520" w:right="180" w:firstLine="507"/>
        <w:spacing w:after="0" w:line="258"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firstLine="507"/>
        <w:spacing w:after="0" w:line="282"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520" w:right="120" w:firstLine="507"/>
        <w:spacing w:after="0" w:line="258"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jc w:val="both"/>
        <w:ind w:right="620" w:firstLine="517"/>
        <w:spacing w:after="0" w:line="296" w:lineRule="auto"/>
        <w:tabs>
          <w:tab w:leader="none" w:pos="10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520" w:right="220" w:firstLine="507"/>
        <w:spacing w:after="0" w:line="282"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520" w:right="500" w:firstLine="507"/>
        <w:spacing w:after="0" w:line="266" w:lineRule="auto"/>
        <w:tabs>
          <w:tab w:leader="none" w:pos="15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Esther Rajavelu</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2022,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tab/>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Bryan Stuart</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March 31, 2022, as filed with the Securities and Exchange Commission on the date hereof (the “Report”), the undersigned, Esther Rajavelu, Chief Financial Officer of the Company, hereby certifies, pursuant to 18 U.S.C. Section 1350, as adopted pursuant to Section 906 of the Sarbanes-Oxley Act of 2002, that to his knowledge:</w:t>
      </w:r>
    </w:p>
    <w:p>
      <w:pPr>
        <w:spacing w:after="0" w:line="177" w:lineRule="exact"/>
        <w:rPr>
          <w:sz w:val="20"/>
          <w:szCs w:val="20"/>
          <w:color w:val="auto"/>
        </w:rPr>
      </w:pPr>
    </w:p>
    <w:p>
      <w:pPr>
        <w:ind w:left="780" w:hanging="26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Esther Rajavelu</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Roman"/>
      <w:start w:val="1"/>
    </w:lvl>
  </w:abstractNum>
  <w:abstractNum w:abstractNumId="7">
    <w:nsid w:val="1E7FF521"/>
    <w:multiLevelType w:val="hybridMultilevel"/>
    <w:lvl w:ilvl="0">
      <w:lvlJc w:val="left"/>
      <w:lvlText w:val="%1."/>
      <w:numFmt w:val="decimal"/>
      <w:start w:val="12"/>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3"/>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o"/>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o"/>
      <w:numFmt w:val="bullet"/>
      <w:start w:val="1"/>
    </w:lvl>
  </w:abstractNum>
  <w:abstractNum w:abstractNumId="25">
    <w:nsid w:val="51EAD36B"/>
    <w:multiLevelType w:val="hybridMultilevel"/>
    <w:lvl w:ilvl="0">
      <w:lvlJc w:val="left"/>
      <w:lvlText w:val="o"/>
      <w:numFmt w:val="bullet"/>
      <w:start w:val="1"/>
    </w:lvl>
  </w:abstractNum>
  <w:abstractNum w:abstractNumId="26">
    <w:nsid w:val="2D517796"/>
    <w:multiLevelType w:val="hybridMultilevel"/>
    <w:lvl w:ilvl="0">
      <w:lvlJc w:val="left"/>
      <w:lvlText w:val="o"/>
      <w:numFmt w:val="bullet"/>
      <w:start w:val="1"/>
    </w:lvl>
  </w:abstractNum>
  <w:abstractNum w:abstractNumId="27">
    <w:nsid w:val="580BD78F"/>
    <w:multiLevelType w:val="hybridMultilevel"/>
    <w:lvl w:ilvl="0">
      <w:lvlJc w:val="left"/>
      <w:lvlText w:val="o"/>
      <w:numFmt w:val="bullet"/>
      <w:start w:val="1"/>
    </w:lvl>
  </w:abstractNum>
  <w:abstractNum w:abstractNumId="28">
    <w:nsid w:val="153EA438"/>
    <w:multiLevelType w:val="hybridMultilevel"/>
    <w:lvl w:ilvl="0">
      <w:lvlJc w:val="left"/>
      <w:lvlText w:val="o"/>
      <w:numFmt w:val="bullet"/>
      <w:start w:val="1"/>
    </w:lvl>
  </w:abstractNum>
  <w:abstractNum w:abstractNumId="29">
    <w:nsid w:val="3855585C"/>
    <w:multiLevelType w:val="hybridMultilevel"/>
    <w:lvl w:ilvl="0">
      <w:lvlJc w:val="left"/>
      <w:lvlText w:val="o"/>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o"/>
      <w:numFmt w:val="bullet"/>
      <w:start w:val="1"/>
    </w:lvl>
  </w:abstractNum>
  <w:abstractNum w:abstractNumId="33">
    <w:nsid w:val="1D4ED43B"/>
    <w:multiLevelType w:val="hybridMultilevel"/>
    <w:lvl w:ilvl="0">
      <w:lvlJc w:val="left"/>
      <w:lvlText w:val="o"/>
      <w:numFmt w:val="bullet"/>
      <w:start w:val="1"/>
    </w:lvl>
  </w:abstractNum>
  <w:abstractNum w:abstractNumId="34">
    <w:nsid w:val="725A06FB"/>
    <w:multiLevelType w:val="hybridMultilevel"/>
    <w:lvl w:ilvl="0">
      <w:lvlJc w:val="left"/>
      <w:lvlText w:val="o"/>
      <w:numFmt w:val="bullet"/>
      <w:start w:val="1"/>
    </w:lvl>
  </w:abstractNum>
  <w:abstractNum w:abstractNumId="35">
    <w:nsid w:val="2CD89A32"/>
    <w:multiLevelType w:val="hybridMultilevel"/>
    <w:lvl w:ilvl="0">
      <w:lvlJc w:val="left"/>
      <w:lvlText w:val="o"/>
      <w:numFmt w:val="bullet"/>
      <w:start w:val="1"/>
    </w:lvl>
  </w:abstractNum>
  <w:abstractNum w:abstractNumId="36">
    <w:nsid w:val="57E4CCAF"/>
    <w:multiLevelType w:val="hybridMultilevel"/>
    <w:lvl w:ilvl="0">
      <w:lvlJc w:val="left"/>
      <w:lvlText w:val="o"/>
      <w:numFmt w:val="bullet"/>
      <w:start w:val="1"/>
    </w:lvl>
  </w:abstractNum>
  <w:abstractNum w:abstractNumId="37">
    <w:nsid w:val="7A6D8D3C"/>
    <w:multiLevelType w:val="hybridMultilevel"/>
    <w:lvl w:ilvl="0">
      <w:lvlJc w:val="left"/>
      <w:lvlText w:val="o"/>
      <w:numFmt w:val="bullet"/>
      <w:start w:val="1"/>
    </w:lvl>
  </w:abstractNum>
  <w:abstractNum w:abstractNumId="38">
    <w:nsid w:val="4B588F54"/>
    <w:multiLevelType w:val="hybridMultilevel"/>
    <w:lvl w:ilvl="0">
      <w:lvlJc w:val="left"/>
      <w:lvlText w:val="o"/>
      <w:numFmt w:val="bullet"/>
      <w:start w:val="1"/>
    </w:lvl>
  </w:abstractNum>
  <w:abstractNum w:abstractNumId="39">
    <w:nsid w:val="542289EC"/>
    <w:multiLevelType w:val="hybridMultilevel"/>
    <w:lvl w:ilvl="0">
      <w:lvlJc w:val="left"/>
      <w:lvlText w:val="o"/>
      <w:numFmt w:val="bullet"/>
      <w:start w:val="1"/>
    </w:lvl>
  </w:abstractNum>
  <w:abstractNum w:abstractNumId="40">
    <w:nsid w:val="6DE91B18"/>
    <w:multiLevelType w:val="hybridMultilevel"/>
    <w:lvl w:ilvl="0">
      <w:lvlJc w:val="left"/>
      <w:lvlText w:val="o"/>
      <w:numFmt w:val="bullet"/>
      <w:start w:val="1"/>
    </w:lvl>
  </w:abstractNum>
  <w:abstractNum w:abstractNumId="41">
    <w:nsid w:val="38437FDB"/>
    <w:multiLevelType w:val="hybridMultilevel"/>
    <w:lvl w:ilvl="0">
      <w:lvlJc w:val="left"/>
      <w:lvlText w:val="o"/>
      <w:numFmt w:val="bullet"/>
      <w:start w:val="1"/>
    </w:lvl>
  </w:abstractNum>
  <w:abstractNum w:abstractNumId="42">
    <w:nsid w:val="7644A45C"/>
    <w:multiLevelType w:val="hybridMultilevel"/>
    <w:lvl w:ilvl="0">
      <w:lvlJc w:val="left"/>
      <w:lvlText w:val="o"/>
      <w:numFmt w:val="bullet"/>
      <w:start w:val="1"/>
    </w:lvl>
  </w:abstractNum>
  <w:abstractNum w:abstractNumId="43">
    <w:nsid w:val="32FFF902"/>
    <w:multiLevelType w:val="hybridMultilevel"/>
    <w:lvl w:ilvl="0">
      <w:lvlJc w:val="left"/>
      <w:lvlText w:val="o"/>
      <w:numFmt w:val="bullet"/>
      <w:start w:val="1"/>
    </w:lvl>
  </w:abstractNum>
  <w:abstractNum w:abstractNumId="44">
    <w:nsid w:val="684A481A"/>
    <w:multiLevelType w:val="hybridMultilevel"/>
    <w:lvl w:ilvl="0">
      <w:lvlJc w:val="left"/>
      <w:lvlText w:val="o"/>
      <w:numFmt w:val="bullet"/>
      <w:start w:val="1"/>
    </w:lvl>
  </w:abstractNum>
  <w:abstractNum w:abstractNumId="45">
    <w:nsid w:val="579478FE"/>
    <w:multiLevelType w:val="hybridMultilevel"/>
    <w:lvl w:ilvl="0">
      <w:lvlJc w:val="left"/>
      <w:lvlText w:val="o"/>
      <w:numFmt w:val="bullet"/>
      <w:start w:val="1"/>
    </w:lvl>
  </w:abstractNum>
  <w:abstractNum w:abstractNumId="46">
    <w:nsid w:val="749ABB43"/>
    <w:multiLevelType w:val="hybridMultilevel"/>
    <w:lvl w:ilvl="0">
      <w:lvlJc w:val="left"/>
      <w:lvlText w:val="o"/>
      <w:numFmt w:val="bullet"/>
      <w:start w:val="1"/>
    </w:lvl>
  </w:abstractNum>
  <w:abstractNum w:abstractNumId="47">
    <w:nsid w:val="3DC240FB"/>
    <w:multiLevelType w:val="hybridMultilevel"/>
    <w:lvl w:ilvl="0">
      <w:lvlJc w:val="left"/>
      <w:lvlText w:val="o"/>
      <w:numFmt w:val="bullet"/>
      <w:start w:val="1"/>
    </w:lvl>
  </w:abstractNum>
  <w:abstractNum w:abstractNumId="48">
    <w:nsid w:val="1BA026FA"/>
    <w:multiLevelType w:val="hybridMultilevel"/>
    <w:lvl w:ilvl="0">
      <w:lvlJc w:val="left"/>
      <w:lvlText w:val="*"/>
      <w:numFmt w:val="bullet"/>
      <w:start w:val="1"/>
    </w:lvl>
    <w:lvl w:ilvl="1">
      <w:lvlJc w:val="left"/>
      <w:lvlText w:val="%2"/>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193" Type="http://schemas.openxmlformats.org/officeDocument/2006/relationships/hyperlink" Target="https://www.sec.gov/Archives/edgar/data/0001680581/000104746919004324/a2239321zex-3_1.htm" TargetMode="External"/><Relationship Id="rId194" Type="http://schemas.openxmlformats.org/officeDocument/2006/relationships/hyperlink" Target="https://www.sec.gov/Archives/edgar/data/0001680581/000104746919004324/a2239321zex-3_2.htm" TargetMode="External"/><Relationship Id="rId195" Type="http://schemas.openxmlformats.org/officeDocument/2006/relationships/hyperlink" Target="https://www.sec.gov/Archives/edgar/data/1680581/000095017022002727/fulc-ex10_23.htm" TargetMode="External"/><Relationship Id="rId196" Type="http://schemas.openxmlformats.org/officeDocument/2006/relationships/hyperlink" Target="https://www.sec.gov/Archives/edgar/data/1680581/000095017022002727/fulc-ex10_10.htm" TargetMode="External"/><Relationship Id="rId197" Type="http://schemas.openxmlformats.org/officeDocument/2006/relationships/hyperlink" Target="https://www.sec.gov/Archives/edgar/data/1680581/000095017022002727/fulc-ex10_12.htm" TargetMode="External"/><Relationship Id="rId198" Type="http://schemas.openxmlformats.org/officeDocument/2006/relationships/hyperlink" Target="https://www.sec.gov/Archives/edgar/data/1680581/000095017022002727/fulc-ex10_13.htm" TargetMode="External"/><Relationship Id="rId199" Type="http://schemas.openxmlformats.org/officeDocument/2006/relationships/hyperlink" Target="https://www.sec.gov/Archives/edgar/data/1680581/000095017022002727/fulc-ex10_14.htm" TargetMode="External"/><Relationship Id="rId200" Type="http://schemas.openxmlformats.org/officeDocument/2006/relationships/hyperlink" Target="https://www.sec.gov/Archives/edgar/data/1680581/000095017022002727/fulc-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2022-05-09T06:18:44Z</dcterms:created>
  <dcterms:modified xsi:type="dcterms:W3CDTF">2022-05-09T06:18:44Z</dcterms:modified>
</cp:coreProperties>
</file>