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8"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4"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195580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the Securities Exchange Act of 1934</w:t>
      </w:r>
    </w:p>
    <w:p>
      <w:pPr>
        <w:spacing w:after="0" w:line="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June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3520" w:type="dxa"/>
            <w:vAlign w:val="bottom"/>
          </w:tcPr>
          <w:p>
            <w:pPr>
              <w:jc w:val="center"/>
              <w:ind w:right="999"/>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ind w:left="106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3520" w:type="dxa"/>
            <w:vAlign w:val="bottom"/>
          </w:tcPr>
          <w:p>
            <w:pPr>
              <w:jc w:val="center"/>
              <w:ind w:right="9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00" w:type="dxa"/>
            <w:vAlign w:val="bottom"/>
          </w:tcPr>
          <w:p>
            <w:pPr>
              <w:ind w:left="10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20" w:type="dxa"/>
            <w:vAlign w:val="bottom"/>
          </w:tcPr>
          <w:p>
            <w:pPr>
              <w:jc w:val="center"/>
              <w:ind w:right="979"/>
              <w:spacing w:after="0"/>
              <w:rPr>
                <w:sz w:val="20"/>
                <w:szCs w:val="20"/>
                <w:color w:val="auto"/>
              </w:rPr>
            </w:pPr>
            <w:r>
              <w:rPr>
                <w:rFonts w:ascii="Arial" w:cs="Arial" w:eastAsia="Arial" w:hAnsi="Arial"/>
                <w:sz w:val="14"/>
                <w:szCs w:val="14"/>
                <w:b w:val="1"/>
                <w:bCs w:val="1"/>
                <w:color w:val="auto"/>
                <w:w w:val="94"/>
              </w:rPr>
              <w:t>of Incorporation)</w:t>
            </w:r>
          </w:p>
        </w:tc>
        <w:tc>
          <w:tcPr>
            <w:tcW w:w="320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20" w:type="dxa"/>
            <w:vAlign w:val="bottom"/>
          </w:tcPr>
          <w:p>
            <w:pPr>
              <w:jc w:val="center"/>
              <w:ind w:right="979"/>
              <w:spacing w:after="0"/>
              <w:rPr>
                <w:sz w:val="20"/>
                <w:szCs w:val="20"/>
                <w:color w:val="auto"/>
              </w:rPr>
            </w:pPr>
            <w:r>
              <w:rPr>
                <w:rFonts w:ascii="Arial" w:cs="Arial" w:eastAsia="Arial" w:hAnsi="Arial"/>
                <w:sz w:val="18"/>
                <w:szCs w:val="18"/>
                <w:b w:val="1"/>
                <w:bCs w:val="1"/>
                <w:color w:val="auto"/>
                <w:w w:val="88"/>
              </w:rPr>
              <w:t>26 Landsdowne Street</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3520" w:type="dxa"/>
            <w:vAlign w:val="bottom"/>
          </w:tcPr>
          <w:p>
            <w:pPr>
              <w:jc w:val="center"/>
              <w:ind w:right="979"/>
              <w:spacing w:after="0"/>
              <w:rPr>
                <w:sz w:val="20"/>
                <w:szCs w:val="20"/>
                <w:color w:val="auto"/>
              </w:rPr>
            </w:pPr>
            <w:r>
              <w:rPr>
                <w:rFonts w:ascii="Arial" w:cs="Arial" w:eastAsia="Arial" w:hAnsi="Arial"/>
                <w:sz w:val="18"/>
                <w:szCs w:val="18"/>
                <w:b w:val="1"/>
                <w:bCs w:val="1"/>
                <w:color w:val="auto"/>
                <w:w w:val="88"/>
              </w:rPr>
              <w:t>Cambridge, Massachusetts</w:t>
            </w:r>
          </w:p>
        </w:tc>
        <w:tc>
          <w:tcPr>
            <w:tcW w:w="32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20" w:type="dxa"/>
            <w:vAlign w:val="bottom"/>
          </w:tcPr>
          <w:p>
            <w:pPr>
              <w:jc w:val="center"/>
              <w:ind w:right="9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71"/>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9"/>
              </w:rPr>
              <w:t>FULC</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Market</w:t>
            </w:r>
          </w:p>
        </w:tc>
      </w:tr>
    </w:tbl>
    <w:p>
      <w:pPr>
        <w:spacing w:after="0" w:line="19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92"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Fulcrum Therapeutics, Inc. (the “Company”) held its Annual Meeting of Stockholders on June 11, 2020. The following is a summary of the matters voted on at that meeting.</w:t>
      </w:r>
    </w:p>
    <w:p>
      <w:pPr>
        <w:spacing w:after="0" w:line="197" w:lineRule="exact"/>
        <w:rPr>
          <w:sz w:val="20"/>
          <w:szCs w:val="20"/>
          <w:color w:val="auto"/>
        </w:rPr>
      </w:pPr>
    </w:p>
    <w:p>
      <w:pPr>
        <w:ind w:left="424" w:hanging="424"/>
        <w:spacing w:after="0" w:line="342"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stockholders elected Alan Ezekowitz and Mark Levin as Class I directors, each to serve for a three-year term expiring at the 2023 Annual Meeting of Stockholders. The results of the stockholders’ vote with respect to the election of such Class I directors were as follows:</w:t>
      </w:r>
    </w:p>
    <w:p>
      <w:pPr>
        <w:spacing w:after="0" w:line="13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Votes For</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Votes</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Withheld</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9"/>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Alan Ezekowitz</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15,190,149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1,554,679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2,061,022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Mark Levin</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15,180,096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1,564,732</w:t>
            </w: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2,061,022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4" w:right="20"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Company’s stockholders ratified the appointment of Ernst &amp; Young LLP as the Company’s independent registered public accounting firm for the fiscal year ending December 31, 2020. The results of the stockholders’ vote with respect to such ratification were as follows:</w:t>
      </w:r>
    </w:p>
    <w:p>
      <w:pPr>
        <w:spacing w:after="0" w:line="165" w:lineRule="exact"/>
        <w:rPr>
          <w:sz w:val="20"/>
          <w:szCs w:val="20"/>
          <w:color w:val="auto"/>
        </w:rPr>
      </w:pPr>
    </w:p>
    <w:tbl>
      <w:tblPr>
        <w:tblLayout w:type="fixed"/>
        <w:tblInd w:w="444"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Votes 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Votes Abstaining</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9"/>
        </w:trPr>
        <w:tc>
          <w:tcPr>
            <w:tcW w:w="24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18,805,600</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0944"/>
          </w:cols>
          <w:pgMar w:left="436" w:top="270"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Arial" w:cs="Arial" w:eastAsia="Arial" w:hAnsi="Arial"/>
                <w:sz w:val="18"/>
                <w:szCs w:val="18"/>
                <w:b w:val="1"/>
                <w:bCs w:val="1"/>
                <w:color w:val="auto"/>
              </w:rPr>
              <w:t>FULCRUM THERAPEUTICS,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June 11, 2020</w:t>
            </w:r>
          </w:p>
        </w:tc>
        <w:tc>
          <w:tcPr>
            <w:tcW w:w="7500" w:type="dxa"/>
            <w:vAlign w:val="bottom"/>
            <w:gridSpan w:val="2"/>
          </w:tcPr>
          <w:p>
            <w:pPr>
              <w:ind w:left="2100"/>
              <w:spacing w:after="0"/>
              <w:rPr>
                <w:sz w:val="20"/>
                <w:szCs w:val="20"/>
                <w:color w:val="auto"/>
              </w:rPr>
            </w:pPr>
            <w:r>
              <w:rPr>
                <w:rFonts w:ascii="Arial" w:cs="Arial" w:eastAsia="Arial" w:hAnsi="Arial"/>
                <w:sz w:val="18"/>
                <w:szCs w:val="18"/>
                <w:color w:val="auto"/>
              </w:rPr>
              <w:t>By:  /s/ Robert J. Gould</w:t>
            </w:r>
          </w:p>
        </w:tc>
      </w:tr>
      <w:tr>
        <w:trPr>
          <w:trHeight w:val="195"/>
        </w:trPr>
        <w:tc>
          <w:tcPr>
            <w:tcW w:w="3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President and 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2020-06-11T15:29:28Z</dcterms:created>
  <dcterms:modified xsi:type="dcterms:W3CDTF">2020-06-11T15:29:28Z</dcterms:modified>
</cp:coreProperties>
</file>