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4"/>
        </w:rPr>
      </w:pPr>
      <w:bookmarkStart w:id="0" w:name="d875361d8k.htm"/>
      <w:bookmarkStart w:id="1" w:name="ksd875361d8k"/>
      <w:bookmarkEnd w:id="0"/>
      <w:bookmarkEnd w:id="1"/>
      <w:r>
        <w:rPr>
          <w:rFonts w:ascii="Times New Roman" w:hAnsi="Times New Roman"/>
          <w:b/>
          <w:sz w:val="24"/>
        </w:rPr>
        <w:t>UNITED STATES</w:t>
      </w:r>
    </w:p>
    <w:p>
      <w:pPr>
        <w:pStyle w:val="TextBody"/>
        <w:bidi w:val="0"/>
        <w:spacing w:before="0" w:after="0"/>
        <w:jc w:val="center"/>
        <w:rPr>
          <w:rFonts w:ascii="Times New Roman" w:hAnsi="Times New Roman"/>
          <w:b/>
          <w:sz w:val="24"/>
        </w:rPr>
      </w:pPr>
      <w:r>
        <w:rPr>
          <w:rFonts w:ascii="Times New Roman" w:hAnsi="Times New Roman"/>
          <w:b/>
          <w:sz w:val="24"/>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240" w:after="0"/>
        <w:jc w:val="center"/>
        <w:rPr>
          <w:rFonts w:ascii="Times New Roman" w:hAnsi="Times New Roman"/>
          <w:b/>
          <w:sz w:val="32"/>
        </w:rPr>
      </w:pPr>
      <w:r>
        <w:rPr>
          <w:rFonts w:ascii="Times New Roman" w:hAnsi="Times New Roman"/>
          <w:b/>
          <w:sz w:val="32"/>
        </w:rPr>
        <w:t>FORM 8-K</w:t>
      </w:r>
    </w:p>
    <w:p>
      <w:pPr>
        <w:pStyle w:val="TextBody"/>
        <w:bidi w:val="0"/>
        <w:spacing w:before="240" w:after="0"/>
        <w:jc w:val="center"/>
        <w:rPr>
          <w:rFonts w:ascii="Times New Roman" w:hAnsi="Times New Roman"/>
          <w:b/>
          <w:sz w:val="28"/>
        </w:rPr>
      </w:pPr>
      <w:r>
        <w:rPr>
          <w:rFonts w:ascii="Times New Roman" w:hAnsi="Times New Roman"/>
          <w:b/>
          <w:sz w:val="28"/>
        </w:rPr>
        <w:t>CURRENT REPORT</w:t>
      </w:r>
    </w:p>
    <w:p>
      <w:pPr>
        <w:pStyle w:val="TextBody"/>
        <w:bidi w:val="0"/>
        <w:spacing w:before="0" w:after="0"/>
        <w:jc w:val="center"/>
        <w:rPr>
          <w:rFonts w:ascii="Times New Roman" w:hAnsi="Times New Roman"/>
          <w:b/>
          <w:sz w:val="28"/>
        </w:rPr>
      </w:pPr>
      <w:r>
        <w:rPr>
          <w:rFonts w:ascii="Times New Roman" w:hAnsi="Times New Roman"/>
          <w:b/>
          <w:sz w:val="28"/>
        </w:rPr>
        <w:t>Pursuant to Section 13 OR 15(d) of The Securities Exchange Act of 1934</w:t>
      </w:r>
    </w:p>
    <w:p>
      <w:pPr>
        <w:pStyle w:val="TextBody"/>
        <w:bidi w:val="0"/>
        <w:spacing w:before="24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November</w:t>
      </w:r>
      <w:r>
        <w:rPr>
          <w:rFonts w:ascii="Times New Roman" w:hAnsi="Times New Roman"/>
          <w:sz w:val="20"/>
        </w:rPr>
        <w:t xml:space="preserve"> </w:t>
      </w:r>
      <w:r>
        <w:rPr>
          <w:rFonts w:ascii="Times New Roman" w:hAnsi="Times New Roman"/>
          <w:b/>
          <w:sz w:val="20"/>
        </w:rPr>
        <w:t>12, 2024</w:t>
      </w:r>
    </w:p>
    <w:p>
      <w:pPr>
        <w:pStyle w:val="TextBody"/>
        <w:bidi w:val="0"/>
        <w:spacing w:before="280" w:after="0"/>
        <w:jc w:val="center"/>
        <w:rPr>
          <w:rFonts w:ascii="Times New Roman" w:hAnsi="Times New Roman"/>
          <w:b/>
          <w:sz w:val="48"/>
        </w:rPr>
      </w:pPr>
      <w:r>
        <w:rPr>
          <w:rFonts w:ascii="Times New Roman" w:hAnsi="Times New Roman"/>
          <w:b/>
          <w:sz w:val="48"/>
        </w:rPr>
        <w:t xml:space="preserve">FULCRUM THERAPEUTICS, INC. </w:t>
      </w:r>
    </w:p>
    <w:p>
      <w:pPr>
        <w:pStyle w:val="TextBody"/>
        <w:bidi w:val="0"/>
        <w:spacing w:before="12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480"/>
        <w:gridCol w:w="60"/>
        <w:gridCol w:w="1295"/>
        <w:gridCol w:w="60"/>
        <w:gridCol w:w="177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001-38978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47-4839948</w:t>
            </w:r>
          </w:p>
        </w:tc>
      </w:tr>
      <w:tr>
        <w:trPr/>
        <w:tc>
          <w:tcPr>
            <w:tcW w:w="248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26 Landsdowne Street</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283"/>
              <w:jc w:val="center"/>
              <w:rPr>
                <w:b/>
              </w:rPr>
            </w:pPr>
            <w:r>
              <w:rPr>
                <w:b/>
              </w:rPr>
              <w:t>Cambridge, Massachusetts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02139</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(617)</w:t>
      </w:r>
      <w:r>
        <w:rPr>
          <w:rFonts w:ascii="Times New Roman" w:hAnsi="Times New Roman"/>
          <w:sz w:val="20"/>
        </w:rPr>
        <w:t xml:space="preserve"> </w:t>
      </w:r>
      <w:r>
        <w:rPr>
          <w:rFonts w:ascii="Times New Roman" w:hAnsi="Times New Roman"/>
          <w:b/>
          <w:sz w:val="20"/>
        </w:rPr>
        <w:t>651-8851</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4385"/>
        <w:gridCol w:w="60"/>
        <w:gridCol w:w="845"/>
        <w:gridCol w:w="60"/>
        <w:gridCol w:w="359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20"/>
              </w:rPr>
            </w:pPr>
            <w:r>
              <w:rPr>
                <w:rFonts w:ascii="Times New Roman" w:hAnsi="Times New Roman"/>
                <w:sz w:val="20"/>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20"/>
              </w:rPr>
            </w:pPr>
            <w:r>
              <w:rPr>
                <w:rFonts w:ascii="Times New Roman" w:hAnsi="Times New Roman"/>
                <w:sz w:val="20"/>
              </w:rPr>
              <w:t>Trading</w:t>
              <w:br/>
              <w:t>Symbol(s)</w:t>
            </w:r>
          </w:p>
        </w:tc>
        <w:tc>
          <w:tcPr>
            <w:tcW w:w="60" w:type="dxa"/>
            <w:tcBorders/>
            <w:vAlign w:val="center"/>
          </w:tcPr>
          <w:p>
            <w:pPr>
              <w:pStyle w:val="TableContents"/>
              <w:bidi w:val="0"/>
              <w:spacing w:before="0" w:after="283"/>
              <w:jc w:val="left"/>
              <w:rPr/>
            </w:pPr>
            <w:r>
              <w:rPr/>
              <w:t> </w:t>
            </w:r>
          </w:p>
        </w:tc>
        <w:tc>
          <w:tcPr>
            <w:tcW w:w="35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20"/>
              </w:rPr>
            </w:pPr>
            <w:r>
              <w:rPr>
                <w:rFonts w:ascii="Times New Roman" w:hAnsi="Times New Roman"/>
                <w:sz w:val="20"/>
              </w:rPr>
              <w:t>Name of each exchange on which registered</w:t>
            </w:r>
          </w:p>
        </w:tc>
      </w:tr>
      <w:tr>
        <w:trPr/>
        <w:tc>
          <w:tcPr>
            <w:tcW w:w="4385" w:type="dxa"/>
            <w:tcBorders/>
            <w:vAlign w:val="center"/>
          </w:tcPr>
          <w:p>
            <w:pPr>
              <w:pStyle w:val="TableContents"/>
              <w:bidi w:val="0"/>
              <w:spacing w:before="0" w:after="283"/>
              <w:jc w:val="center"/>
              <w:rPr>
                <w:b/>
              </w:rPr>
            </w:pPr>
            <w:r>
              <w:rPr>
                <w:b/>
              </w:rPr>
              <w:t>Common stock, par value $0.001 per share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b/>
              </w:rPr>
            </w:pPr>
            <w:r>
              <w:rPr>
                <w:b/>
              </w:rPr>
              <w:t>FULC</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b/>
              </w:rPr>
            </w:pPr>
            <w:r>
              <w:rPr>
                <w:b/>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November 12, 2024, James J. Collins, a Class II director, notified the board of directors, or the Board, of Fulcrum Therapeutics, Inc., or Fulcrum, of his decision to resign as a member of the Board and all committees thereof, with immediate effect. Dr. Collins’ decision to resign was not the result of any disagreement with Fulcrum or the Board on any matter relating to Fulcrum’s operations, policies or practices. Following his departure, Fulcrum expects to engage Dr. Collins as a consultant to the Board where he will routinely advise the Board and its committees on science and technology-related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12, 2024, the Board, upon the recommendation from the Nominating and Corporate Governance Committee, appointed Rachel King as a member of the Board, with immediate effect to fill the vacancy created by Dr. Collins’ resignation. Ms. King will serve as a class II director with a term expiring at Fulcrum’s 2027 annual meeting of stockholders and thereafter until her successor has been duly elected and qualified or until her earlier death, resignation or removal. The Board has determined that Ms. King is “independent” as contemplated by the Nasdaq Stock Market and other governing laws and applicable regulations. Ms. King was appointed to serve on the Compensation &amp; Human Capital Management Committee.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Ms. King and any other persons pursuant to which she was appointed as director. There are no transactions in which Ms. King has an interest requiring disclosure under Item 404(a) of Regulation S-K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Ms. King will receive compensation for her services as a non-employee director and for any committee service in accordance with Fulcrum’s non-employee director compensation policy, a summary of which was filed as Exhibit 10.16 to Fulcrum’s Annual Report on Form 10-K for the fiscal year ended December 31, 2022 filed with the Securities and Exchange Commission, or SEC, on March 9, 2023, including the automatic grant of a one-time nonqualified stock option under Fulcrum’s 2019 Stock Incentive Plan to purchase 60,000 shares of Fulcrum’s common stock, $0.001 par value per share at an exercise price per share equal to $3.64 per share, the closing price on the Nasdaq Global Market on November 12, 2024, the effective date of her appointment to the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Ms. King entered into Fulcrum’s standard form of indemnification agreement, a copy of which was filed as Exhibit 10.15 to Fulcrum’s Registration Statement on Form S-1 (File No. 333-232260) filed with the SEC on June 21, 2019. Pursuant to the terms of the indemnification agreement, Fulcrum may be required, among other things, to indemnify Ms. King for certain expenses (including attorneys’ fees), judgments, fines and settlement amounts actually and reasonably incurred by her in any action or proceeding arising out of her service as a member of the Board.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383" w:type="dxa"/>
        <w:jc w:val="left"/>
        <w:tblInd w:w="0" w:type="dxa"/>
        <w:tblLayout w:type="fixed"/>
        <w:tblCellMar>
          <w:top w:w="0" w:type="dxa"/>
          <w:left w:w="0" w:type="dxa"/>
          <w:bottom w:w="0" w:type="dxa"/>
          <w:right w:w="0" w:type="dxa"/>
        </w:tblCellMar>
      </w:tblPr>
      <w:tblGrid>
        <w:gridCol w:w="2120"/>
        <w:gridCol w:w="60"/>
        <w:gridCol w:w="23"/>
        <w:gridCol w:w="60"/>
        <w:gridCol w:w="365"/>
        <w:gridCol w:w="60"/>
        <w:gridCol w:w="369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FULCRUM THERAPEUTICS,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November 12,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Curtis Oltmans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xml:space="preserve">Name: Curtis Oltmans </w:t>
              <w:br/>
              <w:t>Title: 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849</Words>
  <Characters>4585</Characters>
  <CharactersWithSpaces>5423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