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Cambridge, Massachusetts</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03"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24, 2021, Fulcrum Therapeutics, Inc. (the “Company”) announced results from ReDUX4, a randomized, double-blind, placebo-controlled multicenter international Phase 2b clinical trial in 80 participants with facioscapulohumeral muscular dystrophy (“FSHD”) designed to investigate the efficacy and safety of oral administration of 15 mg of losmapimod twice per day. Losmapimod is a small molecule that the Company is developing for the treatment of FSHD, a rare, progressive and disabling muscle wasting disorder that leads to significant physical impairments and disability. The Company plans to meet with health authorities, including the U.S. Food and Drug Administration, in the second half of 2021 to determine the regulatory path for losmapimod in FSHD.</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result of the COVID-19 pandemic, the Company announced in May 2020 that the trial had been extended from 24 to 48 weeks to ensure the safety of participants during the pandemic. This extension also enabled the collection of safety and efficacy data, including structural, functional and patient reported data, over a longer time period.</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primary endpoint was the change in DUX4-driven gene expression in affected skeletal muscle over 16 or 36 weeks, which was included as an experimental biomarker. The trial was also designed to capture a wide range of data relating to FSHD progression in addition to safety, target engagement and pharmacokinetic data. The secondary endpoints were evaluation of safety and tolerability in FSHD patients, pharmacokinetics in blood, losmapimod concentration in skeletal muscle biopsies, target engagement in blood and in muscle biopsies, and efficacy based on the whole-body skeletal muscle MRI biomarker. The whole-body MRI scans evaluated changes in muscle fat infiltration,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reachable workspace, timed up and go (TUG) test, an optimized timed up and go test for FSHD (FSHD TUG), muscle function measures and patient reported outcomes.</w:t>
      </w:r>
    </w:p>
    <w:p>
      <w:pPr>
        <w:spacing w:after="0" w:line="19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trial did not meet the primary endpoint. The data from certain of the secondary and exploratory endpoints showed clinically relevant and nominally statistically significant benefits in the losmapimod treated group versus placebo on multiple measures of structural and functional FSHD progression and patient reported outcomes at 48 weeks. In order to provide context for the results observed with respect to the secondary and exploratory endpoints, the Company is presenting p-values for these endpoints to show nominal statistical significance regardless of the specific testing procedure in the statistical analysis plan. These p-values do not take into account any statistical adjustments to account for the fact that the primary endpoint was not met.</w:t>
      </w:r>
    </w:p>
    <w:p>
      <w:pPr>
        <w:spacing w:after="0" w:line="16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Losmapimod was generally well-tolerated in the trial, with no drug-related serious adverse events reported. Over the course of the trial there were three discontinuations, none of which were assessed to be related to losmapimod, and 99% of eligible participants elected to continue in the open label extension trial. The Company will continue to analyze data from each endpoint to determine their viability for future trials.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DUX4-Driven Gene Expression</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primary endpoint, change from baseline in DUX4-driven gene expression in affected skeletal muscle at week 16 or week 36, was not met. Reduction in DUX4-driven gene expression was included as an experimental biomarker endpoint because the Company believed it would correlate with downstream clinical improvements in patients with FSHD.</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Losmapimod reduced DUX4-driven gene expression in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ReDUX4 was the first interventional clinical trial to test whether changes in intramuscular DUX4-driven gene expression could be assessed in patients with FSHD. FSHD is a highly heterogenous disease, and DUX4 expression in each patient’s muscle is heterogeneous and stochastic. In the losmapimod treatment arm, repeat muscle needle biopsies at week 16 or week 36 did not demonstrate a difference in DUX4 activity, including from the prespecified subgroup analyses by DUX4-expressing quartiles. The ability to detect changes in DUX4-driven gene expression was confounded by significant variability across biopsies at baseline and upon repeat biopsy in both the placebo and losmapimod groups. The Company believes the sources of the variability include the stochastic nature of DUX4 expression in which biopsy samples showed a dynamic state of expression (over 1,000-fold variation), the scarcity of DUX4 positive myonuclei (~1/1000), as well as the relative imprecision in the needle biopsy procedure across multiple clinical trial sites. While a reduction in the molecular biomarker of DUX4-driven gene expression was not observed, the Company believes that the benefits observed in the losmapimod treated group on muscle health and function and patient reported improvement were consistent with a reduction of DUX4-driven gene expression.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MRI biomarkers: Muscle Fat Infiltration, Muscle Fat Fraction and Lean Muscle Volume</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Losmapimod-treated participants showed decreased progression of muscle fat infiltration (MFI) versus placebo as measured in intermediate muscles, which are the muscles most likely to change (p=0.01). Normal-appearing muscles appeared to be preserved in the losmapimod group versus placebo based on a post-hoc analysis.</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Muscle fat infiltration is a measure of diffuse fatty infiltration in lean muscle tissue that is correlated with disease severity in FSHD. Participants in the ReDUX4 trial were assessed with a quantitative whole body musculoskeletal magnetic resonance imaging (WB-MSK-MRI) which provides a holistic evaluation of skeletal musculature with the ability to volumetrically measure fat replacement of skeletal muscle in FSHD. Prior clinical trials, not involving losmapimod, have demonstrated that the amount of muscle fat replacement correlates with muscle function in many neuromuscular diseases, including FSHD. Furthermore, changes in fat content are correlated with changes in function. Taken together, ReDUX4 demonstrated that this MRI technology has sufficient sensitivity to detect FSHD progression.</w:t>
      </w:r>
    </w:p>
    <w:p>
      <w:pPr>
        <w:spacing w:after="0" w:line="178"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There was no meaningful difference in change in muscle fat fraction or lean muscle volume between the losmapimod and placebo groups in intermediate muscles at 48 weeks. The Company believes that it may observe meaningful differences in these measures with more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Reachable Workspace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Losmapimod-treated participants showed a slower rate of decline and improved accessible surface area in reachable workspace (RWS) measures when patients were challenged with 500g weights (p&lt;0.05).</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RWS provides an objective measure of upper extremity range of motion and function by measuring arm and shoulder mobility with and without weights. Prior studies have shown that RWS correlates with changes in the ability of patients to independently perform activities of daily living. FSHD tends to progress from the upper body down, and loss of shoulder movement leads to loss of mobility. Participants in the losmapimod group showed improvements of up to 1.5% from baseline in the accessible surface area when using a 500g weight on their wrist compared to placebo. Participants in the placebo group were able to access 2 to 4% less total surface area from baseline (with and without 500g weights) measured by RWS after 48 weeks.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Dynamometry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 post-hoc analysis, dynamometry, which measures muscle strength, demonstrated that participants in the losmapimod group showed non-statistically significant trends of slower progression (less than 4% decline), as well as meaningful improvements (12 to 27%) in the strength of non-dominant shoulder abductors and right ankle dorsiflexors compared to the placebo group, two muscle groups particularly affected in FSHD, compared to placebo. The participants in the placebo group lost about 15% of shoulder and ankle dorsiflexor strength after 48 weeks. The dynamometry data is reported as percent change from baseline rather than the pre-specified plan to report as mean change from baseline in kilograms. The mean change from baseline in kilograms did not show changes.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Timed Up and Go</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Losmapimod-treated participants showed a trend in decreased slowing in the TUG test completion time versus placebo (p=0.30). Participants in the placebo group showed an increase of approximately three fourths of a second versus an increase of less than one fourth of a second in the losmapimod group. This difference of approximately one half second has been shown to be clinically meaningful in other muscular dystrophy studies not involving losmapimod. The TUG test measures the time that it takes to rise from a chair, walk three meters, turn round, walk back to the chair and sit down.</w:t>
      </w:r>
    </w:p>
    <w:p>
      <w:pPr>
        <w:sectPr>
          <w:pgSz w:w="11900" w:h="16838" w:orient="portrait"/>
          <w:cols w:equalWidth="0" w:num="1">
            <w:col w:w="10960"/>
          </w:cols>
          <w:pgMar w:left="440" w:top="274"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Patient Global Impression of Change</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Participants reported feeling better when treated with losmapimod compared to placebo through the Patient Global Impression of Change (PGIC) assessment (p=0.02).</w:t>
      </w:r>
    </w:p>
    <w:p>
      <w:pPr>
        <w:spacing w:after="0" w:line="1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PGIC, a measure of self-reported change in how a patient feels and functions, showed that participants were able to recognize improvements after 48 weeks of treatment. Four times more losmapimod participants reported improvement at 48 weeks as compared to participants treated with placebo. Importantly, fewer losmapimod participants reported worsening as compared to placebo, and no losmapimod participants reported being “much worse” as compared to more than 13% of placebo participants who reported that their disease had become “much worse” after 48 weeks.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TUG. Motor Function Measure and FSHD Health Index</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Two other exploratory endpoints (FSHD TUG, and FSHD Health Index) did not demonstrate changes from baseline in either group or differences between losmapimod and placebo groups, suggesting that these tests are not sensitive to change over the 48-week time period. Motor function measure also showed no changes in either group or differences between the groups over 48 weeks.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 and Target Engagement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Blood concentrations and target engagement in muscle were consistent with previous studies and were within the expected range for clinical efficacy.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Safety and tolerability data were consistent with previously reported results with no drug-related serious adverse events reported. Losmapimod was generally well-tolerated and the majority of treatment emergent adverse events were deemed unlikely related or not related to study drug by the investigator. There were three serious adverse events (post-op wound infection, alcohol poisoning and a suicide attempt) reported in two participants in the losmapimod group, each was assessed as unrelated to losmapimod. There were no deaths or discontinuations due to adverse events. Losmapimod has now been evaluated in more than 3,600 subjects in clinical trials across multiple indications, including FSHD.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the Company’s product candidates planned meetings with regulatory agencies and availability of clinical trial data.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w:t>
      </w:r>
    </w:p>
    <w:p>
      <w:pPr>
        <w:sectPr>
          <w:pgSz w:w="11900" w:h="16838" w:orient="portrait"/>
          <w:cols w:equalWidth="0" w:num="1">
            <w:col w:w="11000"/>
          </w:cols>
          <w:pgMar w:left="440" w:top="274" w:right="45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uncertainties and other important factors, in the Company’s most recent filings with the Securities and Exchange Commission. In addition, the forward-looking statements included in this Current Report on Form 10-K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0920"/>
          </w:cols>
          <w:pgMar w:left="440" w:top="274" w:right="5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4940" w:val="left"/>
          <w:tab w:leader="none" w:pos="5500" w:val="left"/>
        </w:tabs>
        <w:rPr>
          <w:sz w:val="20"/>
          <w:szCs w:val="20"/>
          <w:color w:val="auto"/>
        </w:rPr>
      </w:pPr>
      <w:r>
        <w:rPr>
          <w:rFonts w:ascii="Arial" w:cs="Arial" w:eastAsia="Arial" w:hAnsi="Arial"/>
          <w:sz w:val="18"/>
          <w:szCs w:val="18"/>
          <w:color w:val="auto"/>
        </w:rPr>
        <w:t>Date: June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Bryan Stuart</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President and Chief Executive Officer</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2021-06-24T15:20:05Z</dcterms:created>
  <dcterms:modified xsi:type="dcterms:W3CDTF">2021-06-24T15:20:05Z</dcterms:modified>
</cp:coreProperties>
</file>