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83"/>
        <w:spacing w:after="0"/>
        <w:rPr>
          <w:sz w:val="20"/>
          <w:szCs w:val="20"/>
          <w:color w:val="auto"/>
        </w:rPr>
      </w:pPr>
      <w:r>
        <w:rPr>
          <w:rFonts w:ascii="Arial" w:cs="Arial" w:eastAsia="Arial" w:hAnsi="Arial"/>
          <w:sz w:val="22"/>
          <w:szCs w:val="22"/>
          <w:b w:val="1"/>
          <w:bCs w:val="1"/>
          <w:color w:val="auto"/>
        </w:rPr>
        <w:t>the Securities Exchange Act of 1934</w:t>
      </w:r>
    </w:p>
    <w:p>
      <w:pPr>
        <w:spacing w:after="0" w:line="169" w:lineRule="exact"/>
        <w:rPr>
          <w:sz w:val="24"/>
          <w:szCs w:val="24"/>
          <w:color w:val="auto"/>
        </w:rPr>
      </w:pPr>
    </w:p>
    <w:p>
      <w:pPr>
        <w:ind w:left="2724"/>
        <w:spacing w:after="0"/>
        <w:rPr>
          <w:sz w:val="20"/>
          <w:szCs w:val="20"/>
          <w:color w:val="auto"/>
        </w:rPr>
      </w:pPr>
      <w:r>
        <w:rPr>
          <w:rFonts w:ascii="Arial" w:cs="Arial" w:eastAsia="Arial" w:hAnsi="Arial"/>
          <w:sz w:val="22"/>
          <w:szCs w:val="22"/>
          <w:b w:val="1"/>
          <w:bCs w:val="1"/>
          <w:color w:val="auto"/>
        </w:rPr>
        <w:t>Date of report (Date of earliest event reported): June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Cambridge, Massachusetts</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6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98"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24"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198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4200" w:type="dxa"/>
            <w:vAlign w:val="bottom"/>
            <w:gridSpan w:val="3"/>
          </w:tcPr>
          <w:p>
            <w:pPr>
              <w:jc w:val="center"/>
              <w:ind w:left="234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54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88"/>
              </w:rPr>
              <w:t>Symbol(s)</w:t>
            </w:r>
          </w:p>
        </w:tc>
        <w:tc>
          <w:tcPr>
            <w:tcW w:w="4200" w:type="dxa"/>
            <w:vAlign w:val="bottom"/>
            <w:gridSpan w:val="3"/>
          </w:tcPr>
          <w:p>
            <w:pPr>
              <w:jc w:val="center"/>
              <w:ind w:left="234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w w:val="79"/>
              </w:rPr>
              <w:t>Common stock,</w:t>
            </w:r>
          </w:p>
        </w:tc>
        <w:tc>
          <w:tcPr>
            <w:tcW w:w="1100" w:type="dxa"/>
            <w:vAlign w:val="bottom"/>
            <w:shd w:val="clear" w:color="auto" w:fill="000000"/>
          </w:tcPr>
          <w:p>
            <w:pPr>
              <w:spacing w:after="0" w:line="20" w:lineRule="exact"/>
              <w:rPr>
                <w:sz w:val="1"/>
                <w:szCs w:val="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0.001 per share</w:t>
            </w:r>
          </w:p>
        </w:tc>
        <w:tc>
          <w:tcPr>
            <w:tcW w:w="9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00" w:type="dxa"/>
            <w:vAlign w:val="bottom"/>
            <w:vMerge w:val="continue"/>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8"/>
                <w:szCs w:val="18"/>
                <w:b w:val="1"/>
                <w:bCs w:val="1"/>
                <w:color w:val="auto"/>
                <w:w w:val="97"/>
              </w:rPr>
              <w:t>par value $</w:t>
            </w:r>
          </w:p>
        </w:tc>
        <w:tc>
          <w:tcPr>
            <w:tcW w:w="19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9"/>
              </w:rPr>
              <w:t>FULC</w:t>
            </w:r>
          </w:p>
        </w:tc>
        <w:tc>
          <w:tcPr>
            <w:tcW w:w="4200" w:type="dxa"/>
            <w:vAlign w:val="bottom"/>
            <w:gridSpan w:val="3"/>
          </w:tcPr>
          <w:p>
            <w:pPr>
              <w:jc w:val="center"/>
              <w:ind w:left="2342"/>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Fulcrum Therapeutics, Inc. (the “Company”) held its Annual Meeting of Stockholders on June 9, 2021. The following is a summary of the matters voted on at that meeting.</w:t>
      </w:r>
    </w:p>
    <w:p>
      <w:pPr>
        <w:spacing w:after="0" w:line="76" w:lineRule="exact"/>
        <w:rPr>
          <w:sz w:val="20"/>
          <w:szCs w:val="20"/>
          <w:color w:val="auto"/>
        </w:rPr>
      </w:pPr>
    </w:p>
    <w:p>
      <w:pPr>
        <w:ind w:left="424" w:right="16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James Collins, James Geraghty, and Bryan Stuart as Class II directors, each to serve for a three-year term expiring at the 2024 Annual Meeting of Stockholders. The results of the stockholders’ vote with respect to the election of such Class II directors were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Votes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Withheld</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James Collins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20,712,181</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4,327,526</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3,512,046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James Geraghty</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18,119,917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6,919,790</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7"/>
              </w:rPr>
              <w:t>3,512,046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Bryan Stuart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24,937,075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3,512,046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60"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stockholders ratified the appointment of Ernst &amp; Young LLP as the Company’s independent registered public accounting firm for the fiscal year ending December 31, 2021. The results of the stockholders’ vote with respect to such ratification were as follows:</w:t>
      </w:r>
    </w:p>
    <w:p>
      <w:pPr>
        <w:spacing w:after="0" w:line="165"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17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9"/>
              </w:rPr>
              <w:t>Votes For</w:t>
            </w:r>
          </w:p>
        </w:tc>
        <w:tc>
          <w:tcPr>
            <w:tcW w:w="174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89"/>
              </w:rPr>
              <w:t>Votes Against</w:t>
            </w:r>
          </w:p>
        </w:tc>
        <w:tc>
          <w:tcPr>
            <w:tcW w:w="2860" w:type="dxa"/>
            <w:vAlign w:val="bottom"/>
            <w:gridSpan w:val="2"/>
          </w:tcPr>
          <w:p>
            <w:pPr>
              <w:jc w:val="center"/>
              <w:ind w:left="1748"/>
              <w:spacing w:after="0"/>
              <w:rPr>
                <w:sz w:val="20"/>
                <w:szCs w:val="20"/>
                <w:color w:val="auto"/>
              </w:rPr>
            </w:pPr>
            <w:r>
              <w:rPr>
                <w:rFonts w:ascii="Arial" w:cs="Arial" w:eastAsia="Arial" w:hAnsi="Arial"/>
                <w:sz w:val="14"/>
                <w:szCs w:val="14"/>
                <w:b w:val="1"/>
                <w:bCs w:val="1"/>
                <w:color w:val="auto"/>
                <w:w w:val="90"/>
              </w:rPr>
              <w:t>Votes Abstaining</w:t>
            </w:r>
          </w:p>
        </w:tc>
        <w:tc>
          <w:tcPr>
            <w:tcW w:w="2940" w:type="dxa"/>
            <w:vAlign w:val="bottom"/>
            <w:gridSpan w:val="2"/>
          </w:tcPr>
          <w:p>
            <w:pPr>
              <w:jc w:val="center"/>
              <w:ind w:left="1728"/>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1720" w:type="dxa"/>
            <w:vAlign w:val="bottom"/>
            <w:gridSpan w:val="3"/>
            <w:shd w:val="clear" w:color="auto" w:fill="CCEEFF"/>
          </w:tcPr>
          <w:p>
            <w:pPr>
              <w:jc w:val="right"/>
              <w:ind w:right="900"/>
              <w:spacing w:after="0" w:line="203" w:lineRule="exact"/>
              <w:rPr>
                <w:sz w:val="20"/>
                <w:szCs w:val="20"/>
                <w:color w:val="auto"/>
              </w:rPr>
            </w:pPr>
            <w:r>
              <w:rPr>
                <w:rFonts w:ascii="Arial" w:cs="Arial" w:eastAsia="Arial" w:hAnsi="Arial"/>
                <w:sz w:val="18"/>
                <w:szCs w:val="18"/>
                <w:color w:val="auto"/>
                <w:w w:val="88"/>
              </w:rPr>
              <w:t>28,530,785</w:t>
            </w: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0</w:t>
            </w:r>
          </w:p>
        </w:tc>
        <w:tc>
          <w:tcPr>
            <w:tcW w:w="18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rPr>
              <w:t>20,968</w:t>
            </w:r>
          </w:p>
        </w:tc>
        <w:tc>
          <w:tcPr>
            <w:tcW w:w="18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30"/>
              <w:spacing w:after="0" w:line="203" w:lineRule="exact"/>
              <w:rPr>
                <w:sz w:val="20"/>
                <w:szCs w:val="20"/>
                <w:color w:val="auto"/>
              </w:rPr>
            </w:pPr>
            <w:r>
              <w:rPr>
                <w:rFonts w:ascii="Arial" w:cs="Arial" w:eastAsia="Arial" w:hAnsi="Arial"/>
                <w:sz w:val="18"/>
                <w:szCs w:val="18"/>
                <w:color w:val="auto"/>
              </w:rPr>
              <w:t>0</w:t>
            </w:r>
          </w:p>
        </w:tc>
      </w:tr>
    </w:tbl>
    <w:p>
      <w:pPr>
        <w:sectPr>
          <w:pgSz w:w="11900" w:h="16838" w:orient="portrait"/>
          <w:cols w:equalWidth="0" w:num="1">
            <w:col w:w="10984"/>
          </w:cols>
          <w:pgMar w:left="436" w:top="270" w:right="4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260" w:val="left"/>
          <w:tab w:leader="none" w:pos="5720" w:val="left"/>
        </w:tabs>
        <w:rPr>
          <w:sz w:val="20"/>
          <w:szCs w:val="20"/>
          <w:color w:val="auto"/>
        </w:rPr>
      </w:pPr>
      <w:r>
        <w:rPr>
          <w:rFonts w:ascii="Arial" w:cs="Arial" w:eastAsia="Arial" w:hAnsi="Arial"/>
          <w:sz w:val="18"/>
          <w:szCs w:val="18"/>
          <w:color w:val="auto"/>
        </w:rPr>
        <w:t>Date: June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Bryan Stuart</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President and Chief Executive Officer</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2021-06-11T15:32:23Z</dcterms:created>
  <dcterms:modified xsi:type="dcterms:W3CDTF">2021-06-11T15:32:23Z</dcterms:modified>
</cp:coreProperties>
</file>