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As filed with the Securities and Exchange Commission on August 11, 2021</w:t>
      </w:r>
    </w:p>
    <w:p>
      <w:pPr>
        <w:spacing w:after="0" w:line="27" w:lineRule="exact"/>
        <w:rPr>
          <w:sz w:val="24"/>
          <w:szCs w:val="24"/>
          <w:color w:val="auto"/>
        </w:rPr>
      </w:pPr>
    </w:p>
    <w:p>
      <w:pPr>
        <w:ind w:left="9160"/>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116205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REGISTRATION STATEMENT</w:t>
      </w:r>
    </w:p>
    <w:p>
      <w:pPr>
        <w:jc w:val="center"/>
        <w:ind w:right="-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62"/>
              <w:spacing w:after="0"/>
              <w:rPr>
                <w:sz w:val="20"/>
                <w:szCs w:val="20"/>
                <w:color w:val="auto"/>
              </w:rPr>
            </w:pPr>
            <w:r>
              <w:rPr>
                <w:rFonts w:ascii="Arial" w:cs="Arial" w:eastAsia="Arial" w:hAnsi="Arial"/>
                <w:sz w:val="18"/>
                <w:szCs w:val="18"/>
                <w:b w:val="1"/>
                <w:bCs w:val="1"/>
                <w:color w:val="auto"/>
                <w:w w:val="91"/>
              </w:rPr>
              <w:t>47-4839948</w:t>
            </w:r>
          </w:p>
        </w:tc>
      </w:tr>
      <w:tr>
        <w:trPr>
          <w:trHeight w:val="148"/>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26 Landsdowne Street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Cambridge, Massachusetts 02139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651-8851</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Bryan E. Stuart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Fulcrum Therapeutics, Inc.</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26 Landsdowne Street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Cambridge, Massachusetts 02139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651-8851</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4800" w:type="dxa"/>
            <w:vAlign w:val="bottom"/>
          </w:tcPr>
          <w:p>
            <w:pPr>
              <w:ind w:left="300"/>
              <w:spacing w:after="0"/>
              <w:rPr>
                <w:sz w:val="20"/>
                <w:szCs w:val="20"/>
                <w:color w:val="auto"/>
              </w:rPr>
            </w:pPr>
            <w:r>
              <w:rPr>
                <w:rFonts w:ascii="Arial" w:cs="Arial" w:eastAsia="Arial" w:hAnsi="Arial"/>
                <w:sz w:val="18"/>
                <w:szCs w:val="18"/>
                <w:b w:val="1"/>
                <w:bCs w:val="1"/>
                <w:color w:val="auto"/>
              </w:rPr>
              <w:t>Copies to:</w:t>
            </w:r>
          </w:p>
        </w:tc>
      </w:tr>
      <w:tr>
        <w:trPr>
          <w:trHeight w:val="441"/>
        </w:trPr>
        <w:tc>
          <w:tcPr>
            <w:tcW w:w="378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Lia Der Marderosian, Esq.</w:t>
            </w:r>
          </w:p>
        </w:tc>
        <w:tc>
          <w:tcPr>
            <w:tcW w:w="4800" w:type="dxa"/>
            <w:vAlign w:val="bottom"/>
          </w:tcPr>
          <w:p>
            <w:pPr>
              <w:jc w:val="center"/>
              <w:ind w:left="2130"/>
              <w:spacing w:after="0"/>
              <w:rPr>
                <w:sz w:val="20"/>
                <w:szCs w:val="20"/>
                <w:color w:val="auto"/>
              </w:rPr>
            </w:pPr>
            <w:r>
              <w:rPr>
                <w:rFonts w:ascii="Arial" w:cs="Arial" w:eastAsia="Arial" w:hAnsi="Arial"/>
                <w:sz w:val="18"/>
                <w:szCs w:val="18"/>
                <w:b w:val="1"/>
                <w:bCs w:val="1"/>
                <w:color w:val="auto"/>
                <w:w w:val="91"/>
              </w:rPr>
              <w:t>Curtis Oltmans, Esq.</w:t>
            </w:r>
          </w:p>
        </w:tc>
      </w:tr>
      <w:tr>
        <w:trPr>
          <w:trHeight w:val="216"/>
        </w:trPr>
        <w:tc>
          <w:tcPr>
            <w:tcW w:w="37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Craig Hilts, Esq.</w:t>
            </w:r>
          </w:p>
        </w:tc>
        <w:tc>
          <w:tcPr>
            <w:tcW w:w="4800" w:type="dxa"/>
            <w:vAlign w:val="bottom"/>
          </w:tcPr>
          <w:p>
            <w:pPr>
              <w:jc w:val="center"/>
              <w:ind w:left="2150"/>
              <w:spacing w:after="0"/>
              <w:rPr>
                <w:sz w:val="20"/>
                <w:szCs w:val="20"/>
                <w:color w:val="auto"/>
              </w:rPr>
            </w:pPr>
            <w:r>
              <w:rPr>
                <w:rFonts w:ascii="Arial" w:cs="Arial" w:eastAsia="Arial" w:hAnsi="Arial"/>
                <w:sz w:val="18"/>
                <w:szCs w:val="18"/>
                <w:b w:val="1"/>
                <w:bCs w:val="1"/>
                <w:color w:val="auto"/>
                <w:w w:val="89"/>
              </w:rPr>
              <w:t>General Counsel</w:t>
            </w:r>
          </w:p>
        </w:tc>
      </w:tr>
      <w:tr>
        <w:trPr>
          <w:trHeight w:val="216"/>
        </w:trPr>
        <w:tc>
          <w:tcPr>
            <w:tcW w:w="378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Caroline Dotolo, Esq.</w:t>
            </w:r>
          </w:p>
        </w:tc>
        <w:tc>
          <w:tcPr>
            <w:tcW w:w="4800" w:type="dxa"/>
            <w:vAlign w:val="bottom"/>
          </w:tcPr>
          <w:p>
            <w:pPr>
              <w:jc w:val="center"/>
              <w:ind w:left="2150"/>
              <w:spacing w:after="0"/>
              <w:rPr>
                <w:sz w:val="20"/>
                <w:szCs w:val="20"/>
                <w:color w:val="auto"/>
              </w:rPr>
            </w:pPr>
            <w:r>
              <w:rPr>
                <w:rFonts w:ascii="Arial" w:cs="Arial" w:eastAsia="Arial" w:hAnsi="Arial"/>
                <w:sz w:val="18"/>
                <w:szCs w:val="18"/>
                <w:b w:val="1"/>
                <w:bCs w:val="1"/>
                <w:color w:val="auto"/>
                <w:w w:val="92"/>
              </w:rPr>
              <w:t>Fulcrum Therapeutics, Inc.</w:t>
            </w:r>
          </w:p>
        </w:tc>
      </w:tr>
      <w:tr>
        <w:trPr>
          <w:trHeight w:val="216"/>
        </w:trPr>
        <w:tc>
          <w:tcPr>
            <w:tcW w:w="378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Wilmer Cutler Pickering Hale and Dorr LLP</w:t>
            </w:r>
          </w:p>
        </w:tc>
        <w:tc>
          <w:tcPr>
            <w:tcW w:w="4800" w:type="dxa"/>
            <w:vAlign w:val="bottom"/>
          </w:tcPr>
          <w:p>
            <w:pPr>
              <w:jc w:val="center"/>
              <w:ind w:left="2150"/>
              <w:spacing w:after="0"/>
              <w:rPr>
                <w:sz w:val="20"/>
                <w:szCs w:val="20"/>
                <w:color w:val="auto"/>
              </w:rPr>
            </w:pPr>
            <w:r>
              <w:rPr>
                <w:rFonts w:ascii="Arial" w:cs="Arial" w:eastAsia="Arial" w:hAnsi="Arial"/>
                <w:sz w:val="18"/>
                <w:szCs w:val="18"/>
                <w:b w:val="1"/>
                <w:bCs w:val="1"/>
                <w:color w:val="auto"/>
                <w:w w:val="90"/>
              </w:rPr>
              <w:t>26 Landsdowne Street</w:t>
            </w:r>
          </w:p>
        </w:tc>
      </w:tr>
      <w:tr>
        <w:trPr>
          <w:trHeight w:val="216"/>
        </w:trPr>
        <w:tc>
          <w:tcPr>
            <w:tcW w:w="37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60 State Street</w:t>
            </w:r>
          </w:p>
        </w:tc>
        <w:tc>
          <w:tcPr>
            <w:tcW w:w="4800" w:type="dxa"/>
            <w:vAlign w:val="bottom"/>
          </w:tcPr>
          <w:p>
            <w:pPr>
              <w:jc w:val="center"/>
              <w:ind w:left="2150"/>
              <w:spacing w:after="0"/>
              <w:rPr>
                <w:sz w:val="20"/>
                <w:szCs w:val="20"/>
                <w:color w:val="auto"/>
              </w:rPr>
            </w:pPr>
            <w:r>
              <w:rPr>
                <w:rFonts w:ascii="Arial" w:cs="Arial" w:eastAsia="Arial" w:hAnsi="Arial"/>
                <w:sz w:val="18"/>
                <w:szCs w:val="18"/>
                <w:b w:val="1"/>
                <w:bCs w:val="1"/>
                <w:color w:val="auto"/>
                <w:w w:val="88"/>
              </w:rPr>
              <w:t>Cambridge, Massachusetts 02139</w:t>
            </w:r>
          </w:p>
        </w:tc>
      </w:tr>
      <w:tr>
        <w:trPr>
          <w:trHeight w:val="216"/>
        </w:trPr>
        <w:tc>
          <w:tcPr>
            <w:tcW w:w="378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Boston, Massachusetts 02109</w:t>
            </w:r>
          </w:p>
        </w:tc>
        <w:tc>
          <w:tcPr>
            <w:tcW w:w="4800" w:type="dxa"/>
            <w:vAlign w:val="bottom"/>
          </w:tcPr>
          <w:p>
            <w:pPr>
              <w:jc w:val="center"/>
              <w:ind w:left="2150"/>
              <w:spacing w:after="0"/>
              <w:rPr>
                <w:sz w:val="20"/>
                <w:szCs w:val="20"/>
                <w:color w:val="auto"/>
              </w:rPr>
            </w:pPr>
            <w:r>
              <w:rPr>
                <w:rFonts w:ascii="Arial" w:cs="Arial" w:eastAsia="Arial" w:hAnsi="Arial"/>
                <w:sz w:val="18"/>
                <w:szCs w:val="18"/>
                <w:b w:val="1"/>
                <w:bCs w:val="1"/>
                <w:color w:val="auto"/>
                <w:w w:val="90"/>
              </w:rPr>
              <w:t>(617) 651-8851</w:t>
            </w:r>
          </w:p>
        </w:tc>
      </w:tr>
      <w:tr>
        <w:trPr>
          <w:trHeight w:val="234"/>
        </w:trPr>
        <w:tc>
          <w:tcPr>
            <w:tcW w:w="378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(617) 526-6000</w:t>
            </w:r>
          </w:p>
        </w:tc>
        <w:tc>
          <w:tcPr>
            <w:tcW w:w="48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22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As soon as practicable after this Registration Statement becomes effective.</w:t>
      </w:r>
    </w:p>
    <w:p>
      <w:pPr>
        <w:spacing w:after="0" w:line="252"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6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r>
        <w:rPr>
          <w:rFonts w:ascii="Arial" w:cs="Arial" w:eastAsia="Arial" w:hAnsi="Arial"/>
          <w:sz w:val="17"/>
          <w:szCs w:val="17"/>
          <w:color w:val="auto"/>
        </w:rPr>
        <w:t xml:space="preserve"> 333-244136</w:t>
      </w:r>
    </w:p>
    <w:p>
      <w:pPr>
        <w:spacing w:after="0" w:line="182"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0960"/>
          </w:cols>
          <w:pgMar w:left="440" w:top="229" w:right="499" w:bottom="144" w:gutter="0" w:footer="0" w:header="0"/>
        </w:sectPr>
      </w:pPr>
    </w:p>
    <w:bookmarkStart w:id="1" w:name="page2"/>
    <w:bookmarkEnd w:id="1"/>
    <w:p>
      <w:pPr>
        <w:ind w:left="4"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79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796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796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Fee(2)</w:t>
            </w:r>
          </w:p>
        </w:tc>
        <w:tc>
          <w:tcPr>
            <w:tcW w:w="0" w:type="dxa"/>
            <w:vAlign w:val="bottom"/>
          </w:tcPr>
          <w:p>
            <w:pPr>
              <w:spacing w:after="0"/>
              <w:rPr>
                <w:sz w:val="1"/>
                <w:szCs w:val="1"/>
                <w:color w:val="auto"/>
              </w:rPr>
            </w:pPr>
          </w:p>
        </w:tc>
      </w:tr>
      <w:tr>
        <w:trPr>
          <w:trHeight w:val="210"/>
        </w:trPr>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$19,810,000</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9"/>
              </w:rPr>
              <w:t>$2,161.28</w:t>
            </w:r>
          </w:p>
        </w:tc>
        <w:tc>
          <w:tcPr>
            <w:tcW w:w="0" w:type="dxa"/>
            <w:vAlign w:val="bottom"/>
          </w:tcPr>
          <w:p>
            <w:pPr>
              <w:spacing w:after="0"/>
              <w:rPr>
                <w:sz w:val="1"/>
                <w:szCs w:val="1"/>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160" w:hanging="424"/>
        <w:spacing w:after="0" w:line="253"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previously registered the offering, issuance and sale of securities of up to $250,000,000 under the Registration Statement on Form S-3 (File No. 333-244136), which was filed by the registrant on August 11, 2020 and declared effective on August 17, 2020 (the “Registration Statement”). In accordance with Rule 462(b) under the Securities Act of 1933, as amended, an additional amount of securities having a proposed maximum aggregate offering price of $19,810,000 is hereby registered, which includes shares issuable upon the exercise of the underwriters’ option to purchase additional shares, representing no more than 20% of the maximum aggregate offering price of securities that remain available for issuance under the Registration Statement.</w:t>
      </w: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457(o) under the Securities Act of 1933, as amended.</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This Registration Statement shall become effective upon filing in accordance with Rule 462(b)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125" w:right="4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 AND INCORPORATION BY REFERENCE</w:t>
      </w:r>
    </w:p>
    <w:p>
      <w:pPr>
        <w:spacing w:after="0" w:line="229" w:lineRule="exact"/>
        <w:rPr>
          <w:sz w:val="20"/>
          <w:szCs w:val="20"/>
          <w:color w:val="auto"/>
        </w:rPr>
      </w:pPr>
    </w:p>
    <w:p>
      <w:pPr>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This registration statement is being filed with respect to the registration of additional shares of common stock, par value $0.001 per share, of Fulcrum Therapeutics, Inc., a Delaware corporation, pursuant to Rule 462(b) under the Securities Act of 1933, as amended. The contents of the Registration Statement on </w:t>
      </w:r>
      <w:hyperlink r:id="rId20">
        <w:r>
          <w:rPr>
            <w:rFonts w:ascii="Arial" w:cs="Arial" w:eastAsia="Arial" w:hAnsi="Arial"/>
            <w:sz w:val="18"/>
            <w:szCs w:val="18"/>
            <w:u w:val="single" w:color="auto"/>
            <w:color w:val="0000EE"/>
          </w:rPr>
          <w:t>Form S-3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333-244136), which was filed on August 11, 2020 and declared effective on August 17, 2020, are incorporated in this registration statement by reference.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required opinion and consents are listed on an Exhibit Index attached hereto and filed herewith.</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UNDERTAKING</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registrant hereby certifies to the Securities and Exchange Commission that (i) it has instructed its bank to pay the Securities and Exchange Commission the filing fee set forth in the cover page of this registration statement by wire transfer of such amount to the Securities and Exchange Commission’s account at U.S. Bank as soon as practicable (but no later than the close of business on August 12, 2021); (ii) it will not revoke such instruction; (iii) it has sufficient funds in the relevant account to cover the amount of such filing fee; and (iv) it will confirm receipt of such instructions by its bank during the bank’s regular business hours no later than August 12, 2021.</w:t>
      </w:r>
    </w:p>
    <w:p>
      <w:pPr>
        <w:sectPr>
          <w:pgSz w:w="11900" w:h="16838" w:orient="portrait"/>
          <w:cols w:equalWidth="0" w:num="1">
            <w:col w:w="10880"/>
          </w:cols>
          <w:pgMar w:left="440" w:top="270" w:right="5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540" w:type="dxa"/>
            <w:vAlign w:val="bottom"/>
            <w:gridSpan w:val="5"/>
          </w:tcPr>
          <w:p>
            <w:pPr>
              <w:ind w:left="27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680" w:type="dxa"/>
            <w:vAlign w:val="bottom"/>
          </w:tcPr>
          <w:p>
            <w:pPr>
              <w:spacing w:after="0"/>
              <w:rPr>
                <w:sz w:val="20"/>
                <w:szCs w:val="20"/>
                <w:color w:val="auto"/>
              </w:rPr>
            </w:pPr>
            <w:r>
              <w:rPr>
                <w:rFonts w:ascii="Arial" w:cs="Arial" w:eastAsia="Arial" w:hAnsi="Arial"/>
                <w:sz w:val="14"/>
                <w:szCs w:val="14"/>
                <w:color w:val="auto"/>
                <w:w w:val="97"/>
              </w:rPr>
              <w:t>Exhibit No.</w:t>
            </w:r>
          </w:p>
        </w:tc>
        <w:tc>
          <w:tcPr>
            <w:tcW w:w="740" w:type="dxa"/>
            <w:vAlign w:val="bottom"/>
          </w:tcPr>
          <w:p>
            <w:pPr>
              <w:spacing w:after="0"/>
              <w:rPr>
                <w:sz w:val="24"/>
                <w:szCs w:val="24"/>
                <w:color w:val="auto"/>
              </w:rPr>
            </w:pPr>
          </w:p>
        </w:tc>
        <w:tc>
          <w:tcPr>
            <w:tcW w:w="9200" w:type="dxa"/>
            <w:vAlign w:val="bottom"/>
            <w:gridSpan w:val="6"/>
          </w:tcPr>
          <w:p>
            <w:pPr>
              <w:spacing w:after="0"/>
              <w:rPr>
                <w:sz w:val="20"/>
                <w:szCs w:val="20"/>
                <w:color w:val="auto"/>
              </w:rPr>
            </w:pPr>
            <w:r>
              <w:rPr>
                <w:rFonts w:ascii="Arial" w:cs="Arial" w:eastAsia="Arial" w:hAnsi="Arial"/>
                <w:sz w:val="14"/>
                <w:szCs w:val="14"/>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Arial" w:cs="Arial" w:eastAsia="Arial" w:hAnsi="Arial"/>
                <w:sz w:val="18"/>
                <w:szCs w:val="18"/>
                <w:color w:val="auto"/>
              </w:rPr>
              <w:t>5.1</w:t>
            </w:r>
          </w:p>
        </w:tc>
        <w:tc>
          <w:tcPr>
            <w:tcW w:w="740" w:type="dxa"/>
            <w:vAlign w:val="bottom"/>
          </w:tcPr>
          <w:p>
            <w:pPr>
              <w:spacing w:after="0"/>
              <w:rPr>
                <w:sz w:val="24"/>
                <w:szCs w:val="24"/>
                <w:color w:val="auto"/>
              </w:rPr>
            </w:pPr>
          </w:p>
        </w:tc>
        <w:tc>
          <w:tcPr>
            <w:tcW w:w="404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Opinion of Wilmer Cutler Pickering Hale and Dorr LLP</w:t>
              </w:r>
            </w:hyperlink>
          </w:p>
        </w:tc>
        <w:tc>
          <w:tcPr>
            <w:tcW w:w="5160" w:type="dxa"/>
            <w:vAlign w:val="bottom"/>
            <w:gridSpan w:val="4"/>
          </w:tcPr>
          <w:p>
            <w:pPr>
              <w:spacing w:after="0"/>
              <w:rPr>
                <w:sz w:val="24"/>
                <w:szCs w:val="24"/>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740" w:type="dxa"/>
            <w:vAlign w:val="bottom"/>
          </w:tcPr>
          <w:p>
            <w:pPr>
              <w:spacing w:after="0"/>
              <w:rPr>
                <w:sz w:val="24"/>
                <w:szCs w:val="24"/>
                <w:color w:val="auto"/>
              </w:rPr>
            </w:pPr>
          </w:p>
        </w:tc>
        <w:tc>
          <w:tcPr>
            <w:tcW w:w="5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Consent of Ernst &amp; Young LLP, independent registered public accounting firm</w:t>
              </w:r>
            </w:hyperlink>
          </w:p>
        </w:tc>
        <w:tc>
          <w:tcPr>
            <w:tcW w:w="3540" w:type="dxa"/>
            <w:vAlign w:val="bottom"/>
            <w:gridSpan w:val="2"/>
          </w:tcPr>
          <w:p>
            <w:pPr>
              <w:spacing w:after="0"/>
              <w:rPr>
                <w:sz w:val="24"/>
                <w:szCs w:val="24"/>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740" w:type="dxa"/>
            <w:vAlign w:val="bottom"/>
          </w:tcPr>
          <w:p>
            <w:pPr>
              <w:spacing w:after="0"/>
              <w:rPr>
                <w:sz w:val="24"/>
                <w:szCs w:val="24"/>
                <w:color w:val="auto"/>
              </w:rPr>
            </w:pPr>
          </w:p>
        </w:tc>
        <w:tc>
          <w:tcPr>
            <w:tcW w:w="9200" w:type="dxa"/>
            <w:vAlign w:val="bottom"/>
            <w:gridSpan w:val="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Consent of Wilmer Cutler Pickering Hale and Dorr LLP (included in Exhibit 5.1)</w:t>
              </w:r>
            </w:hyperlink>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0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24.1</w:t>
            </w:r>
          </w:p>
        </w:tc>
        <w:tc>
          <w:tcPr>
            <w:tcW w:w="740" w:type="dxa"/>
            <w:vAlign w:val="bottom"/>
          </w:tcPr>
          <w:p>
            <w:pPr>
              <w:spacing w:after="0"/>
              <w:rPr>
                <w:sz w:val="24"/>
                <w:szCs w:val="24"/>
                <w:color w:val="auto"/>
              </w:rPr>
            </w:pPr>
          </w:p>
        </w:tc>
        <w:tc>
          <w:tcPr>
            <w:tcW w:w="9200" w:type="dxa"/>
            <w:vAlign w:val="bottom"/>
            <w:tcBorders>
              <w:bottom w:val="single" w:sz="8" w:color="0000EE"/>
            </w:tcBorders>
            <w:gridSpan w:val="6"/>
          </w:tcPr>
          <w:p>
            <w:pPr>
              <w:spacing w:after="0"/>
              <w:rPr>
                <w:rFonts w:ascii="Arial" w:cs="Arial" w:eastAsia="Arial" w:hAnsi="Arial"/>
                <w:sz w:val="18"/>
                <w:szCs w:val="18"/>
                <w:color w:val="0000EE"/>
                <w:w w:val="90"/>
              </w:rPr>
            </w:pPr>
            <w:hyperlink r:id="rId21">
              <w:r>
                <w:rPr>
                  <w:rFonts w:ascii="Arial" w:cs="Arial" w:eastAsia="Arial" w:hAnsi="Arial"/>
                  <w:sz w:val="18"/>
                  <w:szCs w:val="18"/>
                  <w:color w:val="0000EE"/>
                  <w:w w:val="90"/>
                </w:rPr>
                <w:t>Power of Attorney (incorporated by reference to the signature page to the Registrant’s Registration Statement on Form S-3 (File</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0" w:type="dxa"/>
            <w:vAlign w:val="bottom"/>
            <w:gridSpan w:val="6"/>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No. 333-244136) filed with the Commission on August 11, 2020)</w:t>
              </w:r>
            </w:hyperlink>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620"/>
          </w:cols>
          <w:pgMar w:left="440" w:top="270" w:right="8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left="4" w:firstLine="440"/>
        <w:spacing w:after="0" w:line="34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 Cambridge, Commonwealth of Massachusetts, on this 11</w:t>
      </w:r>
      <w:r>
        <w:rPr>
          <w:rFonts w:ascii="Arial" w:cs="Arial" w:eastAsia="Arial" w:hAnsi="Arial"/>
          <w:sz w:val="13"/>
          <w:szCs w:val="13"/>
          <w:color w:val="auto"/>
        </w:rPr>
        <w:t>th</w:t>
      </w:r>
      <w:r>
        <w:rPr>
          <w:rFonts w:ascii="Arial" w:cs="Arial" w:eastAsia="Arial" w:hAnsi="Arial"/>
          <w:sz w:val="16"/>
          <w:szCs w:val="16"/>
          <w:color w:val="auto"/>
        </w:rPr>
        <w:t xml:space="preserve"> day of August, 2021.</w:t>
      </w:r>
    </w:p>
    <w:p>
      <w:pPr>
        <w:spacing w:after="0" w:line="15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Bryan E.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Bryan E. Stuart</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0964"/>
          </w:cols>
          <w:pgMar w:left="436" w:top="270" w:right="499" w:bottom="1440" w:gutter="0" w:footer="0" w:header="0"/>
        </w:sectPr>
      </w:pPr>
    </w:p>
    <w:p>
      <w:pPr>
        <w:spacing w:after="0" w:line="189" w:lineRule="exact"/>
        <w:rPr>
          <w:sz w:val="20"/>
          <w:szCs w:val="20"/>
          <w:color w:val="auto"/>
        </w:rPr>
      </w:pPr>
    </w:p>
    <w:p>
      <w:pPr>
        <w:jc w:val="center"/>
        <w:ind w:left="624"/>
        <w:spacing w:after="0"/>
        <w:rPr>
          <w:sz w:val="20"/>
          <w:szCs w:val="20"/>
          <w:color w:val="auto"/>
        </w:rPr>
      </w:pPr>
      <w:r>
        <w:rPr>
          <w:rFonts w:ascii="Arial" w:cs="Arial" w:eastAsia="Arial" w:hAnsi="Arial"/>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23145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 Bryan E.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145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Bryan E. Stuart</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145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Peter Thomson</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145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Mark Levin</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14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James J. Collins</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145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Katina Dorton</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145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Alan Ezekowitz</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145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James Geraghty</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145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Robert J. Gould</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145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Kate Haviland</w:t>
      </w:r>
    </w:p>
    <w:p>
      <w:pPr>
        <w:spacing w:after="0" w:line="265" w:lineRule="exact"/>
        <w:rPr>
          <w:sz w:val="20"/>
          <w:szCs w:val="20"/>
          <w:color w:val="auto"/>
        </w:rPr>
      </w:pPr>
    </w:p>
    <w:p>
      <w:pPr>
        <w:ind w:left="544" w:right="1160" w:hanging="544"/>
        <w:spacing w:after="0" w:line="303" w:lineRule="auto"/>
        <w:tabs>
          <w:tab w:leader="none" w:pos="139" w:val="left"/>
        </w:tabs>
        <w:numPr>
          <w:ilvl w:val="0"/>
          <w:numId w:val="2"/>
        </w:numPr>
        <w:rPr>
          <w:rFonts w:ascii="Arial" w:cs="Arial" w:eastAsia="Arial" w:hAnsi="Arial"/>
          <w:sz w:val="17"/>
          <w:szCs w:val="17"/>
          <w:color w:val="auto"/>
        </w:rPr>
      </w:pPr>
      <w:r>
        <w:rPr>
          <w:rFonts w:ascii="Arial" w:cs="Arial" w:eastAsia="Arial" w:hAnsi="Arial"/>
          <w:sz w:val="17"/>
          <w:szCs w:val="17"/>
          <w:color w:val="auto"/>
        </w:rPr>
        <w:t>By: /s/ Bryan E. Stuart Bryan E. Stuart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-323215</wp:posOffset>
            </wp:positionV>
            <wp:extent cx="24517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72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36347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 Director (Principal Executive Officer)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Accounting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9086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August 11,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11,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11,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11,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11,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11,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11,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11,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11, 2021</w:t>
      </w:r>
    </w:p>
    <w:p>
      <w:pPr>
        <w:sectPr>
          <w:pgSz w:w="11900" w:h="16838" w:orient="portrait"/>
          <w:cols w:equalWidth="0" w:num="3">
            <w:col w:w="3024" w:space="720"/>
            <w:col w:w="5580" w:space="260"/>
            <w:col w:w="1380"/>
          </w:cols>
          <w:pgMar w:left="436" w:top="270" w:right="49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171450</wp:posOffset>
            </wp:positionV>
            <wp:extent cx="1071880" cy="197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107188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+1 617 526 6000 (t)</w:t>
      </w:r>
    </w:p>
    <w:p>
      <w:pPr>
        <w:spacing w:after="0" w:line="16" w:lineRule="exact"/>
        <w:rPr>
          <w:sz w:val="20"/>
          <w:szCs w:val="20"/>
          <w:color w:val="auto"/>
        </w:rPr>
      </w:pPr>
    </w:p>
    <w:p>
      <w:pPr>
        <w:ind w:left="9420"/>
        <w:spacing w:after="0"/>
        <w:rPr>
          <w:sz w:val="20"/>
          <w:szCs w:val="20"/>
          <w:color w:val="auto"/>
        </w:rPr>
      </w:pPr>
      <w:r>
        <w:rPr>
          <w:rFonts w:ascii="Arial" w:cs="Arial" w:eastAsia="Arial" w:hAnsi="Arial"/>
          <w:sz w:val="18"/>
          <w:szCs w:val="18"/>
          <w:color w:val="auto"/>
        </w:rPr>
        <w:t>+1 617 526 5000 (f)</w:t>
      </w:r>
    </w:p>
    <w:p>
      <w:pPr>
        <w:spacing w:after="0" w:line="23" w:lineRule="exact"/>
        <w:rPr>
          <w:sz w:val="20"/>
          <w:szCs w:val="20"/>
          <w:color w:val="auto"/>
        </w:rPr>
      </w:pPr>
    </w:p>
    <w:p>
      <w:pPr>
        <w:ind w:left="9740"/>
        <w:spacing w:after="0"/>
        <w:rPr>
          <w:sz w:val="20"/>
          <w:szCs w:val="20"/>
          <w:color w:val="auto"/>
        </w:rPr>
      </w:pPr>
      <w:r>
        <w:rPr>
          <w:rFonts w:ascii="Arial" w:cs="Arial" w:eastAsia="Arial" w:hAnsi="Arial"/>
          <w:sz w:val="18"/>
          <w:szCs w:val="18"/>
          <w:color w:val="auto"/>
        </w:rPr>
        <w:t>wilmerhale.com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August 11,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 Landsdowne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 02139</w:t>
      </w:r>
    </w:p>
    <w:p>
      <w:pPr>
        <w:spacing w:after="0" w:line="238"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Fulcrum Therapeutics, Inc. –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opinion is furnished to you in connection with the Registration Statement on Form S-3 (the “Registration Statement”) filed by Fulcrum Therapeutics, Inc., a Delaware corporation (the “Company”), with the Securities and Exchange Commission (the “Commission”) pursuant to Rule 462(b) under the Securities Act of 1933, as amended (the “Securities Act”), for the registration of shares of Common Stock, par value $0.001 per share, of the Company with a proposed maximum aggregate offering price of $19,810,000 (the “Shares”).</w:t>
      </w:r>
    </w:p>
    <w:p>
      <w:pPr>
        <w:spacing w:after="0" w:line="18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Shares are to be issued and sold by the Company pursuant to an underwriting agreement, dated August 11, 2021 (the “Underwriting Agreement”), being entered into by and between the Company and SVB Leerink LLC, Piper Sandler &amp; Co. and Stifel, Nicolaus &amp; Company, Incorporated, as representatives of the several underwriters named therein, which will be filed with the Commission as an exhibit on a Current Report on Form 8-K.</w:t>
      </w:r>
    </w:p>
    <w:p>
      <w:pPr>
        <w:spacing w:after="0" w:line="1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acting as counsel for the Company in connection with the issue and sale by the Company of the Shares. We have examined a signed copy of the Registration Statement as filed with the Commission. We have also examined and relied upon the Underwriting Agreement, minutes of meetings and actions of the stockholders and the Board of Directors of the Company, including committees thereof, as provided to us by the Company, the Certificate of Incorporation and By-Laws of the Company, each as restated and/or amended to date, and such other documents as we have deemed necessary for purposes of rendering the opinions hereinafter set forth.</w:t>
      </w:r>
    </w:p>
    <w:p>
      <w:pPr>
        <w:spacing w:after="0" w:line="18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w:t>
      </w:r>
    </w:p>
    <w:p>
      <w:pPr>
        <w:spacing w:after="0" w:line="184"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We express no opinion herein as to the laws of any state or jurisdiction other than the General Corporation Law of the State of Delaware and the federal laws of the United States of America.</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Based upon and subject to the foregoing, we are of the opinion that the Shares have been duly authorized for issuance and, when the Shares are issued and paid for in accordance with the terms and conditions of the Underwriting Agreement, the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142875</wp:posOffset>
            </wp:positionV>
            <wp:extent cx="5563235" cy="266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5563235" cy="26606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6" w:name="page7"/>
    <w:bookmarkEnd w:id="6"/>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under the caption “Legal Matters.” In giving such consent, we do not hereby admit that we are in the category of persons whose consent is required under Section 7 of the Securities Act or the rules and regulations of the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 HALE AND DORR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Lia Der Marderosian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Lia Der Marderosian, a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168910</wp:posOffset>
            </wp:positionV>
            <wp:extent cx="5563235"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5563235" cy="265430"/>
                    </a:xfrm>
                    <a:prstGeom prst="rect">
                      <a:avLst/>
                    </a:prstGeom>
                    <a:noFill/>
                  </pic:spPr>
                </pic:pic>
              </a:graphicData>
            </a:graphic>
          </wp:anchor>
        </w:drawing>
      </w:r>
    </w:p>
    <w:p>
      <w:pPr>
        <w:sectPr>
          <w:pgSz w:w="11900" w:h="16838" w:orient="portrait"/>
          <w:cols w:equalWidth="0" w:num="1">
            <w:col w:w="10880"/>
          </w:cols>
          <w:pgMar w:left="440" w:top="274" w:right="5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on this Form S-3 filed pursuant to Rule 462(b) of the Securities Act of 1933 of the reference to our firm under the caption “Experts” in the Registration Statement on Form S-3 (No. 333-244136) and to the incorporation by reference of our report dated March 4, 2021, with respect to the consolidated financial statements of Fulcrum Therapeutics, Inc. included in its Annual Report (Form 10-K) for the year ended December 31, 2020, filed with the Securities and Exchange Commission.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11,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jpeg"/><Relationship Id="rId39" Type="http://schemas.openxmlformats.org/officeDocument/2006/relationships/image" Target="media/image30.jpe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jpeg"/><Relationship Id="rId20" Type="http://schemas.openxmlformats.org/officeDocument/2006/relationships/hyperlink" Target="http://www.sec.gov/Archives/edgar/data/1680581/000119312520215668/d235715ds3.htm" TargetMode="External"/><Relationship Id="rId21" Type="http://schemas.openxmlformats.org/officeDocument/2006/relationships/hyperlink" Target="http://www.sec.gov/Archives/edgar/data/1680581/000119312520215668/d235715ds3.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2021-08-11T20:56:18Z</dcterms:created>
  <dcterms:modified xsi:type="dcterms:W3CDTF">2021-08-11T20:56:18Z</dcterms:modified>
</cp:coreProperties>
</file>