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Horn Patrick Taylor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FULCRUM THERAPEUTICS,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LANDSDOWNE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Fulcrum Therapeutics, Inc.</w:t>
              </w:r>
            </w:hyperlink>
            <w:r>
              <w:rPr/>
              <w:t xml:space="preserve"> [ </w:t>
            </w:r>
            <w:r>
              <w:rPr>
                <w:rFonts w:ascii="Times;serif" w:hAnsi="Times;serif"/>
                <w:color w:val="0000FF"/>
                <w:sz w:val="24"/>
                <w:shd w:fill="FFFFFF" w:val="clear"/>
              </w:rPr>
              <w:t>FULC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03/18/2024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10.12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03/18/2024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03/17/2034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was granted on March 18, 2024 and is scheduled to vest 25% on the first anniversary of the vesting commencement date of March 18, 2024. The remainder of the shares underlying the grant shall vest in equal quarterly installments over the following three years until the fourth anniversary of the vesting commencement date, subject to continued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 Tourangeau as attorney-in-fact for Patrick Horn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72002" TargetMode="External"/><Relationship Id="rId4" Type="http://schemas.openxmlformats.org/officeDocument/2006/relationships/hyperlink" Target="http://www.sec.gov/cgi-bin/browse-edgar?action=getcompany&amp;CIK=000168058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3446</Characters>
  <CharactersWithSpaces>4012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