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-596900</wp:posOffset>
            </wp:positionV>
            <wp:extent cx="8255" cy="5975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7535"/>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-605155</wp:posOffset>
            </wp:positionV>
            <wp:extent cx="8255" cy="605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-581025</wp:posOffset>
            </wp:positionV>
            <wp:extent cx="1268095" cy="55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8095" cy="5575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26670</wp:posOffset>
            </wp:positionV>
            <wp:extent cx="6969760" cy="17202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021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Oltmans Curtis Gale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95"/>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12/03/2020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845"/>
        <w:spacing w:after="0"/>
        <w:rPr>
          <w:sz w:val="20"/>
          <w:szCs w:val="20"/>
          <w:color w:val="auto"/>
        </w:rPr>
      </w:pPr>
      <w:r>
        <w:rPr>
          <w:rFonts w:ascii="Arial" w:cs="Arial" w:eastAsia="Arial" w:hAnsi="Arial"/>
          <w:sz w:val="17"/>
          <w:szCs w:val="17"/>
          <w:color w:val="0000FF"/>
        </w:rPr>
        <w:t>SVP, General Counsel</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1"/>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1"/>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11.82</w:t>
            </w:r>
          </w:p>
        </w:tc>
        <w:tc>
          <w:tcPr>
            <w:tcW w:w="1060" w:type="dxa"/>
            <w:vAlign w:val="bottom"/>
          </w:tcPr>
          <w:p>
            <w:pPr>
              <w:ind w:left="240"/>
              <w:spacing w:after="0"/>
              <w:rPr>
                <w:sz w:val="20"/>
                <w:szCs w:val="20"/>
                <w:color w:val="auto"/>
              </w:rPr>
            </w:pPr>
            <w:r>
              <w:rPr>
                <w:rFonts w:ascii="Arial" w:cs="Arial" w:eastAsia="Arial" w:hAnsi="Arial"/>
                <w:sz w:val="13"/>
                <w:szCs w:val="13"/>
                <w:color w:val="0000FF"/>
              </w:rPr>
              <w:t>12/03/2020</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153,600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12/02/2030</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153,600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153,600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-2552065</wp:posOffset>
            </wp:positionV>
            <wp:extent cx="7034530" cy="2689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68922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320"/>
        <w:spacing w:after="0" w:line="280"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option was granted on December 3, 2020 and is scheduled to vest 25% on the first anniversary of the vesting commencement date of November 30, 2020. The remainder of the shares underlying the grant shall vest in equal quarterly installments over the following three years until the fourth anniversary of the vesting commencement date, subject to continued service.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Curt Oltmans</w:t>
            </w:r>
          </w:p>
        </w:tc>
        <w:tc>
          <w:tcPr>
            <w:tcW w:w="740" w:type="dxa"/>
            <w:vAlign w:val="bottom"/>
          </w:tcPr>
          <w:p>
            <w:pPr>
              <w:spacing w:after="0"/>
              <w:rPr>
                <w:sz w:val="20"/>
                <w:szCs w:val="20"/>
                <w:color w:val="auto"/>
              </w:rPr>
            </w:pPr>
            <w:r>
              <w:rPr>
                <w:rFonts w:ascii="Arial" w:cs="Arial" w:eastAsia="Arial" w:hAnsi="Arial"/>
                <w:sz w:val="17"/>
                <w:szCs w:val="17"/>
                <w:color w:val="0000FF"/>
                <w:w w:val="84"/>
              </w:rPr>
              <w:t>12/07/2020</w:t>
            </w: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4982"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2020-12-07T15:34:49Z</dcterms:created>
  <dcterms:modified xsi:type="dcterms:W3CDTF">2020-12-07T15:34:49Z</dcterms:modified>
</cp:coreProperties>
</file>