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238125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540" w:type="dxa"/>
            <w:vAlign w:val="bottom"/>
          </w:tcPr>
          <w:p>
            <w:pPr>
              <w:jc w:val="center"/>
              <w:ind w:right="1819"/>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40"/>
              <w:spacing w:after="0"/>
              <w:rPr>
                <w:sz w:val="20"/>
                <w:szCs w:val="20"/>
                <w:color w:val="auto"/>
              </w:rPr>
            </w:pPr>
            <w:r>
              <w:rPr>
                <w:rFonts w:ascii="Arial" w:cs="Arial" w:eastAsia="Arial" w:hAnsi="Arial"/>
                <w:sz w:val="18"/>
                <w:szCs w:val="18"/>
                <w:b w:val="1"/>
                <w:bCs w:val="1"/>
                <w:color w:val="auto"/>
              </w:rPr>
              <w:t>001-38978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47-4839948</w:t>
            </w:r>
          </w:p>
        </w:tc>
      </w:tr>
      <w:tr>
        <w:trPr>
          <w:trHeight w:val="148"/>
        </w:trPr>
        <w:tc>
          <w:tcPr>
            <w:tcW w:w="3540" w:type="dxa"/>
            <w:vAlign w:val="bottom"/>
          </w:tcPr>
          <w:p>
            <w:pPr>
              <w:jc w:val="center"/>
              <w:ind w:right="18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40" w:type="dxa"/>
            <w:vAlign w:val="bottom"/>
          </w:tcPr>
          <w:p>
            <w:pPr>
              <w:ind w:left="64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4"/>
              </w:rPr>
              <w:t>of incorporation)</w:t>
            </w:r>
          </w:p>
        </w:tc>
        <w:tc>
          <w:tcPr>
            <w:tcW w:w="2440" w:type="dxa"/>
            <w:vAlign w:val="bottom"/>
          </w:tcPr>
          <w:p>
            <w:pPr>
              <w:ind w:left="62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26 Landsdowne Street</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9"/>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4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5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2"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August 15, 2022, Fulcrum Therapeutics, Inc., or Fulcrum, entered into an underwriting agreement with Goldman Sachs &amp; Co. LLC and SVB Securities LLC as the representatives of the several underwriters, or the Underwriters, relating to an underwritten public offering of 9,590,792 shares of its common stock, par value $0.001 per share, at a price to the public of $7.82 per share, less underwriting discounts and commissions. All of the shares are being sold by Fulcrum. Under the terms of the underwriting agreement, Fulcrum granted the Underwriters an option, exercisable for 30 days, to purchase up to an additional 1,438,618 shares of its common stock at the same price per share as the shares, less underwriting discounts and commissions.</w:t>
      </w:r>
    </w:p>
    <w:p>
      <w:pPr>
        <w:spacing w:after="0" w:line="19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Fulcrum estimates that the net proceeds from the offering will be approximately $70.3 million, or approximately $80.9 million if the Underwriters exercise in full their option to purchase the additional shares, in each case after deducting underwriting discounts and commissions and estimated offering expenses.</w:t>
      </w:r>
    </w:p>
    <w:p>
      <w:pPr>
        <w:spacing w:after="0" w:line="18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shares will be issued pursuant to a shelf registration statement on Form S-3, as amended by that certain post-effective Amendment No. 2 that was filed with the Securities and Exchange Commission, or the SEC, on March 3, 2022 and declared effective by the SEC on April 28, 2022 (File</w:t>
      </w:r>
    </w:p>
    <w:p>
      <w:pPr>
        <w:ind w:right="60"/>
        <w:spacing w:after="0" w:line="260" w:lineRule="auto"/>
        <w:rPr>
          <w:sz w:val="20"/>
          <w:szCs w:val="20"/>
          <w:color w:val="auto"/>
        </w:rPr>
      </w:pPr>
      <w:r>
        <w:rPr>
          <w:rFonts w:ascii="Arial" w:cs="Arial" w:eastAsia="Arial" w:hAnsi="Arial"/>
          <w:sz w:val="18"/>
          <w:szCs w:val="18"/>
          <w:color w:val="auto"/>
        </w:rPr>
        <w:t>No. 333-260754). A final prospectus supplement relating to the offering has been filed with the SEC on August 16, 2022. The closing of the offering is expected to take place on or about August 18, 2022, subject to the satisfaction of customary closing conditions.</w:t>
      </w:r>
    </w:p>
    <w:p>
      <w:pPr>
        <w:spacing w:after="0" w:line="1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underwriting agreement contains customary representations, warranties, covenants and agreements by Fulcrum, customary conditions to closing, indemnification obligations of Fulcrum and the Underwriters, including for liabilities under the Securities Act of 1933, as amended,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 In addition, subject to certain exceptions, Fulcrum and its executive officers and directors have agreed not to offer, sell, transfer or otherwise dispose of any shares of common stock during the 60-day period, in the case of Fulcrum, and the 30-day period, in the case of its directors and executive officers, following the date of the underwriting agreement. A copy of the underwriting agreement is attached as Exhibit 1.1 hereto and is incorporated herein by reference. The foregoing description of the material terms of the underwriting agreement does not purport to be complete and is qualified in its entirety by reference to such exhibit.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 copy of the legal opinion and consent of Goodwin Procter LLP relating to the shares and the additional shares is attached as Exhibit 5.1 hereto.</w:t>
      </w:r>
    </w:p>
    <w:p>
      <w:pPr>
        <w:spacing w:after="0" w:line="38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August 15, 2022, Fulcrum announced the commencement of the offering, and on August 15, 2022, Fulcrum announced the pricing of the offering. Copies of the press releases announcing the commencement and the pricing of the offering are attached as Exhibits 99.1 and 99.2, respectively, and are each incorporated herein by reference.</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04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Borders>
              <w:bottom w:val="single" w:sz="8" w:color="auto"/>
            </w:tcBorders>
            <w:gridSpan w:val="2"/>
            <w:vMerge w:val="continue"/>
          </w:tcPr>
          <w:p>
            <w:pPr>
              <w:spacing w:after="0"/>
              <w:rPr>
                <w:sz w:val="14"/>
                <w:szCs w:val="14"/>
                <w:color w:val="auto"/>
              </w:rPr>
            </w:pPr>
          </w:p>
        </w:tc>
        <w:tc>
          <w:tcPr>
            <w:tcW w:w="4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94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Underwriting Agreement, dated August 15, 2022, by and among Fulcrum Therapeutics, Inc., Goldman Sachs &amp; Co. LLC, and SVB</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89"/>
              </w:rPr>
              <w:t>Securities LLC as representatives of the several underwriters named in Schedule I thereto</w:t>
            </w:r>
          </w:p>
        </w:tc>
        <w:tc>
          <w:tcPr>
            <w:tcW w:w="3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6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23.1</w:t>
            </w:r>
          </w:p>
        </w:tc>
        <w:tc>
          <w:tcPr>
            <w:tcW w:w="420" w:type="dxa"/>
            <w:vAlign w:val="bottom"/>
          </w:tcPr>
          <w:p>
            <w:pPr>
              <w:spacing w:after="0"/>
              <w:rPr>
                <w:sz w:val="24"/>
                <w:szCs w:val="24"/>
                <w:color w:val="auto"/>
              </w:rPr>
            </w:pPr>
          </w:p>
        </w:tc>
        <w:tc>
          <w:tcPr>
            <w:tcW w:w="48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1"/>
              </w:rPr>
              <w:t>Consent of Goodwin Procter LLP (contained in Exhibit 5.1 above)</w:t>
            </w:r>
          </w:p>
        </w:tc>
        <w:tc>
          <w:tcPr>
            <w:tcW w:w="46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0000EE"/>
              </w:rPr>
              <w:t>Press release (commencement), dated August 15, 2022</w:t>
            </w:r>
          </w:p>
        </w:tc>
        <w:tc>
          <w:tcPr>
            <w:tcW w:w="0" w:type="dxa"/>
            <w:vAlign w:val="bottom"/>
          </w:tcPr>
          <w:p>
            <w:pPr>
              <w:spacing w:after="0"/>
              <w:rPr>
                <w:sz w:val="1"/>
                <w:szCs w:val="1"/>
                <w:color w:val="auto"/>
              </w:rPr>
            </w:pPr>
          </w:p>
        </w:tc>
      </w:tr>
      <w:tr>
        <w:trPr>
          <w:trHeight w:val="304"/>
        </w:trPr>
        <w:tc>
          <w:tcPr>
            <w:tcW w:w="460" w:type="dxa"/>
            <w:vAlign w:val="bottom"/>
          </w:tcPr>
          <w:p>
            <w:pPr>
              <w:jc w:val="right"/>
              <w:ind w:right="55"/>
              <w:spacing w:after="0"/>
              <w:rPr>
                <w:sz w:val="20"/>
                <w:szCs w:val="20"/>
                <w:color w:val="auto"/>
              </w:rPr>
            </w:pPr>
            <w:r>
              <w:rPr>
                <w:rFonts w:ascii="Arial" w:cs="Arial" w:eastAsia="Arial" w:hAnsi="Arial"/>
                <w:sz w:val="18"/>
                <w:szCs w:val="18"/>
                <w:color w:val="auto"/>
                <w:w w:val="85"/>
              </w:rPr>
              <w:t>99.2</w:t>
            </w:r>
          </w:p>
        </w:tc>
        <w:tc>
          <w:tcPr>
            <w:tcW w:w="42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88"/>
              </w:rPr>
              <w:t>Press release (pricing), dated August 15, 2022</w:t>
            </w:r>
          </w:p>
        </w:tc>
        <w:tc>
          <w:tcPr>
            <w:tcW w:w="620" w:type="dxa"/>
            <w:vAlign w:val="bottom"/>
            <w:tcBorders>
              <w:top w:val="single" w:sz="8" w:color="0000EE"/>
            </w:tcBorders>
          </w:tcPr>
          <w:p>
            <w:pPr>
              <w:spacing w:after="0"/>
              <w:rPr>
                <w:sz w:val="24"/>
                <w:szCs w:val="24"/>
                <w:color w:val="auto"/>
              </w:rPr>
            </w:pPr>
          </w:p>
        </w:tc>
        <w:tc>
          <w:tcPr>
            <w:tcW w:w="55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9460" w:type="dxa"/>
            <w:vAlign w:val="bottom"/>
            <w:gridSpan w:val="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0940"/>
          </w:cols>
          <w:pgMar w:left="440" w:top="297" w:right="5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Arial" w:cs="Arial" w:eastAsia="Arial" w:hAnsi="Arial"/>
          <w:sz w:val="18"/>
          <w:szCs w:val="18"/>
          <w:color w:val="auto"/>
        </w:rPr>
        <w:t>Date: August 16,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Curt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14605</wp:posOffset>
            </wp:positionV>
            <wp:extent cx="3077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0"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Curt Oltmans</w:t>
      </w:r>
    </w:p>
    <w:p>
      <w:pPr>
        <w:spacing w:after="0" w:line="9" w:lineRule="exact"/>
        <w:rPr>
          <w:sz w:val="20"/>
          <w:szCs w:val="20"/>
          <w:color w:val="auto"/>
        </w:rPr>
      </w:pPr>
    </w:p>
    <w:p>
      <w:pPr>
        <w:ind w:left="5520"/>
        <w:spacing w:after="0"/>
        <w:tabs>
          <w:tab w:leader="none" w:pos="6140" w:val="left"/>
        </w:tabs>
        <w:rPr>
          <w:sz w:val="20"/>
          <w:szCs w:val="20"/>
          <w:color w:val="auto"/>
        </w:rPr>
      </w:pPr>
      <w:r>
        <w:rPr>
          <w:rFonts w:ascii="Arial" w:cs="Arial" w:eastAsia="Arial" w:hAnsi="Arial"/>
          <w:sz w:val="18"/>
          <w:szCs w:val="18"/>
          <w:color w:val="auto"/>
        </w:rPr>
        <w:t>Title:</w:t>
        <w:tab/>
        <w:t>General Counsel</w:t>
      </w:r>
    </w:p>
    <w:p>
      <w:pPr>
        <w:sectPr>
          <w:pgSz w:w="11900" w:h="16838" w:orient="portrait"/>
          <w:cols w:equalWidth="0" w:num="1">
            <w:col w:w="10700"/>
          </w:cols>
          <w:pgMar w:left="440" w:top="29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Underwriting Agreement</w:t>
      </w:r>
    </w:p>
    <w:p>
      <w:pPr>
        <w:spacing w:after="0" w:line="22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August 15, 2022</w:t>
      </w:r>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SVB Securities LLC</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representatives (the “Representatives”) of the several Underwriters</w:t>
      </w:r>
    </w:p>
    <w:p>
      <w:pPr>
        <w:spacing w:after="0" w:line="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 SVB Securities LLC</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53 State Street, 40th Floor</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Boston, MA 02109</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Fulcrum Therapeutics, Inc., a Delaware corporation (the “Company”), proposes, subject to the terms and conditions stated in this agreement (this “Agreement”), to issue and sell to the Underwriters named in Schedule I hereto (the “Underwriters”) an aggregate of 9,590,792 shares (the “Firm Shares”) and, at the election of the Underwriters, up to 1,438,618 additional shares (the “Optional Shares”) of common stock, par value $0.001 per share (“Stock”), of the Company (the Firm Shares and the Optional Shares that the Underwriters elect to purchase pursuant to Section 2 hereof being collectively called the “Shares”).</w:t>
      </w:r>
    </w:p>
    <w:p>
      <w:pPr>
        <w:spacing w:after="0" w:line="188" w:lineRule="exact"/>
        <w:rPr>
          <w:sz w:val="20"/>
          <w:szCs w:val="20"/>
          <w:color w:val="auto"/>
        </w:rPr>
      </w:pPr>
    </w:p>
    <w:p>
      <w:pPr>
        <w:ind w:left="620" w:hanging="184"/>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represents and warrants to, and agrees with, each of the Underwriters that:</w:t>
      </w:r>
    </w:p>
    <w:p>
      <w:pPr>
        <w:spacing w:after="0" w:line="117" w:lineRule="exact"/>
        <w:rPr>
          <w:rFonts w:ascii="Arial" w:cs="Arial" w:eastAsia="Arial" w:hAnsi="Arial"/>
          <w:sz w:val="18"/>
          <w:szCs w:val="18"/>
          <w:color w:val="auto"/>
        </w:rPr>
      </w:pPr>
    </w:p>
    <w:p>
      <w:pPr>
        <w:ind w:left="440" w:right="80" w:firstLine="419"/>
        <w:spacing w:after="0" w:line="270" w:lineRule="auto"/>
        <w:tabs>
          <w:tab w:leader="none" w:pos="1108" w:val="left"/>
        </w:tabs>
        <w:numPr>
          <w:ilvl w:val="1"/>
          <w:numId w:val="2"/>
        </w:numPr>
        <w:rPr>
          <w:rFonts w:ascii="Arial" w:cs="Arial" w:eastAsia="Arial" w:hAnsi="Arial"/>
          <w:sz w:val="17"/>
          <w:szCs w:val="17"/>
          <w:color w:val="auto"/>
        </w:rPr>
      </w:pPr>
      <w:r>
        <w:rPr>
          <w:rFonts w:ascii="Arial" w:cs="Arial" w:eastAsia="Arial" w:hAnsi="Arial"/>
          <w:sz w:val="17"/>
          <w:szCs w:val="17"/>
          <w:color w:val="auto"/>
        </w:rPr>
        <w:t>A registration statement on Form S-3 (File No. 333-260754) (the “Initial Registration Statement”) in respect of the Shares has been filed with the Securities and Exchange Commission (the “Commission”); the Initial Registration Statement and any post-effective amendment thereto, each in the form heretofore delivered to you, became effective upon filing or has been declared effective by the Commission in such form, as the case may be; other than a registration statement, if any, increasing the size of the offering (a “Rule 462(b) Registration Statement”), filed pursuant to Rule 462(b) under the Securities Act of 1933, as amended (the “Act”), which became effective upon filing, no other document with respect to the Initial Registration Statement or document incorporated by reference therein has been filed, or transmitted for filing, with the Commission (other than prospectuses filed pursuant to Rule 424(b) of the rules and regulations of the Commission under the Act, each in the form heretofore delivered to the Representatives); and no stop order suspending the effectiveness of the Initial Registration Statement, any post-effective amendment thereto or any part thereof or the Rule</w:t>
      </w:r>
    </w:p>
    <w:p>
      <w:pPr>
        <w:sectPr>
          <w:pgSz w:w="11900" w:h="16838" w:orient="portrait"/>
          <w:cols w:equalWidth="0" w:num="1">
            <w:col w:w="11020"/>
          </w:cols>
          <w:pgMar w:left="440" w:top="121" w:right="439" w:bottom="1440" w:gutter="0" w:footer="0" w:header="0"/>
        </w:sectPr>
      </w:pPr>
    </w:p>
    <w:bookmarkStart w:id="4" w:name="page5"/>
    <w:bookmarkEnd w:id="4"/>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462(b) Registration Statement, if any, has been issued and no proceeding for that purpose or pursuant to Section 8A of the Act has been initiated or threatened by the Commission (the base prospectus filed as part of the Initial Registration Statement, in the form in which it has most recently been filed with the Commission on or prior to the date of this Agreement relating to the Shares, is hereinafter called the “Basic Prospectus”; any preliminary prospectus (including any preliminary prospectus supplement) relating to the Shares filed with the Commission pursuant to Rule 424(b) under the Act is hereinafter called a “Preliminary Prospectus”; the various parts of the Initial Registration Statement and the Rule 462(b) Registration Statement, if any, including all exhibits thereto but excluding Form T-1 and including any prospectus supplement relating to the Shares that is filed with the Commission and deemed by virtue of Rule 430B under the Act to be part of the Initial Registration Statement, each as amended at the time such part of the Initial Registration Statement became effective or such part of the Rule 462(b) Registration Statement, if any, became or hereafter becomes effective, are hereinafter collectively called the “Registration Statement”; the Basic Prospectus, as amended and supplemented immediately prior to the Applicable Time (as defined in Section 1(c) hereof), is hereinafter called the “Pricing Prospectus”; the form of the final prospectus relating to the Shares filed with the Commission pursuant to Rule 424(b) under the Act in accordance with</w:t>
      </w:r>
    </w:p>
    <w:p>
      <w:pPr>
        <w:spacing w:after="0" w:line="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Section 5(a) hereof is hereinafter called the “Prospectus”; any reference herein to the Basic Prospectus, the Pricing Prospectus, any Preliminary Prospectus or the Prospectus shall be deemed to refer to and include the documents incorporated by reference therein pursuant to Item 12 of Form S-3, as of the date of such prospectus; any reference to any amendment or supplement to the Basic Prospectus, any Preliminary Prospectus or the Prospectus shall be deemed to refer to and include any post-effective amendment to the Registration Statement, any prospectus supplement relating to the Shares filed with the Commission pursuant to Rule 424(b) under the Act and any documents filed under the Securities Exchange Act of 1934, as amended (the “Exchange Act”), and incorporated therein, in each case after the date of the Basic Prospectus, such Preliminary Prospectus, or the Prospectus, as the case may be; any reference to any amendment to the Registration Statement shall be deemed to refer to and include any annual report of the Company filed pursuant to Section 13(a) or 15(d) of the Exchange Act after the effective date of the Registration Statement that is incorporated by reference in the Registration Statement; any oral or written communication with potential investors undertaken in reliance on Section 5(d) of the Act or Rule 163B under the Act is hereinafter called a “Testing-the-Waters Communication”; and any Testing-the-Waters Communication that is a written communication within the meaning of Rule 405 under the Act is hereinafter called a “Written Testing-the-Waters Communication”; and any “issuer free writing prospectus” as defined in Rule 433 under the Act relating to the Shares is hereinafter called an “Issuer Free Writing Prospectus”);</w:t>
      </w:r>
    </w:p>
    <w:p>
      <w:pPr>
        <w:spacing w:after="0" w:line="61" w:lineRule="exact"/>
        <w:rPr>
          <w:sz w:val="20"/>
          <w:szCs w:val="20"/>
          <w:color w:val="auto"/>
        </w:rPr>
      </w:pPr>
    </w:p>
    <w:p>
      <w:pPr>
        <w:ind w:right="120" w:firstLine="419"/>
        <w:spacing w:after="0" w:line="273" w:lineRule="auto"/>
        <w:tabs>
          <w:tab w:leader="none" w:pos="678" w:val="left"/>
        </w:tabs>
        <w:numPr>
          <w:ilvl w:val="0"/>
          <w:numId w:val="3"/>
        </w:numPr>
        <w:rPr>
          <w:rFonts w:ascii="Arial" w:cs="Arial" w:eastAsia="Arial" w:hAnsi="Arial"/>
          <w:sz w:val="17"/>
          <w:szCs w:val="17"/>
          <w:color w:val="auto"/>
        </w:rPr>
      </w:pPr>
      <w:r>
        <w:rPr>
          <w:rFonts w:ascii="Arial" w:cs="Arial" w:eastAsia="Arial" w:hAnsi="Arial"/>
          <w:sz w:val="17"/>
          <w:szCs w:val="17"/>
          <w:color w:val="auto"/>
        </w:rPr>
        <w:t>(A) No order preventing or suspending the use of any Preliminary Prospectus or any Issuer Free Writing Prospectus has been issued by the Commission, and (B) each Preliminary Prospectus, at the time of filing thereof, conformed in all material respects to the requirements of the Act and the rules and regulations of the Commission thereunder, and did not contain an untrue statement of a material fact or omit to state a material fact required to be stated therein or necessary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11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20"/>
          </w:cols>
          <w:pgMar w:left="880" w:top="274" w:right="499" w:bottom="1440" w:gutter="0" w:footer="0" w:header="0"/>
        </w:sectPr>
      </w:pPr>
    </w:p>
    <w:bookmarkStart w:id="5" w:name="page6"/>
    <w:bookmarkEnd w:id="5"/>
    <w:p>
      <w:pPr>
        <w:ind w:right="40" w:firstLine="419"/>
        <w:spacing w:after="0" w:line="269" w:lineRule="auto"/>
        <w:tabs>
          <w:tab w:leader="none" w:pos="668" w:val="left"/>
        </w:tabs>
        <w:numPr>
          <w:ilvl w:val="0"/>
          <w:numId w:val="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this Agreement, the “Applicable Time” is 6:45 p.m. (Eastern time) on the date of this Agreement. The Pricing Prospectus, as supplemented by the information listed on Schedule II(c) hereto, taken together (collectively, the “Pricing Disclosure Package”), as of the Applicable Time, did not, and as of each Time of Delivery (as defined in Section 4(a) of this Agreement) will not, include any untrue statement of a material fact or omit to state any material fact necessary in order to make the statements therein, in the light of the circumstances under which they were made, not misleading; and each Issuer Free Writing Prospectus and each Written Testing-the-Waters Communication does not conflict with the information contained in the Registration Statement, the Pricing Prospectus or the Prospectus and each Issuer Free Writing Prospectus and each Written Testing-the-Waters Communication, as supplemented by and taken together with the Pricing Disclosure Package, as of the Applicable Time, did not, and as of each Time of Delivery will not, include any untrue statement of a material fact or omit to state any material fact necessary in order to make the statements therein, in the light of the circumstances under which they were made, not misleading; provided, however, that this representation and warranty shall not apply to statements or omissions made in reliance upon and in conformity with the Underwriter Information;</w:t>
      </w:r>
    </w:p>
    <w:p>
      <w:pPr>
        <w:spacing w:after="0" w:line="73" w:lineRule="exact"/>
        <w:rPr>
          <w:rFonts w:ascii="Arial" w:cs="Arial" w:eastAsia="Arial" w:hAnsi="Arial"/>
          <w:sz w:val="17"/>
          <w:szCs w:val="17"/>
          <w:color w:val="auto"/>
        </w:rPr>
      </w:pPr>
    </w:p>
    <w:p>
      <w:pPr>
        <w:ind w:right="40" w:firstLine="419"/>
        <w:spacing w:after="0" w:line="287" w:lineRule="auto"/>
        <w:tabs>
          <w:tab w:leader="none" w:pos="678"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documents incorporated by reference in the Pricing Prospectus and the Prospectus, when they became effective or were filed with the Commission, as the case may be, conformed in all material respects to the requirements of the Act or the Exchange Act, as applicable, and the rules and regulations of the Commission thereunder, and none of such documents contained an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Pricing Prospectus and the Prospectus or any further amendment or supplement thereto, when such documents become effective or are filed with the Commission, as the case may be, will conform in all material respects to the requirements of the Act or the Exchange Act, as applicable, and the rules and regulations of the Commission thereunder and will not contain an untrue statement of a material fact or omit to state a material fact required to be stated therein or necessary to make the statements therein, in the light of the circumstances under which they were made, not misleading;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this representation and warranty shall not apply to any statements or omissions made in reliance upon and in conformity with the Underwriter Information; and no such documents were filed by the Company with the Commission since the Commission’s close of business on the business day immediately prior to the date of this Agreement and prior to the execution of this Agreement, except as set forth on Schedule II(b) hereto;</w:t>
      </w:r>
    </w:p>
    <w:p>
      <w:pPr>
        <w:spacing w:after="0" w:line="59" w:lineRule="exact"/>
        <w:rPr>
          <w:rFonts w:ascii="Arial" w:cs="Arial" w:eastAsia="Arial" w:hAnsi="Arial"/>
          <w:sz w:val="16"/>
          <w:szCs w:val="16"/>
          <w:color w:val="auto"/>
        </w:rPr>
      </w:pPr>
    </w:p>
    <w:p>
      <w:pPr>
        <w:ind w:firstLine="419"/>
        <w:spacing w:after="0" w:line="254" w:lineRule="auto"/>
        <w:tabs>
          <w:tab w:leader="none" w:pos="668"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Registration Statement conforms, and the Prospectus and any further amendments or supplements to the Registration Statement and the Prospectus, on the date when such prospectus is filed, will conform, in all material respects to the requirements of the Act and the rules and regulations of the Commission thereunder and do not and will not, as of the applicable effective date as to each part of the Registration Statement, as of the applicable filing date as to the Prospectus and any amendment or supplement thereto, and as of each Time of Delivery,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the Underwriter Information;</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40"/>
          </w:cols>
          <w:pgMar w:left="880" w:top="274" w:right="479" w:bottom="1440" w:gutter="0" w:footer="0" w:header="0"/>
        </w:sectPr>
      </w:pPr>
    </w:p>
    <w:bookmarkStart w:id="6" w:name="page7"/>
    <w:bookmarkEnd w:id="6"/>
    <w:p>
      <w:pPr>
        <w:ind w:firstLine="419"/>
        <w:spacing w:after="0" w:line="286" w:lineRule="auto"/>
        <w:tabs>
          <w:tab w:leader="none" w:pos="648" w:val="left"/>
        </w:tabs>
        <w:numPr>
          <w:ilvl w:val="0"/>
          <w:numId w:val="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its subsidiary has, since the date of the latest audited financial statements included or incorporated by reference in the Pricing Prospectus, (i) sustained any material loss or material interference with its business from fire, explosion, flood or other calamity, whether or not covered by insurance, or from any labor dispute or court or governmental action, order or decree or (ii) entered into any transaction or agreement (whether or not in the ordinary course of business) that is material to the Company and its subsidiary taken as a whole or incurred any liability or obligation, direct or contingent, that is material to the Company and its subsidiary taken as a whole, in each case otherwise than as set forth or contemplated in the Pricing Prospectus; and, since the respective dates as of which information is given in the Registration Statement and the Pricing Prospectus, there has not been (x) any change in the capital stock (other than as a result of (i) the exercise, if any, of stock options or the award, if any, of stock options or restricted stock in the ordinary course of business pursuant to the Company’s equity plans that are described in the Pricing Prospectus and the Prospectus or (ii) the issuance, if any, of stock upon conversion of Company securities as described in the Pricing Prospectus and the Prospectus) or long term debt of the Company or its subsidiary or (y) any Material Adverse Effect (as defined below); as used in this Agreement, “Material Adverse Effect” shall mean any material adverse change or effect, or any development involving a prospective material adverse change or effect, in or affecting (i) the business, properties, general affairs, management, financial position, prospects, stockholders’ equity or results of operations of the Company and its subsidiary, taken as a whole, except as set forth or contemplated in the Pricing Prospectus, or (ii) the ability of the Company to perform its obligations under this Agreement, including the issuance and sale of the Shares, or to consummate the transactions contemplated in the Pricing Prospectus and the Prospectus;</w:t>
      </w:r>
    </w:p>
    <w:p>
      <w:pPr>
        <w:spacing w:after="0" w:line="59" w:lineRule="exact"/>
        <w:rPr>
          <w:rFonts w:ascii="Arial" w:cs="Arial" w:eastAsia="Arial" w:hAnsi="Arial"/>
          <w:sz w:val="16"/>
          <w:szCs w:val="16"/>
          <w:color w:val="auto"/>
        </w:rPr>
      </w:pPr>
    </w:p>
    <w:p>
      <w:pPr>
        <w:ind w:right="40" w:firstLine="419"/>
        <w:spacing w:after="0" w:line="273" w:lineRule="auto"/>
        <w:tabs>
          <w:tab w:leader="none" w:pos="67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and its subsidiary do not own any real property and have good and marketable title to all personal property owned by them, in each case free and clear of all liens, encumbrances and defects except such as are described in the Pricing Prospectus and the Prospectus or such as do not materially affect the value of such property and do not materially interfere with the use made and proposed to be made of such property by the Company and its subsidiary; and any real property and buildings held under lease by the Company and its subsidiary are held by them under valid, subsisting and enforceable leases with such exceptions as are not material and do not materially interfere with the use made and proposed to be made of such property and buildings by the Company and its subsidiary;</w:t>
      </w:r>
    </w:p>
    <w:p>
      <w:pPr>
        <w:spacing w:after="0" w:line="69" w:lineRule="exact"/>
        <w:rPr>
          <w:rFonts w:ascii="Arial" w:cs="Arial" w:eastAsia="Arial" w:hAnsi="Arial"/>
          <w:sz w:val="17"/>
          <w:szCs w:val="17"/>
          <w:color w:val="auto"/>
        </w:rPr>
      </w:pPr>
    </w:p>
    <w:p>
      <w:pPr>
        <w:ind w:right="20" w:firstLine="419"/>
        <w:spacing w:after="0" w:line="272" w:lineRule="auto"/>
        <w:tabs>
          <w:tab w:leader="none" w:pos="678"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 and subsidiary has been (i) duly organized and is validly existing as a corporation and in good standing under the laws of its jurisdiction of organization, with corporate power and authority to own and/or lease its properties and conduct its business as described in the Pricing Prospectus, and (ii) duly qualified as a foreign corporation or other form of entity for the transaction of business and is in good standing under the laws of each other jurisdiction in which it owns or leases properties or conducts any business so as to require such qualification, except, in the case of this clause (ii), where the failure to be so qualified or in good standing would not, individually or in the aggregate, reasonably be expected to have a Material Adverse Effect; and each subsidiary of the Company has been listed in Exhibit 21.1 to the Annual Report on Form 10-K filed by the Company with the Commission on March 3, 2022;</w:t>
      </w:r>
    </w:p>
    <w:p>
      <w:pPr>
        <w:spacing w:after="0" w:line="69" w:lineRule="exact"/>
        <w:rPr>
          <w:rFonts w:ascii="Arial" w:cs="Arial" w:eastAsia="Arial" w:hAnsi="Arial"/>
          <w:sz w:val="17"/>
          <w:szCs w:val="17"/>
          <w:color w:val="auto"/>
        </w:rPr>
      </w:pPr>
    </w:p>
    <w:p>
      <w:pPr>
        <w:ind w:right="80" w:firstLine="419"/>
        <w:spacing w:after="0" w:line="275" w:lineRule="auto"/>
        <w:tabs>
          <w:tab w:leader="none" w:pos="63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has an authorized capitalization as set forth in the Pricing Prospectus and all of the issued shares of capital stock of the Company have been duly and validly authorized and issued and are fully paid and non-assessable and conform to the description of the Stock contained in the Pricing Disclosure Package and the Prospectus; and all of the issued shares of capital stock of the Company’s subsidiary have been duly and validly authorized and issued, are fully paid and non-assessable and are owned directly by the Company, free and clear of all liens, encumbrances, equities or claims; and the Shares to be issued and sold by the</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7" w:name="page8"/>
    <w:bookmarkEnd w:id="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to the Underwriters hereunder have been duly and validly authorized and, when issued and delivered against payment therefor as provided herein, will be duly and validly issued and fully paid and non-assessable and will conform to the description of the Stock contained in the Pricing Disclosure Package and the Prospectus; and the issuance of the Shares is not subject to any preemptive or similar rights, except as have been validly waived or complied with in connection with the offering of the Shares;</w:t>
      </w:r>
    </w:p>
    <w:p>
      <w:pPr>
        <w:spacing w:after="0" w:line="79" w:lineRule="exact"/>
        <w:rPr>
          <w:sz w:val="20"/>
          <w:szCs w:val="20"/>
          <w:color w:val="auto"/>
        </w:rPr>
      </w:pPr>
    </w:p>
    <w:p>
      <w:pPr>
        <w:ind w:right="20" w:firstLine="419"/>
        <w:spacing w:after="0" w:line="268" w:lineRule="auto"/>
        <w:tabs>
          <w:tab w:leader="none" w:pos="63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issue and sale of the Shares and the compliance by the Company with this Agreement and the consummation of the transactions contemplated in this Agreement and the Pricing Prospectus and the Prospectus will not conflict with or result in a breach or violation of any of the terms or provisions of, or constitute a default under, (A) any indenture, mortgage, deed of trust, loan agreement, lease or other agreement or instrument to which the Company or its subsidiary is a party or by which the Company or its subsidiary is bound or to which any of the property or assets of the Company or its subsidiary is subject, (B) the certificate of incorporation or by-laws (or other applicable organizational document) of the Company or its subsidiary, or (C) any statute or any judgment, order, rule or regulation of any court or governmental agency or body having jurisdiction over the Company or its subsidiary or any of their properties, except in the case of clauses (A) and (C), for such defaults, breaches or violations that would not, individually or in the aggregate, reasonably be expected to have a Material Adverse Effect; and no consent, approval, authorization, order, registration or qualification of or with any such court or governmental agency or body is required for the issue and sale of the Shares or the consummation by the Company of the transactions contemplated by this Agreement, except such as have been obtained under the Act, the approval for listing the Shares on The Nasdaq Global Market (the “Exchange”) and for such consents, approvals, authorizations, orders, registrations or qualifications as may be required under state securities or Blue Sky laws in connection with the purchase and distribution of the Shares by the Underwriters;</w:t>
      </w:r>
    </w:p>
    <w:p>
      <w:pPr>
        <w:spacing w:after="0" w:line="78" w:lineRule="exact"/>
        <w:rPr>
          <w:rFonts w:ascii="Arial" w:cs="Arial" w:eastAsia="Arial" w:hAnsi="Arial"/>
          <w:sz w:val="17"/>
          <w:szCs w:val="17"/>
          <w:color w:val="auto"/>
        </w:rPr>
      </w:pPr>
    </w:p>
    <w:p>
      <w:pPr>
        <w:ind w:right="60" w:firstLine="419"/>
        <w:spacing w:after="0" w:line="272" w:lineRule="auto"/>
        <w:tabs>
          <w:tab w:leader="none" w:pos="678" w:val="left"/>
        </w:tabs>
        <w:numPr>
          <w:ilvl w:val="0"/>
          <w:numId w:val="6"/>
        </w:numPr>
        <w:rPr>
          <w:rFonts w:ascii="Arial" w:cs="Arial" w:eastAsia="Arial" w:hAnsi="Arial"/>
          <w:sz w:val="17"/>
          <w:szCs w:val="17"/>
          <w:color w:val="auto"/>
        </w:rPr>
      </w:pPr>
      <w:r>
        <w:rPr>
          <w:rFonts w:ascii="Arial" w:cs="Arial" w:eastAsia="Arial" w:hAnsi="Arial"/>
          <w:sz w:val="17"/>
          <w:szCs w:val="17"/>
          <w:color w:val="auto"/>
        </w:rPr>
        <w:t>Other than as set forth in the Pricing Prospectus, there are no legal, governmental or regulatory investigations, actions, demands, claims, suits, arbitrations, inquiries or proceedings (“Actions”) pending to which the Company or its subsidiary or, to the Company’s knowledge, any officer or director of the Company is a party or of which any property or assets of the Company or its subsidiary or, to the Company’s knowledge, any officer or director of the Company is the subject which, if determined adversely to the Company or its subsidiary (or such officer or director), would individually or in the aggregate have a Material Adverse Effect; and, to the Company’s knowledge, no such proceedings are threatened or contemplated by governmental authorities or others; there are no current or pending Actions that are required under the Act to be described in the Registration Statement or the Pricing Prospectus that are not so described therein;</w:t>
      </w:r>
    </w:p>
    <w:p>
      <w:pPr>
        <w:spacing w:after="0" w:line="69" w:lineRule="exact"/>
        <w:rPr>
          <w:rFonts w:ascii="Arial" w:cs="Arial" w:eastAsia="Arial" w:hAnsi="Arial"/>
          <w:sz w:val="17"/>
          <w:szCs w:val="17"/>
          <w:color w:val="auto"/>
        </w:rPr>
      </w:pPr>
    </w:p>
    <w:p>
      <w:pPr>
        <w:ind w:firstLine="419"/>
        <w:spacing w:after="0" w:line="293" w:lineRule="auto"/>
        <w:tabs>
          <w:tab w:leader="none" w:pos="638" w:val="left"/>
        </w:tabs>
        <w:numPr>
          <w:ilvl w:val="0"/>
          <w:numId w:val="6"/>
        </w:numPr>
        <w:rPr>
          <w:rFonts w:ascii="Arial" w:cs="Arial" w:eastAsia="Arial" w:hAnsi="Arial"/>
          <w:sz w:val="16"/>
          <w:szCs w:val="16"/>
          <w:color w:val="auto"/>
        </w:rPr>
      </w:pPr>
      <w:r>
        <w:rPr>
          <w:rFonts w:ascii="Arial" w:cs="Arial" w:eastAsia="Arial" w:hAnsi="Arial"/>
          <w:sz w:val="16"/>
          <w:szCs w:val="16"/>
          <w:color w:val="auto"/>
        </w:rPr>
        <w:t>Neither the Company nor its subsidiary is (i) in violation of its certificate of incorporation or by-laws (or other applicable organizational document), (ii) in violation of any statute or any judgment, order, rule or regulation of any court or governmental agency or body having jurisdiction over the Company or its subsidiary or any of their properties, or (iii) in default in the performance or observance of any obligation, agreement, covenant or condition contained in any indenture, mortgage, deed of trust, loan agreement, lease or other agreement or instrument to which it is a party or by which it or any of its properties may be bound, except, in the case of the foregoing clauses (ii) and (iii), for such violations or defaults as would not, individually or in the aggregate, reasonably be expected to have a Material Adverse Effect;</w:t>
      </w:r>
    </w:p>
    <w:p>
      <w:pPr>
        <w:spacing w:after="0" w:line="9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8" w:name="page9"/>
    <w:bookmarkEnd w:id="8"/>
    <w:p>
      <w:pPr>
        <w:ind w:left="4" w:right="460" w:firstLine="419"/>
        <w:spacing w:after="0" w:line="308" w:lineRule="auto"/>
        <w:tabs>
          <w:tab w:leader="none" w:pos="731" w:val="left"/>
        </w:tabs>
        <w:numPr>
          <w:ilvl w:val="1"/>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statements set forth in the Pricing Prospectus and Prospectus under the caption “Description of Capital Stock”, insofar as they purport to constitute a summary of the terms of the Stock, are accurate, complete and fair in all material respects;</w:t>
      </w:r>
    </w:p>
    <w:p>
      <w:pPr>
        <w:spacing w:after="0" w:line="38" w:lineRule="exact"/>
        <w:rPr>
          <w:rFonts w:ascii="Arial" w:cs="Arial" w:eastAsia="Arial" w:hAnsi="Arial"/>
          <w:sz w:val="17"/>
          <w:szCs w:val="17"/>
          <w:color w:val="auto"/>
        </w:rPr>
      </w:pPr>
    </w:p>
    <w:p>
      <w:pPr>
        <w:ind w:left="4" w:right="80" w:firstLine="419"/>
        <w:spacing w:after="0" w:line="277" w:lineRule="auto"/>
        <w:tabs>
          <w:tab w:leader="none" w:pos="681"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will not be an “investment company”, as such term is defined in the Investment Company Act of 1940, as amended;</w:t>
      </w:r>
    </w:p>
    <w:p>
      <w:pPr>
        <w:spacing w:after="0" w:line="62" w:lineRule="exact"/>
        <w:rPr>
          <w:rFonts w:ascii="Arial" w:cs="Arial" w:eastAsia="Arial" w:hAnsi="Arial"/>
          <w:sz w:val="18"/>
          <w:szCs w:val="18"/>
          <w:color w:val="auto"/>
        </w:rPr>
      </w:pPr>
    </w:p>
    <w:p>
      <w:pPr>
        <w:jc w:val="both"/>
        <w:ind w:left="4" w:right="220" w:firstLine="419"/>
        <w:spacing w:after="0" w:line="286" w:lineRule="auto"/>
        <w:tabs>
          <w:tab w:leader="none" w:pos="681" w:val="left"/>
        </w:tabs>
        <w:numPr>
          <w:ilvl w:val="1"/>
          <w:numId w:val="7"/>
        </w:numPr>
        <w:rPr>
          <w:rFonts w:ascii="Arial" w:cs="Arial" w:eastAsia="Arial" w:hAnsi="Arial"/>
          <w:sz w:val="17"/>
          <w:szCs w:val="17"/>
          <w:color w:val="auto"/>
        </w:rPr>
      </w:pPr>
      <w:r>
        <w:rPr>
          <w:rFonts w:ascii="Arial" w:cs="Arial" w:eastAsia="Arial" w:hAnsi="Arial"/>
          <w:sz w:val="17"/>
          <w:szCs w:val="17"/>
          <w:color w:val="auto"/>
        </w:rPr>
        <w:t>At the time of filing the Initial Registration Statement and any post-effective amendment thereto, at the earliest time thereafter that the Company or any offering participant made a bona fide offer (within the meaning of Rule 164(h)(2) under the Act) of the Shares, and at the date hereof, the Company was not and is not an “ineligible issuer,” as defined in Rule 405 under the Act;</w:t>
      </w:r>
    </w:p>
    <w:p>
      <w:pPr>
        <w:spacing w:after="0" w:line="57" w:lineRule="exact"/>
        <w:rPr>
          <w:rFonts w:ascii="Arial" w:cs="Arial" w:eastAsia="Arial" w:hAnsi="Arial"/>
          <w:sz w:val="17"/>
          <w:szCs w:val="17"/>
          <w:color w:val="auto"/>
        </w:rPr>
      </w:pPr>
    </w:p>
    <w:p>
      <w:pPr>
        <w:ind w:left="4" w:right="640" w:firstLine="419"/>
        <w:spacing w:after="0" w:line="277" w:lineRule="auto"/>
        <w:tabs>
          <w:tab w:leader="none" w:pos="681" w:val="left"/>
        </w:tabs>
        <w:numPr>
          <w:ilvl w:val="1"/>
          <w:numId w:val="7"/>
        </w:numPr>
        <w:rPr>
          <w:rFonts w:ascii="Arial" w:cs="Arial" w:eastAsia="Arial" w:hAnsi="Arial"/>
          <w:sz w:val="18"/>
          <w:szCs w:val="18"/>
          <w:color w:val="auto"/>
        </w:rPr>
      </w:pPr>
      <w:r>
        <w:rPr>
          <w:rFonts w:ascii="Arial" w:cs="Arial" w:eastAsia="Arial" w:hAnsi="Arial"/>
          <w:sz w:val="18"/>
          <w:szCs w:val="18"/>
          <w:color w:val="auto"/>
        </w:rPr>
        <w:t>Ernst &amp; Young LLP, which has certified certain financial statements of the Company and its subsidiary, is an independent public accounting firm as required by the Act and the rules and regulations of the Commission thereunder;</w:t>
      </w:r>
    </w:p>
    <w:p>
      <w:pPr>
        <w:spacing w:after="0" w:line="62" w:lineRule="exact"/>
        <w:rPr>
          <w:rFonts w:ascii="Arial" w:cs="Arial" w:eastAsia="Arial" w:hAnsi="Arial"/>
          <w:sz w:val="18"/>
          <w:szCs w:val="18"/>
          <w:color w:val="auto"/>
        </w:rPr>
      </w:pPr>
    </w:p>
    <w:p>
      <w:pPr>
        <w:ind w:left="4" w:right="180" w:firstLine="419"/>
        <w:spacing w:after="0" w:line="285" w:lineRule="auto"/>
        <w:tabs>
          <w:tab w:leader="none" w:pos="681"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Company maintains a system of internal control over financial reporting (as such term is defined in Rule 13a-15(f) under the Exchange Act) that (i) complies with the requirements of the Exchange Act, (ii) has been designed by the Company’s principal executive officer and principal financial officer, or under their supervision, to provide reasonable assurance regarding the reliability of financial reporting and the preparation of financial statements for external purposes in accordance with generally accepted accounting principles and (iii) is sufficient to provide reasonable assurance that (A) transactions are executed in accordance with management’s general or specific authorization,</w:t>
      </w:r>
    </w:p>
    <w:p>
      <w:pPr>
        <w:spacing w:after="0" w:line="1" w:lineRule="exact"/>
        <w:rPr>
          <w:rFonts w:ascii="Arial" w:cs="Arial" w:eastAsia="Arial" w:hAnsi="Arial"/>
          <w:sz w:val="16"/>
          <w:szCs w:val="16"/>
          <w:color w:val="auto"/>
        </w:rPr>
      </w:pPr>
    </w:p>
    <w:p>
      <w:pPr>
        <w:ind w:left="4" w:right="200" w:hanging="4"/>
        <w:spacing w:after="0" w:line="271" w:lineRule="auto"/>
        <w:tabs>
          <w:tab w:leader="none" w:pos="288" w:val="left"/>
        </w:tabs>
        <w:numPr>
          <w:ilvl w:val="0"/>
          <w:numId w:val="8"/>
        </w:numPr>
        <w:rPr>
          <w:rFonts w:ascii="Arial" w:cs="Arial" w:eastAsia="Arial" w:hAnsi="Arial"/>
          <w:sz w:val="17"/>
          <w:szCs w:val="17"/>
          <w:color w:val="auto"/>
        </w:rPr>
      </w:pPr>
      <w:r>
        <w:rPr>
          <w:rFonts w:ascii="Arial" w:cs="Arial" w:eastAsia="Arial" w:hAnsi="Arial"/>
          <w:sz w:val="17"/>
          <w:szCs w:val="17"/>
          <w:color w:val="auto"/>
        </w:rPr>
        <w:t>transactions are recorded as necessary to permit preparation of financial statements in conformity with generally accepted accounting principles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and the Company’s internal control over financial reporting is effective and the Company is not aware of any material weaknesses in its internal control over financial reporting;</w:t>
      </w:r>
    </w:p>
    <w:p>
      <w:pPr>
        <w:spacing w:after="0" w:line="70" w:lineRule="exact"/>
        <w:rPr>
          <w:rFonts w:ascii="Arial" w:cs="Arial" w:eastAsia="Arial" w:hAnsi="Arial"/>
          <w:sz w:val="17"/>
          <w:szCs w:val="17"/>
          <w:color w:val="auto"/>
        </w:rPr>
      </w:pPr>
    </w:p>
    <w:p>
      <w:pPr>
        <w:ind w:left="4" w:firstLine="419"/>
        <w:spacing w:after="0" w:line="263" w:lineRule="auto"/>
        <w:tabs>
          <w:tab w:leader="none" w:pos="651" w:val="left"/>
        </w:tabs>
        <w:numPr>
          <w:ilvl w:val="1"/>
          <w:numId w:val="8"/>
        </w:numPr>
        <w:rPr>
          <w:rFonts w:ascii="Arial" w:cs="Arial" w:eastAsia="Arial" w:hAnsi="Arial"/>
          <w:sz w:val="18"/>
          <w:szCs w:val="18"/>
          <w:color w:val="auto"/>
        </w:rPr>
      </w:pPr>
      <w:r>
        <w:rPr>
          <w:rFonts w:ascii="Arial" w:cs="Arial" w:eastAsia="Arial" w:hAnsi="Arial"/>
          <w:sz w:val="18"/>
          <w:szCs w:val="18"/>
          <w:color w:val="auto"/>
        </w:rPr>
        <w:t>Since the date of the latest audited financial statements included or incorporated by reference in the Pricing Prospectus and the Prospectus, there has been no change in the Company’s internal control over financial reporting that has materially affected, or is reasonably likely to materially affect, the Company’s internal control over financial reporting;</w:t>
      </w:r>
    </w:p>
    <w:p>
      <w:pPr>
        <w:spacing w:after="0" w:line="75" w:lineRule="exact"/>
        <w:rPr>
          <w:rFonts w:ascii="Arial" w:cs="Arial" w:eastAsia="Arial" w:hAnsi="Arial"/>
          <w:sz w:val="18"/>
          <w:szCs w:val="18"/>
          <w:color w:val="auto"/>
        </w:rPr>
      </w:pPr>
    </w:p>
    <w:p>
      <w:pPr>
        <w:ind w:left="4" w:right="40" w:firstLine="419"/>
        <w:spacing w:after="0" w:line="259" w:lineRule="auto"/>
        <w:tabs>
          <w:tab w:leader="none" w:pos="661"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subsidiary is made known to the Company’s principal executive officer and principal financial officer by others within those entities; and such disclosure controls and procedures are effective;</w:t>
      </w:r>
    </w:p>
    <w:p>
      <w:pPr>
        <w:spacing w:after="0" w:line="119"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4"/>
          </w:cols>
          <w:pgMar w:left="876" w:top="274" w:right="459" w:bottom="1440" w:gutter="0" w:footer="0" w:header="0"/>
        </w:sectPr>
      </w:pPr>
    </w:p>
    <w:bookmarkStart w:id="9" w:name="page10"/>
    <w:bookmarkEnd w:id="9"/>
    <w:p>
      <w:pPr>
        <w:ind w:firstLine="419"/>
        <w:spacing w:after="0" w:line="253" w:lineRule="auto"/>
        <w:tabs>
          <w:tab w:leader="none" w:pos="638"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its subsidiary, nor any director, officer, or employee of the Company or its subsidiary nor, to the knowledge of the Company, any agent, affiliate or other person associated with or acting on behalf of the Company or its subsidiary has (i) made, offered, promised or authorized any unlawful contribution, gift, entertainment or other unlawful expense (or taken any act in furtherance thereof); (ii) made, offered, promised or authorized any direct or indirect unlawful payment; or (iii) violated or is in violation of any provision of the Foreign Corrupt Practices Act of 1977, as amended, or the rules and regulations thereunder, the Bribery Act 2010 of the United Kingdom or any other applicable anti-corruption, anti-bribery or related law, statute or regulation (collectively, “Anti-Corruption Laws”); the Company and its subsidiary have conducted their businesses in compliance with Anti-Corruption Laws and have instituted and maintained and will continue to maintain policies and procedures reasonably designed to promote and achieve compliance with such laws and with the representations and warranties contained herein; neither the Company nor its subsidiary will use, directly or indirectly, the proceeds of the offering in furtherance of an offer, payment, promise to pay, or authorization of the payment or giving of money, or anything else of value, to any person in violation of Anti-Corruption Laws;</w:t>
      </w:r>
    </w:p>
    <w:p>
      <w:pPr>
        <w:spacing w:after="0" w:line="83" w:lineRule="exact"/>
        <w:rPr>
          <w:rFonts w:ascii="Arial" w:cs="Arial" w:eastAsia="Arial" w:hAnsi="Arial"/>
          <w:sz w:val="18"/>
          <w:szCs w:val="18"/>
          <w:color w:val="auto"/>
        </w:rPr>
      </w:pPr>
    </w:p>
    <w:p>
      <w:pPr>
        <w:ind w:firstLine="419"/>
        <w:spacing w:after="0" w:line="272" w:lineRule="auto"/>
        <w:tabs>
          <w:tab w:leader="none" w:pos="67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operations of the Company and its subsidiary are and have been conducted at all times in compliance with the requirements of applicable anti-money laundering laws, including, but not limited to, the Bank Secrecy Act of 1970, as amended by the USA PATRIOT ACT of 2001, and the rules and regulations promulgated thereunder, and the anti-money laundering laws of the various jurisdictions in which the Company and its subsidiary conduct business, the rules and regulations thereunder and any related or similar rules, regulation or guidelines issued, administered or enforced by any governmental agency (collectively, the “Money Laundering Laws”) and no action, suit or proceeding by or before any court or governmental agency, authority or body or any arbitrator involving the Company or its subsidiary with respect to the Money Laundering Laws is pending or, to the knowledge of the Company, threatened;</w:t>
      </w:r>
    </w:p>
    <w:p>
      <w:pPr>
        <w:spacing w:after="0" w:line="69" w:lineRule="exact"/>
        <w:rPr>
          <w:rFonts w:ascii="Arial" w:cs="Arial" w:eastAsia="Arial" w:hAnsi="Arial"/>
          <w:sz w:val="17"/>
          <w:szCs w:val="17"/>
          <w:color w:val="auto"/>
        </w:rPr>
      </w:pPr>
    </w:p>
    <w:p>
      <w:pPr>
        <w:ind w:right="20" w:firstLine="419"/>
        <w:spacing w:after="0" w:line="286" w:lineRule="auto"/>
        <w:tabs>
          <w:tab w:leader="none" w:pos="678" w:val="left"/>
        </w:tabs>
        <w:numPr>
          <w:ilvl w:val="0"/>
          <w:numId w:val="9"/>
        </w:numPr>
        <w:rPr>
          <w:rFonts w:ascii="Arial" w:cs="Arial" w:eastAsia="Arial" w:hAnsi="Arial"/>
          <w:sz w:val="16"/>
          <w:szCs w:val="16"/>
          <w:color w:val="auto"/>
        </w:rPr>
      </w:pPr>
      <w:r>
        <w:rPr>
          <w:rFonts w:ascii="Arial" w:cs="Arial" w:eastAsia="Arial" w:hAnsi="Arial"/>
          <w:sz w:val="16"/>
          <w:szCs w:val="16"/>
          <w:color w:val="auto"/>
        </w:rPr>
        <w:t>Neither the Company nor its subsidiary, nor any director, officer, or employee of the Company or its subsidiary nor, to the knowledge of the Company, any agent, affiliate or other person associated with or acting on behalf of the Company or its subsidiary is (i)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European Union, Her Majesty’s Treasury, the United Nations Security Council, or other relevant sanctions authority (collectively, “Sanctions”), (ii) located, organized, or resident in a country or territory that is the subject or target of Sanctions (a “Sanctioned Jurisdiction”), and the Company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or in any country or territory, that, at the time of such funding, is the subject or the target of Sanctions or (ii) in any other manner that will result in a violation by any person (including any person participating in the transaction, whether as underwriter, advisor, investor or otherwise) of Sanctions; neither the Company nor y its subsidiary is engaged in, or has, at any time in the past five years, engaged in, any dealings or transactions with or involving any individual or entity that was or is, as applicable, at the time of such dealing or transaction, the subject or target of Sanctions or with any Sanctioned Jurisdiction; the Company and its subsidiary have instituted, and maintain, policies and procedures designed to promote and achieve continued compliance with Sanctions;</w:t>
      </w:r>
    </w:p>
    <w:p>
      <w:pPr>
        <w:spacing w:after="0" w:line="62" w:lineRule="exact"/>
        <w:rPr>
          <w:rFonts w:ascii="Arial" w:cs="Arial" w:eastAsia="Arial" w:hAnsi="Arial"/>
          <w:sz w:val="16"/>
          <w:szCs w:val="16"/>
          <w:color w:val="auto"/>
        </w:rPr>
      </w:pPr>
    </w:p>
    <w:p>
      <w:pPr>
        <w:ind w:left="720" w:hanging="301"/>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0" w:name="page11"/>
    <w:bookmarkEnd w:id="10"/>
    <w:p>
      <w:pPr>
        <w:ind w:firstLine="419"/>
        <w:spacing w:after="0" w:line="269"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financial statements included in the Registration Statement, the Pricing Prospectus and the Prospectus, together with the related schedules and notes, present fairly in all material respects the financial position of the Company and its subsidiary at the dates indicated and the statement of operations, stockholders’ equity and cash flows of the Company and its subsidiary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Pricing Prospectus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in the Registration Statement, the Pricing Prospectus or the Prospectus under the Act or the rules and regulations promulgated thereunder;</w:t>
      </w:r>
    </w:p>
    <w:p>
      <w:pPr>
        <w:spacing w:after="0" w:line="77" w:lineRule="exact"/>
        <w:rPr>
          <w:rFonts w:ascii="Arial" w:cs="Arial" w:eastAsia="Arial" w:hAnsi="Arial"/>
          <w:sz w:val="17"/>
          <w:szCs w:val="17"/>
          <w:color w:val="auto"/>
        </w:rPr>
      </w:pPr>
    </w:p>
    <w:p>
      <w:pPr>
        <w:ind w:firstLine="419"/>
        <w:spacing w:after="0" w:line="273" w:lineRule="auto"/>
        <w:tabs>
          <w:tab w:leader="none" w:pos="67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and its subsidiary (i) own or otherwise possess adequate rights to use all material patents, patent applications, trademarks, service marks, trade names, domain names, copyrights and registrations and applications thereof, licenses, know-how, software, systems and technology (including trade secrets and other unpatented and/or unpatentable proprietary or confidential information, systems or procedures and other intellectual property) necessary for the conduct of their respective businesses, (ii) do not, through the conduct of their respective businesses, infringe, violate or conflict with any such right of others and (iii) have not received any written notice of any claim of infringement, violation or conflict with, any such rights of others;</w:t>
      </w:r>
    </w:p>
    <w:p>
      <w:pPr>
        <w:spacing w:after="0" w:line="69" w:lineRule="exact"/>
        <w:rPr>
          <w:rFonts w:ascii="Arial" w:cs="Arial" w:eastAsia="Arial" w:hAnsi="Arial"/>
          <w:sz w:val="17"/>
          <w:szCs w:val="17"/>
          <w:color w:val="auto"/>
        </w:rPr>
      </w:pPr>
    </w:p>
    <w:p>
      <w:pPr>
        <w:ind w:firstLine="419"/>
        <w:spacing w:after="0" w:line="287" w:lineRule="auto"/>
        <w:tabs>
          <w:tab w:leader="none" w:pos="66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Company and its subsidiary’s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subsidiary as currently conducted, free and clear of all material bugs, errors, defects, Trojan horses, time bombs, malware and other corruptants; the Company and its subsidiary have implemented and maintained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subsidiary are presently in compliance in all material respects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00"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00"/>
          </w:cols>
          <w:pgMar w:left="880" w:top="274" w:right="519" w:bottom="1440" w:gutter="0" w:footer="0" w:header="0"/>
        </w:sectPr>
      </w:pPr>
    </w:p>
    <w:bookmarkStart w:id="11" w:name="page12"/>
    <w:bookmarkEnd w:id="11"/>
    <w:p>
      <w:pPr>
        <w:ind w:right="280" w:firstLine="419"/>
        <w:spacing w:after="0" w:line="263" w:lineRule="auto"/>
        <w:tabs>
          <w:tab w:leader="none" w:pos="748"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forward-looking statement (within the meaning of Section 27A of the Act and Section 21E of the Exchange Act) included or incorporated by reference in any of the Registration Statement, the Pricing Prospectus or the Prospectus has been made or reaffirmed without a reasonable basis or has been disclosed other than in good faith;</w:t>
      </w:r>
    </w:p>
    <w:p>
      <w:pPr>
        <w:spacing w:after="0" w:line="75" w:lineRule="exact"/>
        <w:rPr>
          <w:rFonts w:ascii="Arial" w:cs="Arial" w:eastAsia="Arial" w:hAnsi="Arial"/>
          <w:sz w:val="18"/>
          <w:szCs w:val="18"/>
          <w:color w:val="auto"/>
        </w:rPr>
      </w:pPr>
    </w:p>
    <w:p>
      <w:pPr>
        <w:ind w:right="100" w:firstLine="419"/>
        <w:spacing w:after="0" w:line="263" w:lineRule="auto"/>
        <w:tabs>
          <w:tab w:leader="none" w:pos="7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Nothing has come to the attention of the Company that has caused the Company to believe that the statistical and market-related data included in each of the Registration Statement, the Pricing Prospectus and the Prospectus is not based on or derived from sources that are reliable and accurate in all material respects;</w:t>
      </w:r>
    </w:p>
    <w:p>
      <w:pPr>
        <w:spacing w:after="0" w:line="75" w:lineRule="exact"/>
        <w:rPr>
          <w:rFonts w:ascii="Arial" w:cs="Arial" w:eastAsia="Arial" w:hAnsi="Arial"/>
          <w:sz w:val="18"/>
          <w:szCs w:val="18"/>
          <w:color w:val="auto"/>
        </w:rPr>
      </w:pPr>
    </w:p>
    <w:p>
      <w:pPr>
        <w:jc w:val="both"/>
        <w:ind w:firstLine="419"/>
        <w:spacing w:after="0" w:line="286" w:lineRule="auto"/>
        <w:tabs>
          <w:tab w:leader="none" w:pos="7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There is and has been no failure on the part of the Company or any of the Company’s directors or officers, in their capacities as such, to comply with any provision of the Sarbanes-Oxley Act of 2002, as amended and the rules and regulations promulgated in connection therewith (the “Sarbanes-Oxley Act”), including Section 402 related to loans and Sections 302 and 906 related to certifications;</w:t>
      </w:r>
    </w:p>
    <w:p>
      <w:pPr>
        <w:spacing w:after="0" w:line="57" w:lineRule="exact"/>
        <w:rPr>
          <w:rFonts w:ascii="Arial" w:cs="Arial" w:eastAsia="Arial" w:hAnsi="Arial"/>
          <w:sz w:val="17"/>
          <w:szCs w:val="17"/>
          <w:color w:val="auto"/>
        </w:rPr>
      </w:pPr>
    </w:p>
    <w:p>
      <w:pPr>
        <w:ind w:right="500" w:firstLine="419"/>
        <w:spacing w:after="0" w:line="263" w:lineRule="auto"/>
        <w:tabs>
          <w:tab w:leader="none" w:pos="768"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Neither the Company nor any of its affiliates has taken or will take, directly or indirectly, any action designed to or that could reasonably be expected to cause or result in the stabilization or manipulation of the price of any security of the Company or its subsidiary in connection with the offering of the Shares;</w:t>
      </w:r>
    </w:p>
    <w:p>
      <w:pPr>
        <w:spacing w:after="0" w:line="75" w:lineRule="exact"/>
        <w:rPr>
          <w:rFonts w:ascii="Arial" w:cs="Arial" w:eastAsia="Arial" w:hAnsi="Arial"/>
          <w:sz w:val="18"/>
          <w:szCs w:val="18"/>
          <w:color w:val="auto"/>
        </w:rPr>
      </w:pPr>
    </w:p>
    <w:p>
      <w:pPr>
        <w:ind w:right="60" w:firstLine="419"/>
        <w:spacing w:after="0" w:line="293" w:lineRule="auto"/>
        <w:tabs>
          <w:tab w:leader="none" w:pos="7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y its subsidiary have such permits, licenses, approvals, consents, franchises, certificates of need and other approvals or authorizations of governmental or regulatory authorities (“Permits”) as are necessary under applicable law to own their respective properties and conduct their respective businesses in the manner described in the Registration Statement, the Pricing Prospectus and the Prospectus, except for any of the foregoing that would not, individually or in the aggregate, reasonably be expected to have a Material Adverse Effect. Neither the Company nor its subsidiary has received notice of any proceedings related to the revocation or modification of any such Permits that, individually or in the aggregate, if the subject of an unfavorable decision, ruling or finding, would have a Material Adverse Effect;</w:t>
      </w:r>
    </w:p>
    <w:p>
      <w:pPr>
        <w:spacing w:after="0" w:line="56" w:lineRule="exact"/>
        <w:rPr>
          <w:rFonts w:ascii="Arial" w:cs="Arial" w:eastAsia="Arial" w:hAnsi="Arial"/>
          <w:sz w:val="16"/>
          <w:szCs w:val="16"/>
          <w:color w:val="auto"/>
        </w:rPr>
      </w:pPr>
    </w:p>
    <w:p>
      <w:pPr>
        <w:ind w:right="400" w:firstLine="419"/>
        <w:spacing w:after="0" w:line="277" w:lineRule="auto"/>
        <w:tabs>
          <w:tab w:leader="none" w:pos="70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and its subsidiary, taken as a whole, are insured against such losses and risks and in such amounts as are prudent and customary in the businesses in which they are engaged;</w:t>
      </w:r>
    </w:p>
    <w:p>
      <w:pPr>
        <w:spacing w:after="0" w:line="62" w:lineRule="exact"/>
        <w:rPr>
          <w:rFonts w:ascii="Arial" w:cs="Arial" w:eastAsia="Arial" w:hAnsi="Arial"/>
          <w:sz w:val="18"/>
          <w:szCs w:val="18"/>
          <w:color w:val="auto"/>
        </w:rPr>
      </w:pPr>
    </w:p>
    <w:p>
      <w:pPr>
        <w:ind w:right="40" w:firstLine="419"/>
        <w:spacing w:after="0" w:line="287" w:lineRule="auto"/>
        <w:tabs>
          <w:tab w:leader="none" w:pos="76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Company and its subsidiary, and to the Company’s knowledge, their respective directors, officers and employees, are, and at all times have been, in compliance with applicable Health Care Laws (defined herein) including, but not limited to, the rules and regulations of the Food and Drug Administration (“FDA”), the U.S. Department of Health and Human Services Office of Inspector General, the Centers for Medicare &amp; Medicaid Services, the Office for Civil Rights, and any other governmental agency or body having jurisdiction over the Company or any of its properties, and has not engaged in any activities which are, as applicable, cause for false claims liability, civil penalties, or mandatory or permissive exclusion from Medicare, Medicaid, or any other local, state or federal healthcare program, except for such noncompliance that would not, individually or in the aggregate, reasonably be expected to have a Material Adverse Effect. For purposes of this Agreement, “Health Care Laws” shall mean, as applicable, the federal Anti-kickback Statute (42 U.S.C. § 1320a-7b(b)), the Physician Payments Sunshine Act (42 U.S.C. § 1320a-7h), the civil False Claims Act (31 U.S.C. §§ 3729 et seq.), the criminal False Claims Act (42 U.S.C. § 1320a-7b(a)), applicable criminal laws relating to health care fraud and abuse, the exclusion laws (42 U.S.C. § 1320a-7), the civil monetary penalties law (42 U.S.C. § 1320a-7a), the health care fraud criminal provisions under the Health Insurance Portability and Accountability Act of 1996 (42 U.S.C. §§ 1320d et seq.) (“HIPAA”), the exclusion laws (42 U.S.C. § 1320a-7), the civil monetary penalties law (42 U.S.C. § 1320a-7a),</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2" w:name="page13"/>
    <w:bookmarkEnd w:id="12"/>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HIPAA, as amended by the Health Information Technology for Economic and Clinical Health Act (42 U.S.C. §§ 17921 et seq.), the Federal Food, Drug, and Cosmetic Act (21 U.S.C. §§ 301 et seq.), the Patient Protection and Affordable Care Act of 2010 (Pub. Law 111-148), as amended by the Health Care and Education Reconciliation Act of 2010 (Pub. Law 111-152), and the regulations promulgated pursuant to the aforementioned statutes. Neither the Company nor its subsidiary is a party to or has any ongoing reporting obligations pursuant to any corporate integrity agreement, deferred prosecution agreement, monitoring agreement, consent decree, settlement order, plan of correction or similar agreement imposed by any governmental authority. Neither the Company nor its subsidiary has received any written notification, correspondence or any other written communication, including, without limitation, any Form FDA 483, notice of adverse finding, warning letter, untitled letter or other correspondence or notice from the FDA or any similar regulatory authority, or any notification of any pending or, to the Company’s knowledge, threatened claim, suit, proceeding, hearing, enforcement, investigation, arbitration or other action, from any governmental authority of alleging material non-compliance by, or material liability of, the Company or its subsidiary under any Health Care Laws;</w:t>
      </w:r>
    </w:p>
    <w:p>
      <w:pPr>
        <w:spacing w:after="0" w:line="60" w:lineRule="exact"/>
        <w:rPr>
          <w:sz w:val="20"/>
          <w:szCs w:val="20"/>
          <w:color w:val="auto"/>
        </w:rPr>
      </w:pPr>
    </w:p>
    <w:p>
      <w:pPr>
        <w:ind w:firstLine="419"/>
        <w:spacing w:after="0" w:line="286" w:lineRule="auto"/>
        <w:tabs>
          <w:tab w:leader="none" w:pos="7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 the Company and its subsidiary possesses, and is in material compliance with the terms of, all applications, certificates, approvals, clearances, registrations, exemptions, franchises, licenses, permits, consents and other authorizations issued by the appropriate Governmental Authorities and necessary to conduct their respective businesses as currently conducted or as proposed to be conducted as described in the Prospectus (collectively, “Licenses”), including, without limitation, all Licenses required by the FDA, or any component thereof, and/or by any other U.S., state, local or foreign government or drug regulatory agency (collectively, the “Regulatory Agencies”), except where a failure to so possess or noncompliance would not, individually or in the aggregate, reasonably be expected to have a Material Adverse Effect. All such Licenses are in full force and effect and neither the Company nor its subsidiary is in violation of any term or conditions of any such License, except where a failure to be in full force or effect or such violation would not, individually or in the aggregate, reasonably be expected to have a Material Adverse Effect. Each of the Company and its subsidiary has fulfilled and performed all of its respective obligations with respect to such Licenses and, no event has occurred which allows, or after notice or lapse of time would allow, revocation or termination thereof or results in any other impairment of the rights of the holder of any such License, except for such failure or occurrence that would not, individually or in the aggregate, reasonably be expected to have a Material Adverse Effect. Neither the Company nor y its subsidiary has received any notice of proceedings from the applicable Regulatory Agency proposing to revoke or materially adversely modify any such Licenses and, to the Company’s knowledge, no Regulatory Agency has taken any action to limit, suspend or revoke any such License possessed by the Company;</w:t>
      </w:r>
    </w:p>
    <w:p>
      <w:pPr>
        <w:spacing w:after="0" w:line="62" w:lineRule="exact"/>
        <w:rPr>
          <w:rFonts w:ascii="Arial" w:cs="Arial" w:eastAsia="Arial" w:hAnsi="Arial"/>
          <w:sz w:val="16"/>
          <w:szCs w:val="16"/>
          <w:color w:val="auto"/>
        </w:rPr>
      </w:pPr>
    </w:p>
    <w:p>
      <w:pPr>
        <w:ind w:left="680" w:hanging="261"/>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19"/>
        <w:spacing w:after="0" w:line="255" w:lineRule="auto"/>
        <w:tabs>
          <w:tab w:leader="none" w:pos="6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None of the Company’s product candidates have received marketing approval from any Regulatory Agencies. The pre-clinical studies and clinical trials that are described in the Registration Statement, the Pricing Prospectus and the Prospectus were and, if still pending, are being, conducted in all material respects in accordance with the protocols submitted to the FDA or any foreign governmental body exercising comparable authority, and all applicable laws and regulations; the descriptions of the pre-clinical studies and clinical trials conducted by or, to the Company’s knowledge, on behalf of the Company or by a licensor, and the results thereof, contained in the Registration Statement, the Pricing Prospectus and the Prospectus are</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13" w:name="page14"/>
    <w:bookmarkEnd w:id="13"/>
    <w:p>
      <w:pPr>
        <w:ind w:left="4"/>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accurate and complete in all material respects; the Company is not aware of any other pre-clinical studies or clinical trials, the results of which reasonably call into question the results described in the Registration Statement, the Pricing Prospectus and the Prospectus; and the Company has not received any notices or correspondence from the FDA, any foreign, state or local governmental body exercising comparable authority or any Institutional Review Board or ethics committee or similar body requiring the termination, suspension, material modification or clinical hold of any pre-clinical studies or clinical trials conducted by or, to the Company’s knowledge, on behalf of the Company or by a licensor;</w:t>
      </w:r>
    </w:p>
    <w:p>
      <w:pPr>
        <w:spacing w:after="0" w:line="53" w:lineRule="exact"/>
        <w:rPr>
          <w:sz w:val="20"/>
          <w:szCs w:val="20"/>
          <w:color w:val="auto"/>
        </w:rPr>
      </w:pPr>
    </w:p>
    <w:p>
      <w:pPr>
        <w:ind w:left="4" w:right="100" w:firstLine="419"/>
        <w:spacing w:after="0" w:line="255" w:lineRule="auto"/>
        <w:tabs>
          <w:tab w:leader="none" w:pos="771" w:val="left"/>
        </w:tabs>
        <w:numPr>
          <w:ilvl w:val="1"/>
          <w:numId w:val="13"/>
        </w:numPr>
        <w:rPr>
          <w:rFonts w:ascii="Arial" w:cs="Arial" w:eastAsia="Arial" w:hAnsi="Arial"/>
          <w:sz w:val="18"/>
          <w:szCs w:val="18"/>
          <w:color w:val="auto"/>
        </w:rPr>
      </w:pPr>
      <w:r>
        <w:rPr>
          <w:rFonts w:ascii="Arial" w:cs="Arial" w:eastAsia="Arial" w:hAnsi="Arial"/>
          <w:sz w:val="18"/>
          <w:szCs w:val="18"/>
          <w:color w:val="auto"/>
        </w:rPr>
        <w:t>Neither the Company nor its subsidiary, nor any of their respective officers, employees or directors, nor, to the Company’s knowledge, any of its or their respective agents or clinical investigators, or licensors, has, for the past three (3) years, been excluded, suspended or debarred from participation in any U.S. federal or foreign health care program or human clinical research or, to the Company’s knowledge, is subject to a governmental inquiry, investigation, proceeding, or other similar action that could reasonably be expected to result in debarment, suspension, or exclusion, or convicted of any crime or engaged in any conduct that would reasonably be expected to result in debarment under 21 U.S.C. § 335a or comparable foreign law;</w:t>
      </w:r>
    </w:p>
    <w:p>
      <w:pPr>
        <w:spacing w:after="0" w:line="84" w:lineRule="exact"/>
        <w:rPr>
          <w:rFonts w:ascii="Arial" w:cs="Arial" w:eastAsia="Arial" w:hAnsi="Arial"/>
          <w:sz w:val="18"/>
          <w:szCs w:val="18"/>
          <w:color w:val="auto"/>
        </w:rPr>
      </w:pPr>
    </w:p>
    <w:p>
      <w:pPr>
        <w:ind w:left="4" w:firstLine="419"/>
        <w:spacing w:after="0" w:line="283" w:lineRule="auto"/>
        <w:tabs>
          <w:tab w:leader="none" w:pos="691"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Company and each subsidiary owns or has valid and enforceable licenses or other rights to all patents and patent applications, copyrights, trademarks, trademark registrations, service marks, service mark registrations, trade names, service names and know-how (including trade secrets and other unpatented and/or unpatentable proprietary or confidential information, systems or procedures) and all other technology and intellectual property rights necessary for the conduct, or the proposed conduct, of the business of the Company in the manner described in the Pricing Prospectus and the Prospectus (collectively, the “Company Intellectual Property”); to the Company’s knowledge, there are no rights of third parties to any of the patents, trademarks and copyrights within the Company Intellectual Property disclosed in the Registration Statement and the Prospectus as being owned by the Company and its subsidiary and such patents, trademark and copyrights are owned by the Company and its subsidiary free and clear of all material liens, security interests, or encumbrances; to the Company’s knowledge, the patents, trademarks and copyrights held or licensed by the Company and its subsidiary included within the Company Intellectual Property are valid, enforceable and subsisting; and other than as disclosed in the Pricing Prospectus and the Prospectus, (i) neither the Company nor its subsidiary is obligated to pay a material royalty, grant a license, or provide other material consideration to any third party in connection with the Company Intellectual Property,</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 action, suit, claim or other proceeding is pending or, to the knowledge of the Company, is threatened, alleging that the conduct of the</w:t>
      </w:r>
    </w:p>
    <w:p>
      <w:pPr>
        <w:spacing w:after="0" w:line="20" w:lineRule="exact"/>
        <w:rPr>
          <w:rFonts w:ascii="Arial" w:cs="Arial" w:eastAsia="Arial" w:hAnsi="Arial"/>
          <w:sz w:val="17"/>
          <w:szCs w:val="17"/>
          <w:color w:val="auto"/>
        </w:rPr>
      </w:pPr>
    </w:p>
    <w:p>
      <w:pPr>
        <w:ind w:left="4" w:right="60"/>
        <w:spacing w:after="0" w:line="268" w:lineRule="auto"/>
        <w:rPr>
          <w:rFonts w:ascii="Arial" w:cs="Arial" w:eastAsia="Arial" w:hAnsi="Arial"/>
          <w:sz w:val="17"/>
          <w:szCs w:val="17"/>
          <w:color w:val="auto"/>
        </w:rPr>
      </w:pPr>
      <w:r>
        <w:rPr>
          <w:rFonts w:ascii="Arial" w:cs="Arial" w:eastAsia="Arial" w:hAnsi="Arial"/>
          <w:sz w:val="17"/>
          <w:szCs w:val="17"/>
          <w:color w:val="auto"/>
        </w:rPr>
        <w:t>business of the Company or its subsidiary in the manner described in the Pricing Prospectus and the Prospectus is infringing, misappropriating, diluting or otherwise violating any intellectual property rights of others, (iii) no action, suit, claim or other proceeding is pending or, to the knowledge of the Company, is threatened, challenging the validity, enforceability, scope, registration, ownership or use of any of the Company Intellectual Property, (iv) no action, suit, claim or other proceeding is pending or, to the knowledge of the Company, is threatened, challenging the Company’s and its subsidiary’s rights in or to any Company Intellectual Property, and the Company is unaware of any facts which could form a reasonable basis for any such action, suit, proceeding or claim, (v) the Company has not received written notice of any claim of infringement, misappropriation or conflict with any asserted rights of others with respect to any of the Company’s or its subsidiary’s products, proposed products, processes or Company Intellectual Property, (vi) to the knowledge of the</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64"/>
          </w:cols>
          <w:pgMar w:left="876" w:top="274" w:right="459" w:bottom="1440" w:gutter="0" w:footer="0" w:header="0"/>
        </w:sectPr>
      </w:pPr>
    </w:p>
    <w:bookmarkStart w:id="14" w:name="page15"/>
    <w:bookmarkEnd w:id="14"/>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the development, manufacture, sale, and any currently proposed use of any of the products, proposed products or processes of the Company and its subsidiary referred to in the Pricing Prospectus and the Prospectus, in the current or proposed conduct of the business of the Company, do not currently, and will not upon commercialization, to the knowledge of the Company, infringe any right or valid patent claim of any third party, (vii) to the Company’s knowledge, no third party has any ownership right in or to any Company Intellectual Property in any field of use that is exclusively licensed to the Company or its subsidiary, other than any licensor to the Company or its subsidiary of such Company Intellectual Property, (viii) no employee, consultant or independent contractor of the Company or its subsidiary is, to the Company’s knowledge, in violation in any material respect of any term of any employment contract, patent disclosure agreement, invention assignment agreement, non-competition agreement, non-solicitation agreement, nondisclosure agreement, or any restrictive covenant to or with a former employer or independent contractor where the basis of such violation relates to such employee’s employment or independent contractor’s engagement with the Company or actions undertaken while employed or engaged with the Company, (ix) the Company has taken reasonable measures to protect its material confidential information and material trade secrets and to maintain and safeguard the material Company Intellectual Property, including the execution of appropriate nondisclosure and confidentiality agreements and (x) the Company has complied with the material terms of each agreement pursuant to which the Company Intellectual Property has been licensed to the Company, and any such agreements are in full force and effect;</w:t>
      </w:r>
    </w:p>
    <w:p>
      <w:pPr>
        <w:spacing w:after="0" w:line="76" w:lineRule="exact"/>
        <w:rPr>
          <w:sz w:val="20"/>
          <w:szCs w:val="20"/>
          <w:color w:val="auto"/>
        </w:rPr>
      </w:pPr>
    </w:p>
    <w:p>
      <w:pPr>
        <w:ind w:right="20" w:firstLine="419"/>
        <w:spacing w:after="0" w:line="271" w:lineRule="auto"/>
        <w:tabs>
          <w:tab w:leader="none" w:pos="8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patents and patent applications owned by or licensed to the Company and its subsidiary or under which the Company and its subsidiary have rights have, to the knowledge of the Company, been duly and properly filed and maintained; to the knowledge of the Company, there are no material defects in any of the patents or patent applications disclosed in the Registration Statement and the Prospectus as being owned by the Company or its subsidiary; to the knowledge of the Company, the parties prosecuting such applications have complied with their duty of candor and disclosure to the United States Patent and Trademark Office (the “USPTO”) in connection with such applications; and the Company is not aware of any facts required to be disclosed to the USPTO that were not disclosed to the USPTO and which would preclude the grant of a patent in connection with any such application or could form the basis of a finding of invalidity with respect to any patents that have issued with respect to such applications;</w:t>
      </w:r>
    </w:p>
    <w:p>
      <w:pPr>
        <w:spacing w:after="0" w:line="70" w:lineRule="exact"/>
        <w:rPr>
          <w:rFonts w:ascii="Arial" w:cs="Arial" w:eastAsia="Arial" w:hAnsi="Arial"/>
          <w:sz w:val="17"/>
          <w:szCs w:val="17"/>
          <w:color w:val="auto"/>
        </w:rPr>
      </w:pPr>
    </w:p>
    <w:p>
      <w:pPr>
        <w:ind w:firstLine="419"/>
        <w:spacing w:after="0" w:line="271" w:lineRule="auto"/>
        <w:tabs>
          <w:tab w:leader="none" w:pos="7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Company and its subsidiary possess all licenses, certificates, permits and other authorizations issued by, and have made all declarations and filings with, the appropriate federal, state, local or foreign governmental or regulatory authorities having jurisdiction over the Company and its subsidiary that are necessary for the ownership or lease of their respective properties or the conduct of their respective businesses as described in the Registration Statement, the Pricing Disclosure Package and the Prospectus, except where the failure to possess or make the same would not, individually or in the aggregate, reasonably be expected to have a Material Adverse Effect; and except as described in the Registration Statement, the Pricing Disclosure Package and the Prospectus, neither the Company nor its subsidiary has received notice of any revocation or modification of any such license, certificate, permit or authorization, except where such revocation or modification would not, individually or in the aggregate, reasonably be expected to have a Material Adverse Effect;</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15" w:name="page16"/>
    <w:bookmarkEnd w:id="15"/>
    <w:p>
      <w:pPr>
        <w:ind w:left="420" w:firstLine="419"/>
        <w:spacing w:after="0" w:line="289" w:lineRule="auto"/>
        <w:tabs>
          <w:tab w:leader="none" w:pos="1188" w:val="left"/>
        </w:tabs>
        <w:numPr>
          <w:ilvl w:val="1"/>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United States federal income tax returns of the Company and its subsidiary required by law to be filed have been filed, except where the failure to file would not, individually or in the aggregate, reasonably be expected to have a Material Adverse Effect, and all taxes shown as due on such returns or that otherwise have been assessed, which are due and payable, have been paid, except assessments against which appeals have been or will be promptly taken and as to which adequate reserves have been provided. The Company and its subsidiary have filed all other tax returns that are required to have been filed by them pursuant to applicable foreign, state, local or other law except insofar as the failure to file such returns would not, individually or in the aggregate, reasonably be expected to have a Material Adverse Effect, and has paid all taxes due pursuant to such returns or pursuant to any assessment received by the Company and its subsidiary, except for such taxes, if any, as are being contested in good faith and as to which adequate reserves have been provided and except insofar as the failure to pay such taxes would not, individually or in the aggregate, reasonably be expected to have a Material Adverse Effect;</w:t>
      </w:r>
    </w:p>
    <w:p>
      <w:pPr>
        <w:spacing w:after="0" w:line="58" w:lineRule="exact"/>
        <w:rPr>
          <w:rFonts w:ascii="Arial" w:cs="Arial" w:eastAsia="Arial" w:hAnsi="Arial"/>
          <w:sz w:val="16"/>
          <w:szCs w:val="16"/>
          <w:color w:val="auto"/>
        </w:rPr>
      </w:pPr>
    </w:p>
    <w:p>
      <w:pPr>
        <w:ind w:left="420" w:right="180" w:firstLine="419"/>
        <w:spacing w:after="0" w:line="263" w:lineRule="auto"/>
        <w:tabs>
          <w:tab w:leader="none" w:pos="11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Neither the Company nor its subsidiary is a party to any contract, agreement or understanding with any person (other than this Agreement) that would give rise to a valid claim against the Company or its subsidiary or any Underwriter for a brokerage commission, finder’s fee or like payment in connection with the offering and sale of the Shares;</w:t>
      </w:r>
    </w:p>
    <w:p>
      <w:pPr>
        <w:spacing w:after="0" w:line="75" w:lineRule="exact"/>
        <w:rPr>
          <w:rFonts w:ascii="Arial" w:cs="Arial" w:eastAsia="Arial" w:hAnsi="Arial"/>
          <w:sz w:val="18"/>
          <w:szCs w:val="18"/>
          <w:color w:val="auto"/>
        </w:rPr>
      </w:pPr>
    </w:p>
    <w:p>
      <w:pPr>
        <w:jc w:val="both"/>
        <w:ind w:left="420" w:right="120" w:firstLine="419"/>
        <w:spacing w:after="0" w:line="259" w:lineRule="auto"/>
        <w:tabs>
          <w:tab w:leader="none" w:pos="11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relationship, direct or indirect, exists between or among the Company or its subsidiary, on the one hand, and the directors, officers, stockholders, customers or suppliers of the Company or its subsidiary, on the other, that is required by the Act to be described in the Registration Statement and the Prospectus and that is not so described in such documents and in the Registration Statement, the Pricing Disclosure Package and the Prospectus;</w:t>
      </w:r>
    </w:p>
    <w:p>
      <w:pPr>
        <w:spacing w:after="0" w:line="78" w:lineRule="exact"/>
        <w:rPr>
          <w:rFonts w:ascii="Arial" w:cs="Arial" w:eastAsia="Arial" w:hAnsi="Arial"/>
          <w:sz w:val="18"/>
          <w:szCs w:val="18"/>
          <w:color w:val="auto"/>
        </w:rPr>
      </w:pPr>
    </w:p>
    <w:p>
      <w:pPr>
        <w:ind w:left="420" w:right="340" w:firstLine="419"/>
        <w:spacing w:after="0" w:line="277" w:lineRule="auto"/>
        <w:tabs>
          <w:tab w:leader="none" w:pos="1128"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There are no contracts, arrangements or documents which are required to be described in the Registration Statement or to be filed as exhibits thereto which have not been so described and filed as required;</w:t>
      </w:r>
    </w:p>
    <w:p>
      <w:pPr>
        <w:spacing w:after="0" w:line="62" w:lineRule="exact"/>
        <w:rPr>
          <w:rFonts w:ascii="Arial" w:cs="Arial" w:eastAsia="Arial" w:hAnsi="Arial"/>
          <w:sz w:val="18"/>
          <w:szCs w:val="18"/>
          <w:color w:val="auto"/>
        </w:rPr>
      </w:pPr>
    </w:p>
    <w:p>
      <w:pPr>
        <w:ind w:left="420" w:right="80" w:firstLine="419"/>
        <w:spacing w:after="0" w:line="259" w:lineRule="auto"/>
        <w:tabs>
          <w:tab w:leader="none" w:pos="1148" w:val="left"/>
        </w:tabs>
        <w:numPr>
          <w:ilvl w:val="1"/>
          <w:numId w:val="16"/>
        </w:numPr>
        <w:rPr>
          <w:rFonts w:ascii="Arial" w:cs="Arial" w:eastAsia="Arial" w:hAnsi="Arial"/>
          <w:sz w:val="18"/>
          <w:szCs w:val="18"/>
          <w:color w:val="auto"/>
        </w:rPr>
      </w:pPr>
      <w:r>
        <w:rPr>
          <w:rFonts w:ascii="Arial" w:cs="Arial" w:eastAsia="Arial" w:hAnsi="Arial"/>
          <w:sz w:val="18"/>
          <w:szCs w:val="18"/>
          <w:color w:val="auto"/>
        </w:rPr>
        <w:t>No labor disturbance by or dispute with current or former employees or officers of the Company or its subsidiary exists or, to the Company’s knowledge, is contemplated or threatened, and the Company is not aware of any existing or imminent labor disturbance by, or dispute with, the employees of any of the Company’s or its subsidiary’s principal suppliers, manufacturers or contractors. Neither the Company nor its subsidiary are a party to any collective bargaining agreement;</w:t>
      </w:r>
    </w:p>
    <w:p>
      <w:pPr>
        <w:spacing w:after="0" w:line="78" w:lineRule="exact"/>
        <w:rPr>
          <w:rFonts w:ascii="Arial" w:cs="Arial" w:eastAsia="Arial" w:hAnsi="Arial"/>
          <w:sz w:val="18"/>
          <w:szCs w:val="18"/>
          <w:color w:val="auto"/>
        </w:rPr>
      </w:pPr>
    </w:p>
    <w:p>
      <w:pPr>
        <w:ind w:left="420" w:right="100" w:firstLine="419"/>
        <w:spacing w:after="0" w:line="342" w:lineRule="auto"/>
        <w:tabs>
          <w:tab w:leader="none" w:pos="1108"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There are (and prior to the Time of Delivery, will be) no debt securities or preferred stock issued or guaranteed by the Company that are rated by a “nationally recognized statistical rating organization”, as such term is defined in Section 3(a)(62) under the Exchange Act; and</w:t>
      </w:r>
    </w:p>
    <w:p>
      <w:pPr>
        <w:spacing w:after="0" w:line="15" w:lineRule="exact"/>
        <w:rPr>
          <w:rFonts w:ascii="Arial" w:cs="Arial" w:eastAsia="Arial" w:hAnsi="Arial"/>
          <w:sz w:val="16"/>
          <w:szCs w:val="16"/>
          <w:color w:val="auto"/>
        </w:rPr>
      </w:pPr>
    </w:p>
    <w:p>
      <w:pPr>
        <w:ind w:left="420" w:right="40" w:firstLine="419"/>
        <w:spacing w:after="0" w:line="277" w:lineRule="auto"/>
        <w:tabs>
          <w:tab w:leader="none" w:pos="11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From the time of filing of the Initial Registration Statement through the date hereof, the Company has been and is an “emerging growth company” as defined in Section 2(a)(19) of the Act (an “Emerging Growth Company”).</w:t>
      </w:r>
    </w:p>
    <w:p>
      <w:pPr>
        <w:spacing w:after="0" w:line="170" w:lineRule="exact"/>
        <w:rPr>
          <w:rFonts w:ascii="Arial" w:cs="Arial" w:eastAsia="Arial" w:hAnsi="Arial"/>
          <w:sz w:val="18"/>
          <w:szCs w:val="18"/>
          <w:color w:val="auto"/>
        </w:rPr>
      </w:pPr>
    </w:p>
    <w:p>
      <w:pPr>
        <w:ind w:left="-20" w:right="140" w:firstLine="436"/>
        <w:spacing w:after="0" w:line="301"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the terms and conditions herein set forth, (a) the Company agrees to issue and sell to each of the Underwriters, and each of the Underwriters agrees, severally and not jointly, to purchase from the Company, at a purchase price per share of $7.3508, the number of Firm Shares set forth opposite the name of such Underwriter in Schedule I hereto and (b) in the event and to the extent that the Underwriters shall exercise the election to purchase Optional Shares as provided below, the Company agrees to issue and sell to each of the Underwriters, and each of the Underwriters agrees,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60" w:top="274" w:right="459" w:bottom="1440" w:gutter="0" w:footer="0" w:header="0"/>
        </w:sectPr>
      </w:pPr>
    </w:p>
    <w:bookmarkStart w:id="16" w:name="page17"/>
    <w:bookmarkEnd w:id="16"/>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severally and not jointly, to purchase from the Company, at the purchase price per share set forth in clause (a) of this Section 2 (provided that the purchase price per Optional Share shall be reduced by an amount per share equal to any dividends or distributions declared by the Company and payable on the Firm Shares but not payable on the Optional Shares), that portion of the number of Optional Shares as to which such election shall have been exercised (to be adjusted by you so as to eliminate fractional shares) determined by multiplying such number of Optional Shares by a fraction, the numerator of which is the maximum number of Optional Shares which such Underwriter is entitled to purchase as set forth opposite the name of such Underwriter in Schedule I hereto and the denominator of which is the maximum number of Optional Shares that all of the Underwriters are entitled to purchase hereunder.</w:t>
      </w:r>
    </w:p>
    <w:p>
      <w:pPr>
        <w:spacing w:after="0" w:line="195"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The Company hereby grants to the Underwriters the right to purchase at their election up to 1,438,618 Optional Shares, at the purchase price per share set forth in the paragraph above, provided that the purchase price per Optional Share shall be reduced by an amount per share equal to any dividends or distributions declared by the Company and payable on the Firm Shares but not payable on the Optional Shares. Any such election to purchase Optional Shares may be exercised only by written notice from you to the Company, given within a period of 30 calendar days after the date of this Agreement, setting forth the aggregate number of Optional Shares to be purchased and the date on which such Optional Shares are to be delivered, as determined by you but in no event earlier than the First Time of Delivery (as defined in Section 4 hereof) or, unless you and the Company otherwise agree in writing, earlier than two or later than ten business days after the date of such notice.</w:t>
      </w:r>
    </w:p>
    <w:p>
      <w:pPr>
        <w:spacing w:after="0" w:line="177" w:lineRule="exact"/>
        <w:rPr>
          <w:sz w:val="20"/>
          <w:szCs w:val="20"/>
          <w:color w:val="auto"/>
        </w:rPr>
      </w:pPr>
    </w:p>
    <w:p>
      <w:pPr>
        <w:ind w:right="340" w:firstLine="436"/>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the authorization by you of the release of the Shares, the several Underwriters propose to offer the Shares for sale upon the terms and conditions set forth in the Pricing Disclosure Package and the Prospectus.</w:t>
      </w:r>
    </w:p>
    <w:p>
      <w:pPr>
        <w:spacing w:after="0" w:line="170" w:lineRule="exact"/>
        <w:rPr>
          <w:rFonts w:ascii="Arial" w:cs="Arial" w:eastAsia="Arial" w:hAnsi="Arial"/>
          <w:sz w:val="18"/>
          <w:szCs w:val="18"/>
          <w:color w:val="auto"/>
        </w:rPr>
      </w:pPr>
    </w:p>
    <w:p>
      <w:pPr>
        <w:ind w:firstLine="436"/>
        <w:spacing w:after="0" w:line="268"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The Shares to be purchased by each Underwriter hereunder, in definitive or book-entry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(“DTC”),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certificates, if any, representing the Shares to be made available for checking and packaging at least twenty-four hours prior to the Time of Delivery (as defined below) with respect thereto at the office of DTC or its designated custodian (the “Designated Office”). The time and date of such delivery and payment shall be, with respect to the Firm Shares, 9:30 a.m., New York City time, on August 18, 2022 or such other time and date as the Representatives and the Company may agree upon in writing, and, with respect to the Optional Shares, 9:30 a.m., New York time, on the date specified by the Representatives in the written notice given by the Representatives of the Underwriters’ election to purchase such Optional Shares, or such other time and date as the Representatives and the Company may agree upon in writing. Such time and date for delivery of the Firm Shares is herein called the “First Time of Delivery”, such time and date for delivery of the Optional Shares, if not the First Time of Delivery, is herein called the “Second Time of Delivery”, and each such time and date for delivery is herein called a “Time of Delivery”.</w:t>
      </w:r>
    </w:p>
    <w:p>
      <w:pPr>
        <w:spacing w:after="0" w:line="186" w:lineRule="exact"/>
        <w:rPr>
          <w:sz w:val="20"/>
          <w:szCs w:val="20"/>
          <w:color w:val="auto"/>
        </w:rPr>
      </w:pPr>
    </w:p>
    <w:p>
      <w:pPr>
        <w:ind w:right="100" w:firstLine="436"/>
        <w:spacing w:after="0" w:line="259" w:lineRule="auto"/>
        <w:tabs>
          <w:tab w:leader="none" w:pos="6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documents to be delivered at each Time of Delivery by or on behalf of the parties hereto pursuant to Section 8 hereof, including the cross receipt for the Shares and any additional documents requested by the Underwriters pursuant to Section 8(j) hereof, will be delivered at the offices of Mintz, Levin, Cohn, Ferris, Glovsky and Popeo, P.C., 666 Third Avenue, New York, NY 10017 (the “Closing Location”), and the Shares will be delivered at the Designated Office, all at such Time of</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17" w:name="page18"/>
    <w:bookmarkEnd w:id="17"/>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A meeting will be held at the Closing Location at 5:00 p.m., New York City time, on the New York Business Day next preceding such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are generally authorized or obligated by law or executive order to close.</w:t>
      </w:r>
    </w:p>
    <w:p>
      <w:pPr>
        <w:spacing w:after="0" w:line="171" w:lineRule="exact"/>
        <w:rPr>
          <w:sz w:val="20"/>
          <w:szCs w:val="20"/>
          <w:color w:val="auto"/>
        </w:rPr>
      </w:pPr>
    </w:p>
    <w:p>
      <w:pPr>
        <w:ind w:left="620" w:hanging="184"/>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agrees with each of the Underwriters:</w:t>
      </w:r>
    </w:p>
    <w:p>
      <w:pPr>
        <w:spacing w:after="0" w:line="117" w:lineRule="exact"/>
        <w:rPr>
          <w:rFonts w:ascii="Arial" w:cs="Arial" w:eastAsia="Arial" w:hAnsi="Arial"/>
          <w:sz w:val="18"/>
          <w:szCs w:val="18"/>
          <w:color w:val="auto"/>
        </w:rPr>
      </w:pPr>
    </w:p>
    <w:p>
      <w:pPr>
        <w:ind w:left="440" w:firstLine="419"/>
        <w:spacing w:after="0" w:line="285" w:lineRule="auto"/>
        <w:tabs>
          <w:tab w:leader="none" w:pos="1108" w:val="left"/>
        </w:tabs>
        <w:numPr>
          <w:ilvl w:val="1"/>
          <w:numId w:val="20"/>
        </w:numPr>
        <w:rPr>
          <w:rFonts w:ascii="Arial" w:cs="Arial" w:eastAsia="Arial" w:hAnsi="Arial"/>
          <w:sz w:val="16"/>
          <w:szCs w:val="16"/>
          <w:color w:val="auto"/>
        </w:rPr>
      </w:pPr>
      <w:r>
        <w:rPr>
          <w:rFonts w:ascii="Arial" w:cs="Arial" w:eastAsia="Arial" w:hAnsi="Arial"/>
          <w:sz w:val="16"/>
          <w:szCs w:val="16"/>
          <w:color w:val="auto"/>
        </w:rPr>
        <w:t>To prepare the Prospectus in a form approved by you and to file such Prospectus pursuant to Rule 424(b) under the Act not later than the Commission’s close of business on the second business day following the date of this Agreement or such earlier time as may be required under the Act; to make no further amendment or any supplement to the Registration Statement, the Basic Prospectus or the Prospectus prior to the last Time of Delivery, which shall be disapproved by you promptly after reasonable notice thereof; to advise you, promptly after it receives notice thereof, of the time when any amendment to the Registration Statement has been filed or becomes effective or any amendment or supplement to the Prospectus has been filed and to furnish you with copies thereof; to file promptly all material required to be filed by the Company with the Commission pursuant to Rule 433(d) under the Act; within the time required by such Rule; to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(or in lieu thereof, the notice referred to in Rule 173(a) under the Act) is required in connection with the offering or sale of the Shares; to advise you, promptly after it receives notice thereof, of the issuance by the Commission of any stop order or of any order preventing or suspending the use of any Preliminary Prospectus or other prospectus in respect of the Shares, of the suspension of the qualification of the Shares for offering or sale in any jurisdiction, of the initiation or threatening of any proceeding for any such purpose, or of any request by the Commission for the amending or supplementing of the Registration Statement or the Prospectus or for additional information; and, in the event of the issuance of any stop order or of any order preventing or suspending the use of any Preliminary Prospectus or other prospectus relating to the Shares or suspending any such qualification, to promptly use its best efforts to obtain the withdrawal of such order;</w:t>
      </w:r>
    </w:p>
    <w:p>
      <w:pPr>
        <w:spacing w:after="0" w:line="286" w:lineRule="exact"/>
        <w:rPr>
          <w:rFonts w:ascii="Arial" w:cs="Arial" w:eastAsia="Arial" w:hAnsi="Arial"/>
          <w:sz w:val="16"/>
          <w:szCs w:val="16"/>
          <w:color w:val="auto"/>
        </w:rPr>
      </w:pPr>
    </w:p>
    <w:p>
      <w:pPr>
        <w:ind w:left="440" w:right="60" w:firstLine="419"/>
        <w:spacing w:after="0" w:line="296" w:lineRule="auto"/>
        <w:tabs>
          <w:tab w:leader="none" w:pos="1118" w:val="left"/>
        </w:tabs>
        <w:numPr>
          <w:ilvl w:val="1"/>
          <w:numId w:val="20"/>
        </w:numPr>
        <w:rPr>
          <w:rFonts w:ascii="Arial" w:cs="Arial" w:eastAsia="Arial" w:hAnsi="Arial"/>
          <w:sz w:val="16"/>
          <w:szCs w:val="16"/>
          <w:color w:val="auto"/>
        </w:rPr>
      </w:pPr>
      <w:r>
        <w:rPr>
          <w:rFonts w:ascii="Arial" w:cs="Arial" w:eastAsia="Arial" w:hAnsi="Arial"/>
          <w:sz w:val="16"/>
          <w:szCs w:val="16"/>
          <w:color w:val="auto"/>
        </w:rPr>
        <w:t>Promptly from time to time to take such action as you may reasonably request to qualify the Shares for offering and sale under the securities laws of such jurisdictions as you may request and to use reasonable best efforts to comply with such laws so as to permit the continuance of sales and dealings therein in such jurisdictions for as long as may be necessary to complete the distribution of the Shares, provided that in connection therewith the Company shall not be required to qualify as a foreign corporation or to file a general consent to service of process in any jurisdiction or subject itself to taxation in any jurisdiction in which it is not otherwise subject to taxation as of the date hereof;</w:t>
      </w:r>
    </w:p>
    <w:p>
      <w:pPr>
        <w:spacing w:after="0" w:line="53" w:lineRule="exact"/>
        <w:rPr>
          <w:rFonts w:ascii="Arial" w:cs="Arial" w:eastAsia="Arial" w:hAnsi="Arial"/>
          <w:sz w:val="16"/>
          <w:szCs w:val="16"/>
          <w:color w:val="auto"/>
        </w:rPr>
      </w:pPr>
    </w:p>
    <w:p>
      <w:pPr>
        <w:ind w:left="1100" w:hanging="241"/>
        <w:spacing w:after="0"/>
        <w:tabs>
          <w:tab w:leader="none" w:pos="11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140" w:firstLine="419"/>
        <w:spacing w:after="0" w:line="259" w:lineRule="auto"/>
        <w:tabs>
          <w:tab w:leader="none" w:pos="1118"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Prior to 10:00 a.m., New York City time, on the New York Business Day next succeeding the date of this Agreement and from time to time, to furnish the Underwriters with written and electronic copies of the Prospectus in New York City in such quantities as you may reasonably request, and, if the delivery of a prospectus (or in lieu thereof, the notice referred to in Rule 173(a) under the Act) is required at any time prior to the expiration of nine months after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18" w:name="page19"/>
    <w:bookmarkEnd w:id="18"/>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of issue of the Prospectus in connection with the offering or sale of the Shares and if at such time any event shall have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(or in lieu thereof, the notice referred to in Rule 173(a) under the Act) is delivered, not misleading, or, if for any other reason it shall be necessary during such same period to amend or supplement the Prospectus or to file under the Exchange Act any document incorporated by reference in the Prospectus in order to comply with the Act or the Exchange Act, to notify you and upon your request to file such document and to prepare and furnish without charge to each Underwriter and to any dealer in securities as many written and electronic copies as you may from time to time reasonably request of an amended Prospectus or a supplement to the Prospectus which will correct such statement or omission or effect such compliance; and in case any Underwriter is required to deliver a prospectus (or in lieu thereof, the notice referred to in Rule 173(a) under the Act) in connection with sales of any of the Shares at any time nine months or more after the time of issue of the Prospectus, upon your request but at the expense of such Underwriter, to prepare and deliver to such Underwriter as many written and electronic copies as you may request of an amended or supplemented Prospectus complying with Section 10(a)(3) of the Act;</w:t>
      </w:r>
    </w:p>
    <w:p>
      <w:pPr>
        <w:spacing w:after="0" w:line="71" w:lineRule="exact"/>
        <w:rPr>
          <w:sz w:val="20"/>
          <w:szCs w:val="20"/>
          <w:color w:val="auto"/>
        </w:rPr>
      </w:pPr>
    </w:p>
    <w:p>
      <w:pPr>
        <w:ind w:left="4" w:firstLine="419"/>
        <w:spacing w:after="0" w:line="257" w:lineRule="auto"/>
        <w:tabs>
          <w:tab w:leader="none" w:pos="67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To make generally available to its security holders as soon as practicable (which may be satisfied by filing with the Commission’s Electronic Data Gathering, Analysis and Retrieval System or any successor thereto), but in any event not later than sixteen months after the effective date of the Registration Statement (as defined in Rule 158(c) under the Act), an earnings statement of the Company and its subsidiary (which need not be audited) complying with Section 11(a) of the Act and the rules and regulations of the Commission thereunder (including, at the option of the Company, Rule 158);</w:t>
      </w:r>
    </w:p>
    <w:p>
      <w:pPr>
        <w:spacing w:after="0" w:line="79" w:lineRule="exact"/>
        <w:rPr>
          <w:rFonts w:ascii="Arial" w:cs="Arial" w:eastAsia="Arial" w:hAnsi="Arial"/>
          <w:sz w:val="18"/>
          <w:szCs w:val="18"/>
          <w:color w:val="auto"/>
        </w:rPr>
      </w:pPr>
    </w:p>
    <w:p>
      <w:pPr>
        <w:ind w:left="644" w:hanging="221"/>
        <w:spacing w:after="0"/>
        <w:tabs>
          <w:tab w:leader="none" w:pos="644" w:val="left"/>
        </w:tabs>
        <w:numPr>
          <w:ilvl w:val="1"/>
          <w:numId w:val="21"/>
        </w:numPr>
        <w:rPr>
          <w:rFonts w:ascii="Arial" w:cs="Arial" w:eastAsia="Arial" w:hAnsi="Arial"/>
          <w:sz w:val="16"/>
          <w:szCs w:val="16"/>
          <w:color w:val="auto"/>
        </w:rPr>
      </w:pPr>
      <w:r>
        <w:rPr>
          <w:rFonts w:ascii="Arial" w:cs="Arial" w:eastAsia="Arial" w:hAnsi="Arial"/>
          <w:sz w:val="16"/>
          <w:szCs w:val="16"/>
          <w:color w:val="auto"/>
        </w:rPr>
        <w:t>During the period beginning from the date hereof and continuing to and including the date 60 days after the date of the Prospectus, not to</w:t>
      </w:r>
    </w:p>
    <w:p>
      <w:pPr>
        <w:spacing w:after="0" w:line="46" w:lineRule="exact"/>
        <w:rPr>
          <w:rFonts w:ascii="Arial" w:cs="Arial" w:eastAsia="Arial" w:hAnsi="Arial"/>
          <w:sz w:val="16"/>
          <w:szCs w:val="16"/>
          <w:color w:val="auto"/>
        </w:rPr>
      </w:pPr>
    </w:p>
    <w:p>
      <w:pPr>
        <w:ind w:left="4" w:hanging="4"/>
        <w:spacing w:after="0" w:line="267" w:lineRule="auto"/>
        <w:tabs>
          <w:tab w:leader="none" w:pos="218" w:val="left"/>
        </w:tabs>
        <w:numPr>
          <w:ilvl w:val="0"/>
          <w:numId w:val="22"/>
        </w:numPr>
        <w:rPr>
          <w:rFonts w:ascii="Arial" w:cs="Arial" w:eastAsia="Arial" w:hAnsi="Arial"/>
          <w:sz w:val="17"/>
          <w:szCs w:val="17"/>
          <w:color w:val="auto"/>
        </w:rPr>
      </w:pPr>
      <w:r>
        <w:rPr>
          <w:rFonts w:ascii="Arial" w:cs="Arial" w:eastAsia="Arial" w:hAnsi="Arial"/>
          <w:sz w:val="17"/>
          <w:szCs w:val="17"/>
          <w:color w:val="auto"/>
        </w:rPr>
        <w:t>offer, sell, contract to sell, pledge, grant any option to purchase, make any short sale or otherwise transfer or dispose of, directly or indirectly, or file with the Commission a registration statement under the Act relating to, any securities of the Company that are substantially similar to the Shares, including but not limited to any options or warrants to purchase shares of Stock or any securities that are convertible into or exchangeable for, or that represent the right to receive, Stock or any such substantially similar securities, or publicly disclose the intention to make any offer, sale, pledge, disposition or filing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your prior written consent; provided, however, that the restrictions in the foregoing sentence shall not apply to (a) the Shares to be sold hereunder; (b) Shares or any securities (including without limitation options, restricted stock or restricted stock units) convertible into, or exercisable for, shares of Stock pursuant to any employee stock option plan, incentive plan, stock plan, dividend reinvestment plan or otherwise in equity compensation arrangements in place as of the Applicable Time and as described in the Pricing Disclosure Package; (c) the grant of awards pursuant to employee equity-based compensation plans, incentive plans, stock plans, or other arrangements in place as of the Applicable Time and as described in the Pricing Disclosure Package; (d) the filing of a registration statement on Form S-8 in connection with the registration of Shares issuable under any employee equity-based compensation plan, incentive plan, stock plan, dividend reinvestment plan adopted and</w:t>
      </w:r>
    </w:p>
    <w:p>
      <w:pPr>
        <w:spacing w:after="0" w:line="11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4"/>
          </w:cols>
          <w:pgMar w:left="876" w:top="274" w:right="459" w:bottom="1440" w:gutter="0" w:footer="0" w:header="0"/>
        </w:sectPr>
      </w:pPr>
    </w:p>
    <w:bookmarkStart w:id="19" w:name="page20"/>
    <w:bookmarkEnd w:id="19"/>
    <w:p>
      <w:pPr>
        <w:ind w:left="38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approved by the Company’s board of directors prior to the Applicable Time and as described in the Pricing Disclosure Package; and (e) the issuance of up to 5% of the outstanding shares of Stock immediately after the closing of the Shares as contemplated hereunder in connection with the bona fide acquisition, strategic investment, licensing, commercialization, joint venture, technology transfer or development collaboration agreement with an unaffiliated third party; provided that each recipient of any Shares issued or sold pursuant to clause (b), (c) or (e) above executes and delivers to the Representatives prior to such issuance or sale (as the case may be) an agreement having substantially the same terms as the lock-up letters described in Section 8(i) of this Agreement;</w:t>
      </w:r>
    </w:p>
    <w:p>
      <w:pPr>
        <w:spacing w:after="0" w:line="84" w:lineRule="exact"/>
        <w:rPr>
          <w:sz w:val="20"/>
          <w:szCs w:val="20"/>
          <w:color w:val="auto"/>
        </w:rPr>
      </w:pPr>
    </w:p>
    <w:p>
      <w:pPr>
        <w:jc w:val="both"/>
        <w:ind w:left="380" w:right="200" w:firstLine="419"/>
        <w:spacing w:after="0" w:line="259" w:lineRule="auto"/>
        <w:tabs>
          <w:tab w:leader="none" w:pos="10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Company elects to rely upon Rule 462(b), the Company shall file a Rule 462(b) Registration Statement with the Commission in compliance with Rule 462(b) by 10:00 p.m., Washington, D.C. time, on the date of this Agreement, and the Company shall at the time of filing either pay the Commission the filing fee for the Rule 462(b) Registration Statement or give irrevocable instructions for the payment of such fee pursuant to Rule 111(b) under the Act;</w:t>
      </w:r>
    </w:p>
    <w:p>
      <w:pPr>
        <w:spacing w:after="0" w:line="78" w:lineRule="exact"/>
        <w:rPr>
          <w:rFonts w:ascii="Arial" w:cs="Arial" w:eastAsia="Arial" w:hAnsi="Arial"/>
          <w:sz w:val="18"/>
          <w:szCs w:val="18"/>
          <w:color w:val="auto"/>
        </w:rPr>
      </w:pPr>
    </w:p>
    <w:p>
      <w:pPr>
        <w:ind w:left="380" w:right="180" w:firstLine="419"/>
        <w:spacing w:after="0" w:line="259" w:lineRule="auto"/>
        <w:tabs>
          <w:tab w:leader="none" w:pos="10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reasonable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Shares (the “License”); provided, however, that the License shall be used solely for the purpose described above, is granted without any fee and may not be assigned or transferred;</w:t>
      </w:r>
    </w:p>
    <w:p>
      <w:pPr>
        <w:spacing w:after="0" w:line="78" w:lineRule="exact"/>
        <w:rPr>
          <w:rFonts w:ascii="Arial" w:cs="Arial" w:eastAsia="Arial" w:hAnsi="Arial"/>
          <w:sz w:val="18"/>
          <w:szCs w:val="18"/>
          <w:color w:val="auto"/>
        </w:rPr>
      </w:pPr>
    </w:p>
    <w:p>
      <w:pPr>
        <w:ind w:left="380" w:right="340" w:firstLine="419"/>
        <w:spacing w:after="0" w:line="277" w:lineRule="auto"/>
        <w:tabs>
          <w:tab w:leader="none" w:pos="101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use the net proceeds received by it from the sale of the Shares in the manner specified in the Pricing Prospectus under the caption “Use of Proceeds”;</w:t>
      </w:r>
    </w:p>
    <w:p>
      <w:pPr>
        <w:spacing w:after="0" w:line="62" w:lineRule="exact"/>
        <w:rPr>
          <w:rFonts w:ascii="Arial" w:cs="Arial" w:eastAsia="Arial" w:hAnsi="Arial"/>
          <w:sz w:val="18"/>
          <w:szCs w:val="18"/>
          <w:color w:val="auto"/>
        </w:rPr>
      </w:pPr>
    </w:p>
    <w:p>
      <w:pPr>
        <w:ind w:left="1020" w:hanging="221"/>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use its best efforts to list, subject to notice of issuance, the Shares on the Exchange; and</w:t>
      </w:r>
    </w:p>
    <w:p>
      <w:pPr>
        <w:spacing w:after="0" w:line="117" w:lineRule="exact"/>
        <w:rPr>
          <w:rFonts w:ascii="Arial" w:cs="Arial" w:eastAsia="Arial" w:hAnsi="Arial"/>
          <w:sz w:val="18"/>
          <w:szCs w:val="18"/>
          <w:color w:val="auto"/>
        </w:rPr>
      </w:pPr>
    </w:p>
    <w:p>
      <w:pPr>
        <w:ind w:left="380" w:right="20" w:firstLine="419"/>
        <w:spacing w:after="0" w:line="277" w:lineRule="auto"/>
        <w:tabs>
          <w:tab w:leader="none" w:pos="10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promptly notify you if the Company ceases to be an Emerging Growth Company at any time prior to the later of (i) completion of the distribution of the Shares within the meaning of the Act and (ii) the last Time of Delivery.</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w:t>
      </w:r>
    </w:p>
    <w:p>
      <w:pPr>
        <w:spacing w:after="0" w:line="225" w:lineRule="exact"/>
        <w:rPr>
          <w:sz w:val="20"/>
          <w:szCs w:val="20"/>
          <w:color w:val="auto"/>
        </w:rPr>
      </w:pPr>
    </w:p>
    <w:p>
      <w:pPr>
        <w:ind w:left="-60" w:firstLine="436"/>
        <w:spacing w:after="0" w:line="257" w:lineRule="auto"/>
        <w:tabs>
          <w:tab w:leader="none" w:pos="62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Company and the Representatives, it has not made and will not make any offer relating to the Securities that would constitute a free writing prospectus required to be filed with the Commission; any such free writing prospectus the use of which has been consented to by the Company and the Representatives is listed on Schedule II(a) hereto;</w:t>
      </w:r>
    </w:p>
    <w:p>
      <w:pPr>
        <w:spacing w:after="0" w:line="187" w:lineRule="exact"/>
        <w:rPr>
          <w:rFonts w:ascii="Arial" w:cs="Arial" w:eastAsia="Arial" w:hAnsi="Arial"/>
          <w:sz w:val="18"/>
          <w:szCs w:val="18"/>
          <w:color w:val="auto"/>
        </w:rPr>
      </w:pPr>
    </w:p>
    <w:p>
      <w:pPr>
        <w:ind w:left="-60" w:right="780" w:firstLine="436"/>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complied and will comply with the requirements of Rule 433 under the Act applicable to any Issuer Free Writing Prospectus, including timely filing with the Commission or retention where required and legending;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500" w:top="274" w:right="499" w:bottom="1440" w:gutter="0" w:footer="0" w:header="0"/>
        </w:sectPr>
      </w:pPr>
    </w:p>
    <w:bookmarkStart w:id="20" w:name="page21"/>
    <w:bookmarkEnd w:id="20"/>
    <w:p>
      <w:pPr>
        <w:ind w:firstLine="436"/>
        <w:spacing w:after="0" w:line="290"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agrees that if at any time following issuance of an Issuer Free Writing Prospectus or Written Testing-the-Waters Communication any event occurred or occurs as a result of which such Issuer Free Writing Prospectus or Written Testing-the-Waters Communication would conflict with the information in the Registration Statement, the Pricing Prospectus or the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Written Testing-the-Waters Communication or other document which will correct such conflict, statement or omission; provided, however, that this representation and warranty shall not apply to any statements or omissions in an Issuer Free Writing Prospectus made in reliance upon and in conformity with the Underwriter Information;</w:t>
      </w:r>
    </w:p>
    <w:p>
      <w:pPr>
        <w:spacing w:after="0" w:line="165" w:lineRule="exact"/>
        <w:rPr>
          <w:rFonts w:ascii="Arial" w:cs="Arial" w:eastAsia="Arial" w:hAnsi="Arial"/>
          <w:sz w:val="16"/>
          <w:szCs w:val="16"/>
          <w:color w:val="auto"/>
        </w:rPr>
      </w:pPr>
    </w:p>
    <w:p>
      <w:pPr>
        <w:ind w:right="120" w:firstLine="436"/>
        <w:spacing w:after="0" w:line="293" w:lineRule="auto"/>
        <w:tabs>
          <w:tab w:leader="none" w:pos="6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represents and agrees that (i) it has not engaged in, or authorized any other person to engage in, any Testing-the-Waters Communications, other than Testing-the-Waters Communications, if any, with the prior consent of the Representatives with entities that the Company reasonably believes are qualified institutional buyers as defined in Rule 144A under the Act or institutions that are accredited investors as defined Rule 501(a)(1), (a)(2), (a)(3), (a)(7) or (a)(8) under the Act; and (ii) it has not distributed, or authorized any other person to distribute, any Written Testing-the-Waters Communications, other than those distributed with the prior consent of the Representatives that are listed on Schedule III(d) hereto; and the Company reconfirms that the Underwriters have been authorized to act on its behalf in engaging in Testing-the-Waters Communications; and</w:t>
      </w:r>
    </w:p>
    <w:p>
      <w:pPr>
        <w:spacing w:after="0" w:line="164" w:lineRule="exact"/>
        <w:rPr>
          <w:rFonts w:ascii="Arial" w:cs="Arial" w:eastAsia="Arial" w:hAnsi="Arial"/>
          <w:sz w:val="16"/>
          <w:szCs w:val="16"/>
          <w:color w:val="auto"/>
        </w:rPr>
      </w:pPr>
    </w:p>
    <w:p>
      <w:pPr>
        <w:ind w:right="160" w:firstLine="436"/>
        <w:spacing w:after="0" w:line="291" w:lineRule="auto"/>
        <w:tabs>
          <w:tab w:leader="none" w:pos="6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Each Underwriter represents and agrees that any Written Testing-the-Waters Communications undertaken by it were with entities that are qualified institutional buyers as defined in Rule 144A under the Act or institutions that are accredited investors as defined in Rule 501(a)(1), (a)(2), (a)</w:t>
      </w:r>
    </w:p>
    <w:p>
      <w:pPr>
        <w:spacing w:after="0"/>
        <w:rPr>
          <w:rFonts w:ascii="Arial" w:cs="Arial" w:eastAsia="Arial" w:hAnsi="Arial"/>
          <w:sz w:val="16"/>
          <w:szCs w:val="16"/>
          <w:color w:val="auto"/>
        </w:rPr>
      </w:pPr>
      <w:r>
        <w:rPr>
          <w:rFonts w:ascii="Arial" w:cs="Arial" w:eastAsia="Arial" w:hAnsi="Arial"/>
          <w:sz w:val="18"/>
          <w:szCs w:val="18"/>
          <w:color w:val="auto"/>
        </w:rPr>
        <w:t>(3), (a)(7) or (a)(8) under the Act.</w:t>
      </w:r>
    </w:p>
    <w:p>
      <w:pPr>
        <w:spacing w:after="0" w:line="211" w:lineRule="exact"/>
        <w:rPr>
          <w:sz w:val="20"/>
          <w:szCs w:val="20"/>
          <w:color w:val="auto"/>
        </w:rPr>
      </w:pPr>
    </w:p>
    <w:p>
      <w:pPr>
        <w:ind w:right="100" w:firstLine="436"/>
        <w:spacing w:after="0" w:line="268"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Company covenants and agrees with the several Underwriters that the Company will pay or cause to be paid the following: (i) the fees, disbursements and expenses of the Company’s counsel and accountants in connection with the registration of the Shares under the Act and all other expenses in connection with the preparation, printing, reproduction and filing of the Registration Statement, the Basic Prospectus, any Preliminary Prospectus, any Written Testing-the-Waters Communication, any Issuer Free Writing Prospectus and the Prospectus and amendments and supplements thereto and the mailing and delivering of copies thereof to the Underwriters and dealers; (ii) the cost of printing or producing any Agreement among Underwriters, this Agreement, any Blue Sky Memorandum, closing documents (including any compilations thereof) and any other documents in connection with the offering, purchase, sale and delivery of the Shares; (iii) all expenses in connection with the qualification of the Shares for offering and sale under state securities laws as provided in Section 5(b) hereof, including the fees and disbursements of counsel for the Underwriters in connection with such qualification and in connection with the Blue Sky survey(s); (iv) any filing fees incident to, and the fees and disbursements of counsel for the Underwriters in connection with, any required reviews by FINRA of the terms of the sale of the Shares; (v) the cost of preparing certificates for the Shares; (vi) the cost and charges of any transfer agent or registrar; (vii) all fees and expenses in connection with listing the Shares on the Exchange; and (viii) all other costs and expenses incident to the performance of its obligations hereunder which are not otherwise specifically provided for in this Section. It is understood, however, that, except as provided in this Section, and Sections 9 and 12 hereof, the Underwriters will pay all of their own costs and expenses, including the fees of their counsel, transfer taxes on resale of any of the Shares by them, and any advertising expenses connected with any offers they may make.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1" w:name="page22"/>
    <w:bookmarkEnd w:id="21"/>
    <w:p>
      <w:pPr>
        <w:jc w:val="both"/>
        <w:ind w:right="100" w:firstLine="436"/>
        <w:spacing w:after="0" w:line="259"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the Underwriters hereunder, as to the Shares to be delivered at each Time of Delivery, shall be subject, in their discretion, to the condition that all representations and warranties and other statements of the Company herein are, at and as of the Applicable Time and such Time of Delivery, true and correct, the condition that the Company shall have performed all of its obligations hereunder theretofore to be performed, and the following additional conditions:</w:t>
      </w:r>
    </w:p>
    <w:p>
      <w:pPr>
        <w:spacing w:after="0" w:line="78" w:lineRule="exact"/>
        <w:rPr>
          <w:rFonts w:ascii="Arial" w:cs="Arial" w:eastAsia="Arial" w:hAnsi="Arial"/>
          <w:sz w:val="18"/>
          <w:szCs w:val="18"/>
          <w:color w:val="auto"/>
        </w:rPr>
      </w:pPr>
    </w:p>
    <w:p>
      <w:pPr>
        <w:ind w:left="440" w:firstLine="419"/>
        <w:spacing w:after="0" w:line="270" w:lineRule="auto"/>
        <w:tabs>
          <w:tab w:leader="none" w:pos="1108"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filings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or pursuant to Section 8A of the Act shall have been initiated or threatened by the Commission; no stop order suspending or preventing the use of the Pricing Prospectus, Prospectus or any Issuer Free Writing Prospectus shall have been initiated or threatened by the Commission; and all requests for additional information on the part of the Commission shall have been complied with to your reasonable satisfaction;</w:t>
      </w:r>
    </w:p>
    <w:p>
      <w:pPr>
        <w:spacing w:after="0" w:line="72" w:lineRule="exact"/>
        <w:rPr>
          <w:rFonts w:ascii="Arial" w:cs="Arial" w:eastAsia="Arial" w:hAnsi="Arial"/>
          <w:sz w:val="17"/>
          <w:szCs w:val="17"/>
          <w:color w:val="auto"/>
        </w:rPr>
      </w:pPr>
    </w:p>
    <w:p>
      <w:pPr>
        <w:ind w:left="440" w:right="180" w:firstLine="419"/>
        <w:spacing w:after="0" w:line="263" w:lineRule="auto"/>
        <w:tabs>
          <w:tab w:leader="none" w:pos="11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Mintz, Levin, Cohn, Ferris, Glovsky and Popeo, P.C., counsel for the Underwriters, shall have furnished to you such written opinion or opinions, dated such Time of Delivery in form and substance satisfactory to you, and such counsel shall have received such papers and information as they may reasonably request to enable them to pass upon such matters;</w:t>
      </w:r>
    </w:p>
    <w:p>
      <w:pPr>
        <w:spacing w:after="0" w:line="75" w:lineRule="exact"/>
        <w:rPr>
          <w:rFonts w:ascii="Arial" w:cs="Arial" w:eastAsia="Arial" w:hAnsi="Arial"/>
          <w:sz w:val="18"/>
          <w:szCs w:val="18"/>
          <w:color w:val="auto"/>
        </w:rPr>
      </w:pPr>
    </w:p>
    <w:p>
      <w:pPr>
        <w:ind w:left="440" w:right="300" w:firstLine="419"/>
        <w:spacing w:after="0" w:line="277" w:lineRule="auto"/>
        <w:tabs>
          <w:tab w:leader="none" w:pos="11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Goodwin Procter LLP, counsel for the Company, shall have furnished to you their written opinion and negative assurance letter, dated such Time of Delivery, in form and substance satisfactory to you;</w:t>
      </w:r>
    </w:p>
    <w:p>
      <w:pPr>
        <w:spacing w:after="0" w:line="62" w:lineRule="exact"/>
        <w:rPr>
          <w:rFonts w:ascii="Arial" w:cs="Arial" w:eastAsia="Arial" w:hAnsi="Arial"/>
          <w:sz w:val="18"/>
          <w:szCs w:val="18"/>
          <w:color w:val="auto"/>
        </w:rPr>
      </w:pPr>
    </w:p>
    <w:p>
      <w:pPr>
        <w:ind w:left="440" w:right="420" w:firstLine="419"/>
        <w:spacing w:after="0" w:line="277" w:lineRule="auto"/>
        <w:tabs>
          <w:tab w:leader="none" w:pos="1118" w:val="left"/>
        </w:tabs>
        <w:numPr>
          <w:ilvl w:val="1"/>
          <w:numId w:val="27"/>
        </w:numPr>
        <w:rPr>
          <w:rFonts w:ascii="Arial" w:cs="Arial" w:eastAsia="Arial" w:hAnsi="Arial"/>
          <w:sz w:val="18"/>
          <w:szCs w:val="18"/>
          <w:color w:val="auto"/>
        </w:rPr>
      </w:pPr>
      <w:r>
        <w:rPr>
          <w:rFonts w:ascii="Arial" w:cs="Arial" w:eastAsia="Arial" w:hAnsi="Arial"/>
          <w:sz w:val="18"/>
          <w:szCs w:val="18"/>
          <w:color w:val="auto"/>
        </w:rPr>
        <w:t>Goodwin Procter LLP, intellectual property counsel for the Company, shall have furnished to you their written opinion and negative assurance letter, dated such Time of Delivery, in form and substance satisfactory to you;</w:t>
      </w:r>
    </w:p>
    <w:p>
      <w:pPr>
        <w:spacing w:after="0" w:line="62" w:lineRule="exact"/>
        <w:rPr>
          <w:rFonts w:ascii="Arial" w:cs="Arial" w:eastAsia="Arial" w:hAnsi="Arial"/>
          <w:sz w:val="18"/>
          <w:szCs w:val="18"/>
          <w:color w:val="auto"/>
        </w:rPr>
      </w:pPr>
    </w:p>
    <w:p>
      <w:pPr>
        <w:jc w:val="both"/>
        <w:ind w:left="440" w:right="60" w:firstLine="419"/>
        <w:spacing w:after="0" w:line="259" w:lineRule="auto"/>
        <w:tabs>
          <w:tab w:leader="none" w:pos="1108" w:val="left"/>
        </w:tabs>
        <w:numPr>
          <w:ilvl w:val="1"/>
          <w:numId w:val="27"/>
        </w:numPr>
        <w:rPr>
          <w:rFonts w:ascii="Arial" w:cs="Arial" w:eastAsia="Arial" w:hAnsi="Arial"/>
          <w:sz w:val="18"/>
          <w:szCs w:val="18"/>
          <w:color w:val="auto"/>
        </w:rPr>
      </w:pPr>
      <w:r>
        <w:rPr>
          <w:rFonts w:ascii="Arial" w:cs="Arial" w:eastAsia="Arial" w:hAnsi="Arial"/>
          <w:sz w:val="18"/>
          <w:szCs w:val="18"/>
          <w:color w:val="auto"/>
        </w:rPr>
        <w:t>On the date of the Prospectus at a time prior to the execution of this Agreement, at 9:30 a.m., New York City time, on the effective date of any post-effective amendment to the Registration Statement filed subsequent to the date of this Agreement and also at each Time of Delivery, Ernst &amp; Young LLP shall have furnished to you a letter or letters, dated the respective dates of delivery thereof, in form and substance satisfactory to you;</w:t>
      </w:r>
    </w:p>
    <w:p>
      <w:pPr>
        <w:spacing w:after="0" w:line="78" w:lineRule="exact"/>
        <w:rPr>
          <w:rFonts w:ascii="Arial" w:cs="Arial" w:eastAsia="Arial" w:hAnsi="Arial"/>
          <w:sz w:val="18"/>
          <w:szCs w:val="18"/>
          <w:color w:val="auto"/>
        </w:rPr>
      </w:pPr>
    </w:p>
    <w:p>
      <w:pPr>
        <w:ind w:left="440" w:right="20" w:firstLine="419"/>
        <w:spacing w:after="0" w:line="254" w:lineRule="auto"/>
        <w:tabs>
          <w:tab w:leader="none" w:pos="1088" w:val="left"/>
        </w:tabs>
        <w:numPr>
          <w:ilvl w:val="1"/>
          <w:numId w:val="27"/>
        </w:numPr>
        <w:rPr>
          <w:rFonts w:ascii="Arial" w:cs="Arial" w:eastAsia="Arial" w:hAnsi="Arial"/>
          <w:sz w:val="18"/>
          <w:szCs w:val="18"/>
          <w:color w:val="auto"/>
        </w:rPr>
      </w:pPr>
      <w:r>
        <w:rPr>
          <w:rFonts w:ascii="Arial" w:cs="Arial" w:eastAsia="Arial" w:hAnsi="Arial"/>
          <w:sz w:val="18"/>
          <w:szCs w:val="18"/>
          <w:color w:val="auto"/>
        </w:rPr>
        <w:t>(i) Neither the Company nor its subsidiary shall have sustained since the date of the latest audited financial statements included or incorporated by reference in the Pricing Prospectus any loss or interference with its business from fire, explosion, flood or other calamity, whether or not covered by insurance, or from any labor dispute or court or governmental action, order or decree, otherwise than as set forth or contemplated in the Pricing Prospectus, and (ii) since the respective dates as of which information is given in the Pricing Prospectus there shall not have been any change in the capital stock (other than as a result of the exercise of stock options or the award of stock options or other equity awardsin the ordinary course of business pursuant to the Company’s equity plans that are described in the Pricing Prospectus) or long term debt of the Company or its subsidiary or any change or effect, or any development involving a prospective change or effect, in or affecting (x) the business, properties, general affairs,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2" w:name="page23"/>
    <w:bookmarkEnd w:id="22"/>
    <w:p>
      <w:pPr>
        <w:ind w:left="3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financial position, stockholders’ equity or results of operations of the Company and its subsidiary, taken as a whole, except as set forth or contemplated in the Pricing Prospectus, or (y) the ability of the Company to perform its obligations under this Agreement, including the issuance and sale of the Shares, or to consummate the transactions contemplated in the Pricing Prospectus and the Prospectus, the effect of which, in any such case described in clause (i) or (ii), is in your judgment so material and adverse as to make it impracticable or inadvisable to proceed with the public offering or the delivery of the Shares being delivered at such Time of Delivery on the terms and in the manner contemplated in the Pricing Prospectus and the Prospectus;</w:t>
      </w:r>
    </w:p>
    <w:p>
      <w:pPr>
        <w:spacing w:after="0" w:line="84" w:lineRule="exact"/>
        <w:rPr>
          <w:sz w:val="20"/>
          <w:szCs w:val="20"/>
          <w:color w:val="auto"/>
        </w:rPr>
      </w:pPr>
    </w:p>
    <w:p>
      <w:pPr>
        <w:ind w:left="380" w:right="140" w:firstLine="419"/>
        <w:spacing w:after="0" w:line="270" w:lineRule="auto"/>
        <w:tabs>
          <w:tab w:leader="none" w:pos="1058" w:val="left"/>
        </w:tabs>
        <w:numPr>
          <w:ilvl w:val="1"/>
          <w:numId w:val="28"/>
        </w:numPr>
        <w:rPr>
          <w:rFonts w:ascii="Arial" w:cs="Arial" w:eastAsia="Arial" w:hAnsi="Arial"/>
          <w:sz w:val="17"/>
          <w:szCs w:val="17"/>
          <w:color w:val="auto"/>
        </w:rPr>
      </w:pPr>
      <w:r>
        <w:rPr>
          <w:rFonts w:ascii="Arial" w:cs="Arial" w:eastAsia="Arial" w:hAnsi="Arial"/>
          <w:sz w:val="17"/>
          <w:szCs w:val="17"/>
          <w:color w:val="auto"/>
        </w:rPr>
        <w:t>On or after the Applicable Time there shall not have occurred any of the following: (i) a suspension or material limitation in trading in securities generally on the New York Stock Exchange or on the Exchange; (ii) a suspension or material limitation in trading in the Company’s securities on the Exchange; (iii) a general moratorium on commercial banking activities declared by either Federal, Commonwealth of Massachusetts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your judgment makes it impracticable or inadvisable to proceed with the public offering or the delivery of the Shares being delivered at such Time of Delivery on the terms and in the manner contemplated in the Pricing Prospectus and the Prospectus;</w:t>
      </w:r>
    </w:p>
    <w:p>
      <w:pPr>
        <w:spacing w:after="0" w:line="72" w:lineRule="exact"/>
        <w:rPr>
          <w:rFonts w:ascii="Arial" w:cs="Arial" w:eastAsia="Arial" w:hAnsi="Arial"/>
          <w:sz w:val="17"/>
          <w:szCs w:val="17"/>
          <w:color w:val="auto"/>
        </w:rPr>
      </w:pPr>
    </w:p>
    <w:p>
      <w:pPr>
        <w:ind w:left="1060" w:hanging="261"/>
        <w:spacing w:after="0"/>
        <w:tabs>
          <w:tab w:leader="none" w:pos="10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Shares at each Time of Delivery shall have been duly listed, subject to notice of issuance, on the Exchange;</w:t>
      </w:r>
    </w:p>
    <w:p>
      <w:pPr>
        <w:spacing w:after="0" w:line="117" w:lineRule="exact"/>
        <w:rPr>
          <w:rFonts w:ascii="Arial" w:cs="Arial" w:eastAsia="Arial" w:hAnsi="Arial"/>
          <w:sz w:val="18"/>
          <w:szCs w:val="18"/>
          <w:color w:val="auto"/>
        </w:rPr>
      </w:pPr>
    </w:p>
    <w:p>
      <w:pPr>
        <w:ind w:left="380" w:right="120" w:firstLine="419"/>
        <w:spacing w:after="0" w:line="277" w:lineRule="auto"/>
        <w:tabs>
          <w:tab w:leader="none" w:pos="101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have complied with the provisions of Section 5(c) hereof with respect to the furnishing of prospectuses on the New York Business Day next succeeding the date of this Agreement; and</w:t>
      </w:r>
    </w:p>
    <w:p>
      <w:pPr>
        <w:spacing w:after="0" w:line="62" w:lineRule="exact"/>
        <w:rPr>
          <w:rFonts w:ascii="Arial" w:cs="Arial" w:eastAsia="Arial" w:hAnsi="Arial"/>
          <w:sz w:val="18"/>
          <w:szCs w:val="18"/>
          <w:color w:val="auto"/>
        </w:rPr>
      </w:pPr>
    </w:p>
    <w:p>
      <w:pPr>
        <w:ind w:left="380" w:right="40" w:firstLine="419"/>
        <w:spacing w:after="0" w:line="279" w:lineRule="auto"/>
        <w:tabs>
          <w:tab w:leader="none" w:pos="1018"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Company shall have furnished or caused to be furnished to you at such Time of Delivery certificates of officers of the Company satisfactory to you as to the accuracy of the representations and warranties of the Company herein at and as of such Time of Delivery, as to the performance by the Company of all of its obligations hereunder to be performed at or prior to such Time of Delivery, as to the matters set forth in subsections (a) and (e) of this Section and as to such other matters as you may reasonably request.</w:t>
      </w:r>
    </w:p>
    <w:p>
      <w:pPr>
        <w:spacing w:after="0" w:line="63" w:lineRule="exact"/>
        <w:rPr>
          <w:rFonts w:ascii="Arial" w:cs="Arial" w:eastAsia="Arial" w:hAnsi="Arial"/>
          <w:sz w:val="17"/>
          <w:szCs w:val="17"/>
          <w:color w:val="auto"/>
        </w:rPr>
      </w:pPr>
    </w:p>
    <w:p>
      <w:pPr>
        <w:ind w:left="380" w:right="20" w:firstLine="419"/>
        <w:spacing w:after="0" w:line="263" w:lineRule="auto"/>
        <w:tabs>
          <w:tab w:leader="none" w:pos="1058"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Company shall have obtained and delivered to the Underwriters executed copies of an agreement from each officer, director, and stockholder of the Company listed on Schedule III hereto, substantially to the effect set forth in Annex I hereto in form and substance satisfactory to you;</w:t>
      </w:r>
    </w:p>
    <w:p>
      <w:pPr>
        <w:spacing w:after="0" w:line="183" w:lineRule="exact"/>
        <w:rPr>
          <w:rFonts w:ascii="Arial" w:cs="Arial" w:eastAsia="Arial" w:hAnsi="Arial"/>
          <w:sz w:val="18"/>
          <w:szCs w:val="18"/>
          <w:color w:val="auto"/>
        </w:rPr>
      </w:pPr>
    </w:p>
    <w:p>
      <w:pPr>
        <w:ind w:left="-60" w:right="280" w:firstLine="436"/>
        <w:spacing w:after="0" w:line="273" w:lineRule="auto"/>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The Company will indemnify and hold harmless each Underwriter against any losses, claims, damages or liabilities, joint or several, to which such Underwriter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any Issuer Free Writing Prospectus, any “roadshow” as defined in Rule 433(h) under the Act (a “roadshow”), any “issuer information” filed or required to be filed pursuant to Rule 433(d) under the Act or any Testing-the-Waters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500" w:top="274" w:right="519" w:bottom="1440" w:gutter="0" w:footer="0" w:header="0"/>
        </w:sectPr>
      </w:pPr>
    </w:p>
    <w:bookmarkStart w:id="23" w:name="page24"/>
    <w:bookmarkEnd w:id="23"/>
    <w:p>
      <w:pPr>
        <w:ind w:right="28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Communication,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provided, however, that the Company shall not be liable in any such case to the extent that any such loss, claim, damage or liability arises out of or is based upon an untrue statement or alleged untrue statement or omission or alleged omission made in the Registration Statement, the Basic Prospectus, any Preliminary Prospectus, the Pricing Prospectus or the Prospectus, or any amendment or supplement thereto, or any Issuer Free Writing Prospectus or any Testing-the-Waters Communication, in reliance upon and in conformity with the Underwriter Information.</w:t>
      </w:r>
    </w:p>
    <w:p>
      <w:pPr>
        <w:spacing w:after="0" w:line="177" w:lineRule="exact"/>
        <w:rPr>
          <w:sz w:val="20"/>
          <w:szCs w:val="20"/>
          <w:color w:val="auto"/>
        </w:rPr>
      </w:pPr>
    </w:p>
    <w:p>
      <w:pPr>
        <w:ind w:right="40" w:firstLine="436"/>
        <w:spacing w:after="0" w:line="286" w:lineRule="auto"/>
        <w:tabs>
          <w:tab w:leader="none" w:pos="695" w:val="left"/>
        </w:tabs>
        <w:numPr>
          <w:ilvl w:val="0"/>
          <w:numId w:val="30"/>
        </w:numPr>
        <w:rPr>
          <w:rFonts w:ascii="Arial" w:cs="Arial" w:eastAsia="Arial" w:hAnsi="Arial"/>
          <w:sz w:val="16"/>
          <w:szCs w:val="16"/>
          <w:color w:val="auto"/>
        </w:rPr>
      </w:pPr>
      <w:r>
        <w:rPr>
          <w:rFonts w:ascii="Arial" w:cs="Arial" w:eastAsia="Arial" w:hAnsi="Arial"/>
          <w:sz w:val="16"/>
          <w:szCs w:val="16"/>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the Basic Prospectus, any Preliminary Prospectus, the Pricing Prospectus or the Prospectus, or any amendment or supplement thereto, or any Issuer Free Writing Prospectus, or any roadshow or any Testing-the-Waters Communication,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Basic Prospectus, any Preliminary Prospectus, the Pricing Prospectus or the Prospectus, or any amendment or supplement thereto, or any Issuer Free Writing Prospectus, or any roadshow or any Testing-the-Waters Communication, in reliance upon and in conformity with the Underwriter Information; and will reimburse the Company for any legal or other expenses reasonably incurred by the Company in connection with investigating or defending any such action or claim as such expenses are incurred. As used in this Agreement with respect to an Underwriter and an applicable document, “Underwriter Information” shall mean the written information furnished to the Company by such Underwriter through the Representatives expressly for use therein; it being understood and agreed upon that the only such information furnished by any Underwriter consists of the following information in the Prospectus furnished on behalf of each Underwriter: the concession figure appearing in the sixth paragraph under the caption “Underwriting”, and the information contained in the ninth, tenth and eleventh paragraphs under the caption “Underwriting”.</w:t>
      </w:r>
    </w:p>
    <w:p>
      <w:pPr>
        <w:spacing w:after="0" w:line="167" w:lineRule="exact"/>
        <w:rPr>
          <w:rFonts w:ascii="Arial" w:cs="Arial" w:eastAsia="Arial" w:hAnsi="Arial"/>
          <w:sz w:val="16"/>
          <w:szCs w:val="16"/>
          <w:color w:val="auto"/>
        </w:rPr>
      </w:pPr>
    </w:p>
    <w:p>
      <w:pPr>
        <w:ind w:firstLine="436"/>
        <w:spacing w:after="0" w:line="269" w:lineRule="auto"/>
        <w:tabs>
          <w:tab w:leader="none" w:pos="685"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Promptly after receipt by an indemnified party under subsection (a) or (b) above of notice of the commencement of any action, such indemnified party shall, if a claim in respect thereof is to be made against the indemnifying party under such subsection, notify the indemnifying party in writing of the commencement thereof; provided that the failure to notify the indemnifying party shall not relieve it from any liability that it may have under the preceding paragraphs of this Section 9 except to the extent that it has been materially prejudiced (through the forfeiture of substantive rights or defenses) by such failure; and provided further that the failure to notify the indemnifying party shall not relieve it from any liability that it may have to an indemnified party otherwise than under the preceding paragraphs of this Section 9.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4" w:name="page25"/>
    <w:bookmarkEnd w:id="24"/>
    <w:p>
      <w:pPr>
        <w:ind w:left="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(i) includes an unconditional release of the indemnified party from all liability arising out of such action or claim and (ii) does not include any statement as to or an admission of fault, culpability or a failure to act, by or on behalf of any indemnified party.</w:t>
      </w:r>
    </w:p>
    <w:p>
      <w:pPr>
        <w:spacing w:after="0" w:line="164" w:lineRule="exact"/>
        <w:rPr>
          <w:sz w:val="20"/>
          <w:szCs w:val="20"/>
          <w:color w:val="auto"/>
        </w:rPr>
      </w:pPr>
    </w:p>
    <w:p>
      <w:pPr>
        <w:ind w:left="704" w:hanging="264"/>
        <w:spacing w:after="0"/>
        <w:tabs>
          <w:tab w:leader="none" w:pos="704" w:val="left"/>
        </w:tabs>
        <w:numPr>
          <w:ilvl w:val="1"/>
          <w:numId w:val="31"/>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9 is unavailable to or insufficient to hold harmless an indemnified party under subsection</w:t>
      </w:r>
    </w:p>
    <w:p>
      <w:pPr>
        <w:spacing w:after="0" w:line="34" w:lineRule="exact"/>
        <w:rPr>
          <w:rFonts w:ascii="Arial" w:cs="Arial" w:eastAsia="Arial" w:hAnsi="Arial"/>
          <w:sz w:val="17"/>
          <w:szCs w:val="17"/>
          <w:color w:val="auto"/>
        </w:rPr>
      </w:pPr>
    </w:p>
    <w:p>
      <w:pPr>
        <w:ind w:left="4" w:hanging="4"/>
        <w:spacing w:after="0" w:line="283"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Shares. If, however, the allocation provided by the immediately preceding sentence is not permitted by applicable law,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allocation (even if the Underwriters were treated as one entity for such purpose) or by any 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Shares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4" w:right="459" w:bottom="1440" w:gutter="0" w:footer="0" w:header="0"/>
        </w:sectPr>
      </w:pPr>
    </w:p>
    <w:bookmarkStart w:id="25" w:name="page26"/>
    <w:bookmarkEnd w:id="25"/>
    <w:p>
      <w:pPr>
        <w:ind w:right="220" w:firstLine="436"/>
        <w:spacing w:after="0" w:line="296" w:lineRule="auto"/>
        <w:tabs>
          <w:tab w:leader="none" w:pos="685"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obligations of the Company under this Section 9 shall be in addition to any liability which the Company may otherwise have and shall extend, upon the same terms and conditions, to each employee, officer and director of each Underwriter, each person, if any, who controls any Underwriter within the meaning of the Act and each broker-dealer or other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and to each person, if any, who controls the Company within the meaning of the Act.</w:t>
      </w:r>
    </w:p>
    <w:p>
      <w:pPr>
        <w:spacing w:after="0" w:line="161" w:lineRule="exact"/>
        <w:rPr>
          <w:sz w:val="20"/>
          <w:szCs w:val="20"/>
          <w:color w:val="auto"/>
        </w:rPr>
      </w:pPr>
    </w:p>
    <w:p>
      <w:pPr>
        <w:ind w:firstLine="436"/>
        <w:spacing w:after="0" w:line="288" w:lineRule="auto"/>
        <w:tabs>
          <w:tab w:leader="none" w:pos="71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If any Underwriter shall default in its obligation to purchase the Shares which it has agreed to purchase hereunder at a Time of Delivery, you may in your discretion arrange for you or another party or other parties to purchase such Shares on the terms contained herein. If within thirty six hours after such default by any Underwriter you do not arrange for the purchase of such Shares, then the Company shall be entitled to a further period of thirty six hours within which to procure another party or other parties satisfactory to you to purchase such Shares on such terms. In the event that, within the respective prescribed periods, you notify the Company that you have so arranged for the purchase of such Shares, or the Company notifies you that it has so arranged for the purchase of such Shares, you or the Company shall have the right to postpone such Time of Delivery for a period of not more than seven days, in order to effect whatever changes may thereby be made necessary in the Registration Statement or the Prospectus, or in any other documents or arrangements, and the Company agrees to file promptly any amendments or supplements to the Registration Statement or the Prospectus which in your opinion may thereby be made necessary. The term “Underwriter” as used in this Agreement shall include any person substituted under this Section with like effect as if such person had originally been a party to this Agreement with respect to such Shares.</w:t>
      </w:r>
    </w:p>
    <w:p>
      <w:pPr>
        <w:spacing w:after="0" w:line="168" w:lineRule="exact"/>
        <w:rPr>
          <w:sz w:val="20"/>
          <w:szCs w:val="20"/>
          <w:color w:val="auto"/>
        </w:rPr>
      </w:pPr>
    </w:p>
    <w:p>
      <w:pPr>
        <w:ind w:right="60" w:firstLine="436"/>
        <w:spacing w:after="0" w:line="254"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does not exceed one-eleventh of the aggregate number of all the Shares to be purchased at such Time of Delivery, then the Company shall have the right to require each non-defaulting Underwriter to purchase the number of shares which such Underwriter agreed to purchase hereunder at such Time of Delivery and, in addition, to require each non-defaulting Underwriter to purchase its pro rata share (based on the number of Shares which such Underwriter agreed to purchase hereunder) of the Shares of such defaulting Underwriter or Underwriters for which such arrangements have not been made; but nothing herein shall relieve a defaulting Underwriter from liability for its default.</w:t>
      </w:r>
    </w:p>
    <w:p>
      <w:pPr>
        <w:spacing w:after="0" w:line="194" w:lineRule="exact"/>
        <w:rPr>
          <w:rFonts w:ascii="Arial" w:cs="Arial" w:eastAsia="Arial" w:hAnsi="Arial"/>
          <w:sz w:val="18"/>
          <w:szCs w:val="18"/>
          <w:color w:val="auto"/>
        </w:rPr>
      </w:pPr>
    </w:p>
    <w:p>
      <w:pPr>
        <w:ind w:right="20" w:firstLine="436"/>
        <w:spacing w:after="0" w:line="254"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after giving effect to any arrangements for the purchase of the Shares of a defaulting Underwriter or Underwriters by you and the Company as provided in subsection (a) above, the aggregate number of such Shares which remains unpurchased exceeds one-eleventh of the aggregate number of all the Shares to be purchased at such Time of Delivery, or if the Company shall not exercise the right described in subsection (b) above to require non-defaulting Underwriters to purchase Shares of a defaulting Underwriter or Underwriters, then this Agreement (or, with respect to the Second Time of Delivery, the obligations of the Underwriters to purchase and of the Company to sell the Optional Shares)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92" w:lineRule="exact"/>
        <w:rPr>
          <w:sz w:val="20"/>
          <w:szCs w:val="20"/>
          <w:color w:val="auto"/>
        </w:rPr>
      </w:pPr>
    </w:p>
    <w:p>
      <w:pPr>
        <w:ind w:right="60" w:firstLine="436"/>
        <w:spacing w:after="0" w:line="257" w:lineRule="auto"/>
        <w:tabs>
          <w:tab w:leader="none" w:pos="7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respective indemnities, rights of contribution,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director, officer, employee, affiliate or controlling person of any Underwriter, or the Company, or any officer or director or controlling person of the Company, and shall survive delivery of and payment for the Shares.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26" w:name="page27"/>
    <w:bookmarkEnd w:id="26"/>
    <w:p>
      <w:pPr>
        <w:ind w:right="400" w:firstLine="436"/>
        <w:spacing w:after="0" w:line="296" w:lineRule="auto"/>
        <w:tabs>
          <w:tab w:leader="none" w:pos="710"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this Agreement shall be terminated pursuant to Section 10 hereof, the Company shall not then be under any liability to any Underwriter except as provided in Sections 7 and 9 hereof; but, if for any other reason, any Shares are not delivered by or on behalf of the Company as provided herein, the Company will reimburse the Underwriters through you for all out-of-pocket expenses approved in writing by you, including fees and disbursements of counsel, reasonably incurred by the Underwriters in making preparations for the purchase, sale and delivery of the Shares not so delivered, but the Company shall then be under no further liability to any Underwriter except as provided in Sections 7 and 9 hereof.</w:t>
      </w:r>
    </w:p>
    <w:p>
      <w:pPr>
        <w:spacing w:after="0" w:line="161" w:lineRule="exact"/>
        <w:rPr>
          <w:rFonts w:ascii="Arial" w:cs="Arial" w:eastAsia="Arial" w:hAnsi="Arial"/>
          <w:sz w:val="16"/>
          <w:szCs w:val="16"/>
          <w:color w:val="auto"/>
        </w:rPr>
      </w:pPr>
    </w:p>
    <w:p>
      <w:pPr>
        <w:ind w:right="20" w:firstLine="436"/>
        <w:spacing w:after="0" w:line="263" w:lineRule="auto"/>
        <w:tabs>
          <w:tab w:leader="none" w:pos="7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all dealings hereunder, you shall act on behalf of each of the Underwriters, and the parties hereto shall be entitled to act and rely upon any statement, request, notice or agreement on behalf of any Underwriter made or given by you jointly or by Goldman Sachs &amp; Co. LLC and SVB Securities LLC on behalf of you as the representatives.</w:t>
      </w:r>
    </w:p>
    <w:p>
      <w:pPr>
        <w:spacing w:after="0" w:line="184"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All statements, requests, notices and agreements hereunder shall be in writing, and if to the Underwriters shall be delivered or sent by mail, telex or facsimile transmission to you as the Representatives in care of Goldman Sachs &amp; Co. LLC, 200 West Street, New York, New York 10282-2198, Attention: Registration Department and SVB Securities LLC, 1301 Avenue of the Americas, 12th Floor, New York, NY 10019, Attention: Stuart R. Nayman; and if to the Company shall be delivered or sent by mail, telex or facsimile transmission to the address of the Company set forth in the Registration Statement, Attention: Secretary; provided, however,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you upon request. Any such statements, requests, notices or agreements shall take effect upon receipt thereof.</w:t>
      </w:r>
    </w:p>
    <w:p>
      <w:pPr>
        <w:spacing w:after="0" w:line="192"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49" w:lineRule="exact"/>
        <w:rPr>
          <w:sz w:val="20"/>
          <w:szCs w:val="20"/>
          <w:color w:val="auto"/>
        </w:rPr>
      </w:pPr>
    </w:p>
    <w:p>
      <w:pPr>
        <w:ind w:right="100" w:firstLine="436"/>
        <w:spacing w:after="0" w:line="257" w:lineRule="auto"/>
        <w:tabs>
          <w:tab w:leader="none" w:pos="7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Agreement shall be binding upon, and inure solely to the benefit of, the Underwriters, the Company and, to the extent provided in Sections 8 and 10 hereof, the officers and directors of the Company and each person who controls the Company or any Underwriter, or any director, officer, employee, or affiliate of any Underwriter, and their respective heirs, executors, administrators, successors and assigns, and no other person shall acquire or have any right under or by virtue of this Agreement. No purchaser of any of the Shares from any Underwriter shall be deemed a successor or assign by reason merely of such purchase.</w:t>
      </w:r>
    </w:p>
    <w:p>
      <w:pPr>
        <w:spacing w:after="0" w:line="187" w:lineRule="exact"/>
        <w:rPr>
          <w:rFonts w:ascii="Arial" w:cs="Arial" w:eastAsia="Arial" w:hAnsi="Arial"/>
          <w:sz w:val="18"/>
          <w:szCs w:val="18"/>
          <w:color w:val="auto"/>
        </w:rPr>
      </w:pPr>
    </w:p>
    <w:p>
      <w:pPr>
        <w:ind w:right="120" w:firstLine="436"/>
        <w:spacing w:after="0" w:line="277" w:lineRule="auto"/>
        <w:tabs>
          <w:tab w:leader="none" w:pos="71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Time shall be of the essence of this Agreement. As used herein, the term “business day” shall mean any day when the Commission’s office in Washington, D.C. is open for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7" w:name="page28"/>
    <w:bookmarkEnd w:id="27"/>
    <w:p>
      <w:pPr>
        <w:ind w:firstLine="436"/>
        <w:spacing w:after="0" w:line="269" w:lineRule="auto"/>
        <w:tabs>
          <w:tab w:leader="none" w:pos="710" w:val="left"/>
        </w:tabs>
        <w:numPr>
          <w:ilvl w:val="0"/>
          <w:numId w:val="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acknowledges and agrees that (i) the purchase and sale of the Shares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(iv) the Company has consulted its own legal and financial advisors to the extent it deemed appropriate, and (v) none of the activities of the Underwriters in connection with the transactions contemplated herein constitutes a recommendation, investment advice, or solicitation of any action by the Underwriters with respect to any entity or natural person.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185" w:lineRule="exact"/>
        <w:rPr>
          <w:rFonts w:ascii="Arial" w:cs="Arial" w:eastAsia="Arial" w:hAnsi="Arial"/>
          <w:sz w:val="17"/>
          <w:szCs w:val="17"/>
          <w:color w:val="auto"/>
        </w:rPr>
      </w:pPr>
    </w:p>
    <w:p>
      <w:pPr>
        <w:ind w:right="100" w:firstLine="436"/>
        <w:spacing w:after="0" w:line="277" w:lineRule="auto"/>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Agreement supersedes all prior agreements and understandings (whether written or oral) between the Company and the Underwriters, or any of them, with respect to the subject matter hereof.</w:t>
      </w:r>
    </w:p>
    <w:p>
      <w:pPr>
        <w:spacing w:after="0" w:line="166" w:lineRule="exact"/>
        <w:rPr>
          <w:rFonts w:ascii="Arial" w:cs="Arial" w:eastAsia="Arial" w:hAnsi="Arial"/>
          <w:sz w:val="18"/>
          <w:szCs w:val="18"/>
          <w:color w:val="auto"/>
        </w:rPr>
      </w:pPr>
    </w:p>
    <w:p>
      <w:pPr>
        <w:ind w:right="20" w:firstLine="436"/>
        <w:spacing w:after="0" w:line="256" w:lineRule="auto"/>
        <w:tabs>
          <w:tab w:leader="none" w:pos="71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This Agreement and any transaction contemplated by this Agreement shall be governed by and construed in accordance with the laws of the State of New York without regard to principles of conflict of laws that would results in the application of any other law than the laws of the State of New York. The Company agrees that any suit or proceeding arising in respect of this Agreement or any transaction contemplated by this Agreement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191" w:lineRule="exact"/>
        <w:rPr>
          <w:rFonts w:ascii="Arial" w:cs="Arial" w:eastAsia="Arial" w:hAnsi="Arial"/>
          <w:sz w:val="18"/>
          <w:szCs w:val="18"/>
          <w:b w:val="1"/>
          <w:bCs w:val="1"/>
          <w:color w:val="auto"/>
        </w:rPr>
      </w:pPr>
    </w:p>
    <w:p>
      <w:pPr>
        <w:ind w:right="240" w:firstLine="436"/>
        <w:spacing w:after="0" w:line="277" w:lineRule="auto"/>
        <w:tabs>
          <w:tab w:leader="none" w:pos="7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70" w:lineRule="exact"/>
        <w:rPr>
          <w:rFonts w:ascii="Arial" w:cs="Arial" w:eastAsia="Arial" w:hAnsi="Arial"/>
          <w:sz w:val="18"/>
          <w:szCs w:val="18"/>
          <w:color w:val="auto"/>
        </w:rPr>
      </w:pPr>
    </w:p>
    <w:p>
      <w:pPr>
        <w:ind w:firstLine="436"/>
        <w:spacing w:after="0" w:line="275" w:lineRule="auto"/>
        <w:tabs>
          <w:tab w:leader="none" w:pos="71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anything herein to the contrary, the Company is authorized to disclose to any persons U.S. federal and state tax treatment and tax structure of the potential transaction and all materials of any kind (including tax opinions and other tax analyses) provided to the Company relating to that treatment and structure, without the Underwriters imposing any limitation of any kind. However, any information relating to the tax treatment and tax structure shall remain confidential (and the foregoing sentence shall not apply) to the extent necessary to enable any person to comply with securities laws. For this purpose, “tax structure” is limited to any facts that may be relevant to that treatment.</w:t>
      </w:r>
    </w:p>
    <w:p>
      <w:pPr>
        <w:spacing w:after="0" w:line="176" w:lineRule="exact"/>
        <w:rPr>
          <w:rFonts w:ascii="Arial" w:cs="Arial" w:eastAsia="Arial" w:hAnsi="Arial"/>
          <w:sz w:val="17"/>
          <w:szCs w:val="17"/>
          <w:color w:val="auto"/>
        </w:rPr>
      </w:pPr>
    </w:p>
    <w:p>
      <w:pPr>
        <w:ind w:right="40" w:firstLine="436"/>
        <w:spacing w:after="0" w:line="275" w:lineRule="auto"/>
        <w:tabs>
          <w:tab w:leader="none" w:pos="71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This Agreement may be executed by any one or more of the parties hereto in any number of counterparts, each of which shall be deemed to be an original, but all such counterparts shall together constitute one and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76" w:lineRule="exact"/>
        <w:rPr>
          <w:rFonts w:ascii="Arial" w:cs="Arial" w:eastAsia="Arial" w:hAnsi="Arial"/>
          <w:sz w:val="17"/>
          <w:szCs w:val="17"/>
          <w:color w:val="auto"/>
        </w:rPr>
      </w:pPr>
    </w:p>
    <w:p>
      <w:pPr>
        <w:ind w:left="700" w:hanging="26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Recognition of the U.S. Special Resolution Regimes.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ind w:right="60" w:firstLine="436"/>
        <w:spacing w:after="0" w:line="259" w:lineRule="auto"/>
        <w:tabs>
          <w:tab w:leader="none" w:pos="685"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6" w:lineRule="exact"/>
        <w:rPr>
          <w:rFonts w:ascii="Arial" w:cs="Arial" w:eastAsia="Arial" w:hAnsi="Arial"/>
          <w:sz w:val="18"/>
          <w:szCs w:val="18"/>
          <w:color w:val="auto"/>
        </w:rPr>
      </w:pPr>
    </w:p>
    <w:p>
      <w:pPr>
        <w:ind w:left="680" w:hanging="244"/>
        <w:spacing w:after="0"/>
        <w:tabs>
          <w:tab w:leader="none" w:pos="6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used in this section: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“BHC Act Affiliate” has the meaning assigned to the term “affiliate” in, and shall be interpreted in accordance with, 12 U.S.C. § 1841(k).</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“Covered Entity” means any of the following:</w:t>
      </w:r>
    </w:p>
    <w:p>
      <w:pPr>
        <w:spacing w:after="0" w:line="225" w:lineRule="exact"/>
        <w:rPr>
          <w:sz w:val="20"/>
          <w:szCs w:val="20"/>
          <w:color w:val="auto"/>
        </w:rPr>
      </w:pPr>
    </w:p>
    <w:p>
      <w:pPr>
        <w:ind w:left="660" w:hanging="224"/>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225" w:lineRule="exact"/>
        <w:rPr>
          <w:rFonts w:ascii="Arial" w:cs="Arial" w:eastAsia="Arial" w:hAnsi="Arial"/>
          <w:sz w:val="18"/>
          <w:szCs w:val="18"/>
          <w:color w:val="auto"/>
        </w:rPr>
      </w:pPr>
    </w:p>
    <w:p>
      <w:pPr>
        <w:ind w:left="700" w:hanging="264"/>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225" w:lineRule="exact"/>
        <w:rPr>
          <w:rFonts w:ascii="Arial" w:cs="Arial" w:eastAsia="Arial" w:hAnsi="Arial"/>
          <w:sz w:val="18"/>
          <w:szCs w:val="18"/>
          <w:color w:val="auto"/>
        </w:rPr>
      </w:pPr>
    </w:p>
    <w:p>
      <w:pPr>
        <w:ind w:left="760" w:hanging="324"/>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“Default Right” has the meaning assigned to that term in, and shall be interpreted in accordance with, 12 C.F.R. §§ 252.81, 47.2 or 382.1, as applicable.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29" w:name="page30"/>
    <w:bookmarkEnd w:id="29"/>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please sign and return to us counterparts hereof, and upon the acceptance hereof by you, on behalf of each of the Underwriters, this letter and such acceptance hereof shall constitute a binding agreement between each of the Underwriters and the Company. It is understood that your acceptance of this letter on behalf of each of the Underwriters is pursuant to the authority set forth in a form of Agreement among Underwriters, the form of which shall be submitted to the Company for examination upon request, but without warranty on your part as to the authority of the signers thereof.</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Fulcrum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Bryan Stuart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Bryan Stuart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 and Chief Executive Officer</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as of the date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Lyla Bibi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Lyla Bibi</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Securities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Daniel B. Dubin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Daniel B. Dubin, M.D.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Vice Chairman, Global Co-Head of</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Investment Banking and</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Global Co-Head of Healthcare</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Investment Banking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Firm (4)</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Optional</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Shares</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Shares Which</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8260" w:type="dxa"/>
            <w:vAlign w:val="bottom"/>
            <w:vMerge w:val="restart"/>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 be</w:t>
            </w: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May be</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vMerge w:val="continue"/>
          </w:tcPr>
          <w:p>
            <w:pPr>
              <w:spacing w:after="0"/>
              <w:rPr>
                <w:sz w:val="15"/>
                <w:szCs w:val="15"/>
                <w:color w:val="auto"/>
              </w:rPr>
            </w:pPr>
          </w:p>
        </w:tc>
        <w:tc>
          <w:tcPr>
            <w:tcW w:w="8260" w:type="dxa"/>
            <w:vAlign w:val="bottom"/>
            <w:vMerge w:val="continue"/>
          </w:tcPr>
          <w:p>
            <w:pPr>
              <w:spacing w:after="0"/>
              <w:rPr>
                <w:sz w:val="15"/>
                <w:szCs w:val="15"/>
                <w:color w:val="auto"/>
              </w:rPr>
            </w:pPr>
          </w:p>
        </w:tc>
        <w:tc>
          <w:tcPr>
            <w:tcW w:w="10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Purchased</w:t>
            </w: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03"/>
        </w:trPr>
        <w:tc>
          <w:tcPr>
            <w:tcW w:w="9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Goldman Sachs &amp; Co. LLC</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4,028,133</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604,219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SVB Securities LLC</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3,021,099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453,165</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2,062,020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309,303</w:t>
            </w:r>
          </w:p>
        </w:tc>
        <w:tc>
          <w:tcPr>
            <w:tcW w:w="0" w:type="dxa"/>
            <w:vAlign w:val="bottom"/>
          </w:tcPr>
          <w:p>
            <w:pPr>
              <w:spacing w:after="0"/>
              <w:rPr>
                <w:sz w:val="1"/>
                <w:szCs w:val="1"/>
                <w:color w:val="auto"/>
              </w:rPr>
            </w:pPr>
          </w:p>
        </w:tc>
      </w:tr>
      <w:tr>
        <w:trPr>
          <w:trHeight w:val="216"/>
        </w:trPr>
        <w:tc>
          <w:tcPr>
            <w:tcW w:w="9040" w:type="dxa"/>
            <w:vAlign w:val="bottom"/>
            <w:gridSpan w:val="2"/>
          </w:tcPr>
          <w:p>
            <w:pPr>
              <w:spacing w:after="0"/>
              <w:rPr>
                <w:sz w:val="20"/>
                <w:szCs w:val="20"/>
                <w:color w:val="auto"/>
              </w:rPr>
            </w:pPr>
            <w:r>
              <w:rPr>
                <w:rFonts w:ascii="Arial" w:cs="Arial" w:eastAsia="Arial" w:hAnsi="Arial"/>
                <w:sz w:val="18"/>
                <w:szCs w:val="18"/>
                <w:color w:val="auto"/>
              </w:rPr>
              <w:t>Oppenheimer &amp; Co. Inc.</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479,540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71,931</w:t>
            </w:r>
          </w:p>
        </w:tc>
        <w:tc>
          <w:tcPr>
            <w:tcW w:w="0" w:type="dxa"/>
            <w:vAlign w:val="bottom"/>
          </w:tcPr>
          <w:p>
            <w:pPr>
              <w:spacing w:after="0"/>
              <w:rPr>
                <w:sz w:val="1"/>
                <w:szCs w:val="1"/>
                <w:color w:val="auto"/>
              </w:rPr>
            </w:pPr>
          </w:p>
        </w:tc>
      </w:tr>
      <w:tr>
        <w:trPr>
          <w:trHeight w:val="216"/>
        </w:trPr>
        <w:tc>
          <w:tcPr>
            <w:tcW w:w="9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9,590,792</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1,438,618</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1" w:name="page32"/>
    <w:bookmarkEnd w:id="31"/>
    <w:p>
      <w:pPr>
        <w:ind w:left="49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121" w:lineRule="exact"/>
        <w:rPr>
          <w:sz w:val="20"/>
          <w:szCs w:val="20"/>
          <w:color w:val="auto"/>
        </w:rPr>
      </w:pPr>
    </w:p>
    <w:p>
      <w:pPr>
        <w:ind w:left="984" w:right="3959" w:hanging="984"/>
        <w:spacing w:after="0" w:line="375" w:lineRule="auto"/>
        <w:tabs>
          <w:tab w:leader="none" w:pos="237"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Issuer Free Writing Prospectuses not included in the Pricing Disclosure Package: None</w:t>
      </w:r>
    </w:p>
    <w:p>
      <w:pPr>
        <w:spacing w:after="0" w:line="1" w:lineRule="exact"/>
        <w:rPr>
          <w:rFonts w:ascii="Arial" w:cs="Arial" w:eastAsia="Arial" w:hAnsi="Arial"/>
          <w:sz w:val="18"/>
          <w:szCs w:val="18"/>
          <w:color w:val="auto"/>
        </w:rPr>
      </w:pPr>
    </w:p>
    <w:p>
      <w:pPr>
        <w:ind w:left="264" w:hanging="264"/>
        <w:spacing w:after="0"/>
        <w:tabs>
          <w:tab w:leader="none" w:pos="2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Additional Documents Incorporated by Reference:</w:t>
      </w:r>
    </w:p>
    <w:p>
      <w:pPr>
        <w:spacing w:after="0" w:line="200" w:lineRule="exact"/>
        <w:rPr>
          <w:sz w:val="20"/>
          <w:szCs w:val="20"/>
          <w:color w:val="auto"/>
        </w:rPr>
      </w:pPr>
    </w:p>
    <w:p>
      <w:pPr>
        <w:spacing w:after="0" w:line="241" w:lineRule="exact"/>
        <w:rPr>
          <w:sz w:val="20"/>
          <w:szCs w:val="20"/>
          <w:color w:val="auto"/>
        </w:rPr>
      </w:pPr>
    </w:p>
    <w:p>
      <w:pPr>
        <w:ind w:left="984" w:right="3059" w:hanging="984"/>
        <w:spacing w:after="0" w:line="375" w:lineRule="auto"/>
        <w:tabs>
          <w:tab w:leader="none" w:pos="237"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Information other than the Pricing Prospectus that comprises the Pricing Disclosure Package: The public offering price per share for the Shares is $7.82.</w:t>
      </w:r>
    </w:p>
    <w:p>
      <w:pPr>
        <w:spacing w:after="0" w:line="1"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The number of Shares purchased by the Underwriters is 9,590,792.</w:t>
      </w:r>
    </w:p>
    <w:p>
      <w:pPr>
        <w:spacing w:after="0" w:line="130" w:lineRule="exact"/>
        <w:rPr>
          <w:rFonts w:ascii="Arial" w:cs="Arial" w:eastAsia="Arial" w:hAnsi="Arial"/>
          <w:sz w:val="18"/>
          <w:szCs w:val="18"/>
          <w:color w:val="auto"/>
        </w:rPr>
      </w:pPr>
    </w:p>
    <w:p>
      <w:pPr>
        <w:ind w:left="964" w:hanging="964"/>
        <w:spacing w:after="0"/>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Written Testing-the-Waters Communications: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23"/>
          </w:cols>
          <w:pgMar w:left="436" w:top="270" w:right="1440" w:bottom="1440" w:gutter="0" w:footer="0" w:header="0"/>
        </w:sectPr>
      </w:pPr>
    </w:p>
    <w:bookmarkStart w:id="32" w:name="page33"/>
    <w:bookmarkEnd w:id="32"/>
    <w:p>
      <w:pPr>
        <w:jc w:val="right"/>
        <w:ind w:right="38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Bryan Stuart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J. Gould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Judith A. Dunn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Mel Hayes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Kate Haviland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Sonja L. Banks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James J. Collins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Katina Dorton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Alan Ezekowitz</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James Geraghty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Curtis Oltmans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Esther Rajavelu</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70"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 ],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SVB Securities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representatives (the “Representatives”) of the several Underwriters</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10282-2198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SVB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 State Street, 40th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02109</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Fulcrum Therapeutics, Inc. - Lock-Up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The undersigned understands that you, as Representatives, propose to enter into an underwriting agreement (the “Underwriting Agreement”) on behalf of the several Underwriters named in Schedule I to such agreement (collectively, the “Underwriters”), with Fulcrum Therapeutics, Inc., a Delaware corporation (the “Company”), providing for a public offering (the “Public Offering”) of shares (the “Shares”) of the common stock, par value $0.001 per share, of the Company (the “Common Stock”), pursuant to a Registration Statement on Form S-3 (the “Registration Statement”) filed with the Securities and Exchange Commission (the “SEC”).</w:t>
      </w:r>
    </w:p>
    <w:p>
      <w:pPr>
        <w:spacing w:after="0" w:line="188"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In consideration of the agreement by the Underwriters to offer and sell the Shares, and of other good and valuable consideration the receipt and sufficiency of which is hereby acknowledged, the undersigned agrees that, during the period beginning from the date of this Lock-Up Agreement and continuing to and including the date 30 days after the date of the final prospectus supplement relating to the Public Offering (the “Prospectus”) (such period, the “Lock-Up Period”), the undersigned shall not, and shall not cause or direct any of its affiliates to, (i) offer, sell, contract to sell, pledge, grant any option, right or warrant to purchase, purchase any option or contract to sell, lend or otherwise transfer or dispose of any shares of Common Stock, or any options or warrants to purchase any shares of Common Stock, or any securities convertible into, exchangeable for or that represent the right to receive shares of Common Stock (such shares of Common Stock, options, rights, warrants or other securities, collectively, “Lock-Up Securities”), including without limitation any such Lock-Up Securities now owned or hereafter acquired by the undersigned, (ii) engage in any hedging or other transaction or arrangement (including, without limitation, any short sale or the purchase or sale of, or entry into, any put or call option, or combination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020"/>
          </w:cols>
          <w:pgMar w:left="440" w:top="270" w:right="439" w:bottom="1440" w:gutter="0" w:footer="0" w:header="0"/>
        </w:sectPr>
      </w:pPr>
    </w:p>
    <w:bookmarkStart w:id="34" w:name="page35"/>
    <w:bookmarkEnd w:id="34"/>
    <w:p>
      <w:pPr>
        <w:ind w:right="10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Lock-Up Securities, whether any such transaction or arrangement (or instrument provided for thereunder) would be settled by delivery of Common Stock or other securities, in cash or otherwise (any such sale, loan, pledge or other disposition, or transfer of economic consequences, a “Transfer”), (iii) make any demand for or exercise any right with respect to the registration of any Lock-Up Securities or (iv) otherwise publicly announce any intention to engage in or cause any action, activity, transaction or arrangement described in clause (i), (ii) or (iii) above. The undersigned represents and warrants that the undersigned is not, and has not caused or directed any of its affiliates to be or become, currently a party to any agreement or arrangement that provides for, is designed to or reasonably could be expected to lead to or result in any Transfer during the Lock-Up Period.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the undersigned may:</w:t>
      </w:r>
    </w:p>
    <w:p>
      <w:pPr>
        <w:spacing w:after="0" w:line="131" w:lineRule="exact"/>
        <w:rPr>
          <w:sz w:val="20"/>
          <w:szCs w:val="20"/>
          <w:color w:val="auto"/>
        </w:rPr>
      </w:pPr>
    </w:p>
    <w:p>
      <w:pPr>
        <w:ind w:left="960" w:hanging="532"/>
        <w:spacing w:after="0" w:line="284"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transfer the undersigned’s Lock-Up Securities (i) as one or more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gifts or charitable contributions, or for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estate planning purposes, (ii) upon death by will, testamentary document or intestate succession, (iii) if the undersigned is a natural person, to any member of the undersigned’s immediate family (for purposes of this Lock-Up Agreement, “immediate family” shall mean any relationship by blood, current or former marriage, domestic partnership or adoption, not more remote than first cousin) or to any trust for the direct or indirect benefit of the undersigned or the immediate family of the undersigned or, if the undersigned is a trust, to a trustor or beneficiary of the trust or the estate of a beneficiary of such trust, (iv) to a partnership, limited liability company or other entity of which the undersigned and the immediate family of the undersigned are the legal and beneficial owner of all of the outstanding equity securities or similar interests, (v) to a nominee or custodian of a person or entity to whom a disposition or transfer would be permissible under clauses (a)(i) through (iv) above, (vi) if the undersigned is a corporation, partnership, limited liability company or other business entity, (A) to another corporation, partnership, limited liability company or other business entity that is an affiliate (as defined in Rule 405 under the Securities Act of 1933, as amended) of the undersigned, or to any investment fund or other entity which fund or entity is controlled or managed by the undersigned or affiliates of the undersigned, or (B) as part of a distribution by the undersigned to its stockholders, partners, members or other equityholders or to the estate of any such stockholders, partners, members or other equityholders, (vii) by operation of law, such as pursuant to a qualified domestic order, divorce settlement, divorce decree or separation agreement, (viii) to the Company from an employee of the Company upon death, disability or termination of employment, in each case, of such employee, (ix) if the undersigned is not an officer or director of the Company, in connection with a sale of the undersigned’s shares of Common Stock acquired (A) from the Underwriters in the Public Offering or (B) in open market transactions after the closing date of the Public Offering, (x) to the Company in connection with the vesting, settlement or exercise of restricted stock units, options, warrants or other rights to purchase shares of Common Stock (including, in each case, by way of “net” or “cashless” exercise) that are scheduled to expire or automatically vest during the Lock-Up Period, including any transfer to the Company for the payment of tax withholdings or remittance payments due as a result of the vesting, settlement or exercise of such restricted stock units, options, warrants or other rights, or in connection with the conversion of convertible securities, in all such cases pursuant to equity awards granted under a stock incentive plan or</w:t>
      </w:r>
    </w:p>
    <w:p>
      <w:pPr>
        <w:sectPr>
          <w:pgSz w:w="11900" w:h="16838" w:orient="portrait"/>
          <w:cols w:equalWidth="0" w:num="1">
            <w:col w:w="11000"/>
          </w:cols>
          <w:pgMar w:left="440" w:top="274" w:right="459" w:bottom="1440" w:gutter="0" w:footer="0" w:header="0"/>
        </w:sectPr>
      </w:pPr>
    </w:p>
    <w:bookmarkStart w:id="35" w:name="page36"/>
    <w:bookmarkEnd w:id="35"/>
    <w:p>
      <w:pPr>
        <w:ind w:left="9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equity award plan, or pursuant to the terms of convertible securities, each as described in a document incorporated by reference in the Registration Statement, the preliminary prospectus supplement relating to the Shares and the Prospectus, provided that any securities received upon such vesting, settlement, exercise or conversion shall be subject to the terms of this Lock-Up Agreement, or (xi) with the prior written consent of Goldman Sachs &amp; Co. LLC and SVB Securities LLC on behalf of the Underwriters; provided that (A) in the case of clauses (a)(i), (ii), (iii), (iv), (v) and (vi) above, such transfer or distribution shall not involve a disposition for value, (B) in the case of clauses (a)(i), (ii), (iii), (iv), (v), (vi) and (vii) above, it shall be a condition to the transfer or distribution that the donee, devisee, transferee or distributee, as the case may be, shall sign and deliver a lock-up agreement in the form of this Lock-Up Agreement, (C) in the case of clauses (a)(i), (ii), (iii), (iv), (v) and (vi) above, no filing by any party (including, without limitation, any donor, donee, devisee, transferor, transferee, distributor or distributee) under the Securities Exchange Act of 1934, as amended (the “Exchange Act), or other public filing, report or announcement reporting a reduction in beneficial ownership of Lock-Up Securities shall be required or shall be voluntarily made in connection with such transfer or distribution, and (D) in the case of clauses (a)(vii), (viii), (ix) and (x) above, no filing under the Exchange Act or other public filing, report or announcement shall be voluntarily made, and if any such filing, report or announcement shall be legally required during the Lock-Up Period, such filing, report or announcement shall clearly indicate in the footnotes thereto</w:t>
      </w:r>
    </w:p>
    <w:p>
      <w:pPr>
        <w:spacing w:after="0" w:line="2" w:lineRule="exact"/>
        <w:rPr>
          <w:sz w:val="20"/>
          <w:szCs w:val="20"/>
          <w:color w:val="auto"/>
        </w:rPr>
      </w:pPr>
    </w:p>
    <w:p>
      <w:pPr>
        <w:ind w:left="980" w:right="60" w:firstLine="1"/>
        <w:spacing w:after="0" w:line="323" w:lineRule="auto"/>
        <w:tabs>
          <w:tab w:leader="none" w:pos="1275"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circumstances of such transfer or distribution and (B) in the case of a transfer or distribution pursuant to clause (a)(vii) above, that the donee, devisee, transferee or distributee has agreed to be bound by a lock-up agreement in the form of this Lock-Up Agreement;</w:t>
      </w:r>
    </w:p>
    <w:p>
      <w:pPr>
        <w:spacing w:after="0" w:line="43" w:lineRule="exact"/>
        <w:rPr>
          <w:rFonts w:ascii="Arial" w:cs="Arial" w:eastAsia="Arial" w:hAnsi="Arial"/>
          <w:sz w:val="16"/>
          <w:szCs w:val="16"/>
          <w:color w:val="auto"/>
        </w:rPr>
      </w:pPr>
    </w:p>
    <w:p>
      <w:pPr>
        <w:ind w:left="960" w:right="40" w:hanging="532"/>
        <w:spacing w:after="0" w:line="275" w:lineRule="auto"/>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enter into a written plan meeting the requirements of Rule 10b5-1 under the Exchange Act relating to the transfer, sale or other disposition of the undersigned’s Lock-Up Securities, if then permitted by the Company, provided that none of the securities subject to such plan may be transferred, sold or otherwise disposed of until after the expiration of the Lock-Up Period and no public announcement, report or filing under the Exchange Act, or any other public filing, report or announcement, shall be required or shall be voluntarily made regarding the establishment of such plan during the Lock-Up Period; and</w:t>
      </w:r>
    </w:p>
    <w:p>
      <w:pPr>
        <w:spacing w:after="0" w:line="81" w:lineRule="exact"/>
        <w:rPr>
          <w:rFonts w:ascii="Arial" w:cs="Arial" w:eastAsia="Arial" w:hAnsi="Arial"/>
          <w:sz w:val="17"/>
          <w:szCs w:val="17"/>
          <w:color w:val="auto"/>
        </w:rPr>
      </w:pPr>
    </w:p>
    <w:p>
      <w:pPr>
        <w:ind w:left="960" w:right="20" w:hanging="532"/>
        <w:spacing w:after="0" w:line="254"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transfer the undersigned’s Lock-Up Securities pursuant to a bona fide third-party tender offer, merger, consolidation or other similar transaction that is approved by the Board of Directors of the Company and made to all holders of the Company’s capital stock involving a Change of Control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provided that in the event that such tender offer, merger, consolidation or other similar transaction is not completed, the undersigned’s Lock-Up Securities shall remain subject to the provisions of this Lock-Up Agreement.</w:t>
      </w:r>
    </w:p>
    <w:p>
      <w:pPr>
        <w:spacing w:after="0" w:line="192" w:lineRule="exact"/>
        <w:rPr>
          <w:sz w:val="20"/>
          <w:szCs w:val="20"/>
          <w:color w:val="auto"/>
        </w:rPr>
      </w:pPr>
    </w:p>
    <w:p>
      <w:pPr>
        <w:jc w:val="both"/>
        <w:ind w:right="340" w:firstLine="440"/>
        <w:spacing w:after="0" w:line="259" w:lineRule="auto"/>
        <w:rPr>
          <w:sz w:val="20"/>
          <w:szCs w:val="20"/>
          <w:color w:val="auto"/>
        </w:rPr>
      </w:pPr>
      <w:r>
        <w:rPr>
          <w:rFonts w:ascii="Arial" w:cs="Arial" w:eastAsia="Arial" w:hAnsi="Arial"/>
          <w:sz w:val="18"/>
          <w:szCs w:val="18"/>
          <w:color w:val="auto"/>
        </w:rPr>
        <w:t>If the undersigned is not a natural person, the undersigned represents and warrants that no single natural person, entity or “group” (within the meaning of Section 13(d)(3) of the Exchange Act), other than a natural person, entity or “group” (as described above) that has executed a Lock-Up Agreement in substantially the same form as this Lock-Up Agreement, beneficially owns, directly or indirectly, 50% or more of the common equity interests, or 50% or more of the voting power, in the undersigned.</w:t>
      </w:r>
    </w:p>
    <w:p>
      <w:pPr>
        <w:sectPr>
          <w:pgSz w:w="11900" w:h="16838" w:orient="portrait"/>
          <w:cols w:equalWidth="0" w:num="1">
            <w:col w:w="10960"/>
          </w:cols>
          <w:pgMar w:left="440" w:top="274" w:right="499" w:bottom="1440" w:gutter="0" w:footer="0" w:header="0"/>
        </w:sectPr>
      </w:pPr>
    </w:p>
    <w:bookmarkStart w:id="36" w:name="page37"/>
    <w:bookmarkEnd w:id="36"/>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also agrees and consents to the entry of stop transfer instructions with the Company’s transfer agent and registrar against the transfer of the undersigned’s Lock-Up Securities except in compliance with the foregoing restrictions.</w:t>
      </w:r>
    </w:p>
    <w:p>
      <w:pPr>
        <w:spacing w:after="0" w:line="170"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The undersigned acknowledges and agrees that none of the Underwriters has made any recommendation or provided any investment or other advice to the undersigned with respect to this Lock-Up Agreement or the subject matter hereof, and the undersigned has consulted its own legal, accounting, financial, regulatory, tax and other advisors with respect to this Lock-Up Agreement and the subject matter hereof to the extent the undersigned has deemed appropriate. The undersigned further acknowledges and agrees that, although the Underwriters may have provided or hereafter provide to the undersigned in connection with the Public Offering a Form CRS and/or certain other disclosures as contemplated by Regulation Best Interest, the Underwriters have not made and are not making a recommendation to the undersigned to enter into this Lock-Up Agreement or to transfer, sell or dispose of, or to refrain from transferring, selling or disposing of, any shares of Common Stock, and nothing set forth in such disclosures or herein is intended to suggest that any Underwriter is making such a recommendation.</w:t>
      </w:r>
    </w:p>
    <w:p>
      <w:pPr>
        <w:spacing w:after="0" w:line="17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This Lock-Up Agreement shall automatically terminate and the undersigned shall be released from all of his, her or its obligations hereunder upon the earlier of (i) the date on which the Company notifies the Representatives, in writing and prior to the execution of the Underwriting Agreement, that it does not intend to proceed with the Public Offering, (ii) the date on which for any reason the Underwriting Agreement is terminated (other than the provisions thereof that survive termination) prior to payment for and delivery of the Shares to be sold thereunder (other than pursuant to the Underwriters’ option thereunder to purchase additional Shares), and (iii) and (iv) September 30, 2022, in the event that the Underwriting Agreement has not been executed by such date (provided, however, that the Company may, by written notice to the undersigned prior to such date, extend such date by a period of up to an additional 90 days).</w:t>
      </w:r>
    </w:p>
    <w:p>
      <w:pPr>
        <w:spacing w:after="0" w:line="19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undersigned understands that the Company and the Underwriters are relying upon this Lock-Up Agreement in proceeding toward consummation of the Public Offering. The undersigned further understands that this Lock-Up Agreement is irrevocable and shall be binding upon the undersigned’s heirs, legal representatives, successors and assigns. The undersigned hereby represents and warrants that the undersigned has full power and authority to enter into this Lock-Up Agreement. This Lock-Up Agreement shall be governed by, and construed in accordance with, the laws of the State of New York, without regard to principles of conflict of laws that would result in the application of any law other than the laws of the State of New York. 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ectPr>
          <w:pgSz w:w="11900" w:h="16838" w:orient="portrait"/>
          <w:cols w:equalWidth="0" w:num="1">
            <w:col w:w="11000"/>
          </w:cols>
          <w:pgMar w:left="440" w:top="274" w:right="4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0"/>
        </w:trPr>
        <w:tc>
          <w:tcPr>
            <w:tcW w:w="3480" w:type="dxa"/>
            <w:vAlign w:val="bottom"/>
            <w:gridSpan w:val="6"/>
          </w:tcPr>
          <w:p>
            <w:pPr>
              <w:spacing w:after="0"/>
              <w:rPr>
                <w:sz w:val="20"/>
                <w:szCs w:val="20"/>
                <w:color w:val="auto"/>
              </w:rPr>
            </w:pPr>
            <w:r>
              <w:rPr>
                <w:rFonts w:ascii="Arial" w:cs="Arial" w:eastAsia="Arial" w:hAnsi="Arial"/>
                <w:sz w:val="18"/>
                <w:szCs w:val="18"/>
                <w:color w:val="auto"/>
              </w:rPr>
              <w:t>Very truly yours,</w:t>
            </w: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480" w:type="dxa"/>
            <w:vAlign w:val="bottom"/>
            <w:gridSpan w:val="6"/>
          </w:tcPr>
          <w:p>
            <w:pPr>
              <w:spacing w:after="0"/>
              <w:rPr>
                <w:sz w:val="20"/>
                <w:szCs w:val="20"/>
                <w:color w:val="auto"/>
              </w:rPr>
            </w:pPr>
            <w:r>
              <w:rPr>
                <w:rFonts w:ascii="Arial" w:cs="Arial" w:eastAsia="Arial" w:hAnsi="Arial"/>
                <w:sz w:val="18"/>
                <w:szCs w:val="18"/>
                <w:b w:val="1"/>
                <w:bCs w:val="1"/>
                <w:color w:val="auto"/>
              </w:rPr>
              <w:t>IF AN INDIVIDUAL:</w:t>
            </w:r>
          </w:p>
        </w:tc>
        <w:tc>
          <w:tcPr>
            <w:tcW w:w="2580" w:type="dxa"/>
            <w:vAlign w:val="bottom"/>
          </w:tcPr>
          <w:p>
            <w:pPr>
              <w:spacing w:after="0"/>
              <w:rPr>
                <w:sz w:val="24"/>
                <w:szCs w:val="24"/>
                <w:color w:val="auto"/>
              </w:rPr>
            </w:pPr>
          </w:p>
        </w:tc>
        <w:tc>
          <w:tcPr>
            <w:tcW w:w="4960" w:type="dxa"/>
            <w:vAlign w:val="bottom"/>
            <w:gridSpan w:val="10"/>
          </w:tcPr>
          <w:p>
            <w:pPr>
              <w:spacing w:after="0"/>
              <w:rPr>
                <w:sz w:val="20"/>
                <w:szCs w:val="20"/>
                <w:color w:val="auto"/>
              </w:rPr>
            </w:pPr>
            <w:r>
              <w:rPr>
                <w:rFonts w:ascii="Arial" w:cs="Arial" w:eastAsia="Arial" w:hAnsi="Arial"/>
                <w:sz w:val="18"/>
                <w:szCs w:val="18"/>
                <w:b w:val="1"/>
                <w:bCs w:val="1"/>
                <w:color w:val="auto"/>
              </w:rPr>
              <w:t>IF AN ENTITY:</w:t>
            </w:r>
          </w:p>
        </w:tc>
        <w:tc>
          <w:tcPr>
            <w:tcW w:w="0" w:type="dxa"/>
            <w:vAlign w:val="bottom"/>
          </w:tcPr>
          <w:p>
            <w:pPr>
              <w:spacing w:after="0"/>
              <w:rPr>
                <w:sz w:val="1"/>
                <w:szCs w:val="1"/>
                <w:color w:val="auto"/>
              </w:rPr>
            </w:pPr>
          </w:p>
        </w:tc>
      </w:tr>
      <w:tr>
        <w:trPr>
          <w:trHeight w:val="432"/>
        </w:trPr>
        <w:tc>
          <w:tcPr>
            <w:tcW w:w="300" w:type="dxa"/>
            <w:vAlign w:val="bottom"/>
            <w:vMerge w:val="restart"/>
          </w:tcPr>
          <w:p>
            <w:pPr>
              <w:spacing w:after="0"/>
              <w:rPr>
                <w:sz w:val="20"/>
                <w:szCs w:val="20"/>
                <w:color w:val="auto"/>
              </w:rPr>
            </w:pPr>
            <w:r>
              <w:rPr>
                <w:rFonts w:ascii="Arial" w:cs="Arial" w:eastAsia="Arial" w:hAnsi="Arial"/>
                <w:sz w:val="18"/>
                <w:szCs w:val="18"/>
                <w:color w:val="auto"/>
              </w:rPr>
              <w:t>By:</w:t>
            </w:r>
          </w:p>
        </w:tc>
        <w:tc>
          <w:tcPr>
            <w:tcW w:w="2960" w:type="dxa"/>
            <w:vAlign w:val="bottom"/>
            <w:gridSpan w:val="4"/>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2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0" w:type="dxa"/>
            <w:vAlign w:val="bottom"/>
            <w:vMerge w:val="continue"/>
          </w:tcPr>
          <w:p>
            <w:pPr>
              <w:spacing w:after="0"/>
              <w:rPr>
                <w:sz w:val="15"/>
                <w:szCs w:val="15"/>
                <w:color w:val="auto"/>
              </w:rPr>
            </w:pPr>
          </w:p>
        </w:tc>
        <w:tc>
          <w:tcPr>
            <w:tcW w:w="2960" w:type="dxa"/>
            <w:vAlign w:val="bottom"/>
            <w:tcBorders>
              <w:bottom w:val="single" w:sz="8" w:color="auto"/>
            </w:tcBorders>
            <w:gridSpan w:val="4"/>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580" w:type="dxa"/>
            <w:vAlign w:val="bottom"/>
          </w:tcPr>
          <w:p>
            <w:pPr>
              <w:spacing w:after="0"/>
              <w:rPr>
                <w:sz w:val="15"/>
                <w:szCs w:val="15"/>
                <w:color w:val="auto"/>
              </w:rPr>
            </w:pPr>
          </w:p>
        </w:tc>
        <w:tc>
          <w:tcPr>
            <w:tcW w:w="4960" w:type="dxa"/>
            <w:vAlign w:val="bottom"/>
            <w:gridSpan w:val="10"/>
          </w:tcPr>
          <w:p>
            <w:pPr>
              <w:spacing w:after="0" w:line="182" w:lineRule="exact"/>
              <w:rPr>
                <w:sz w:val="20"/>
                <w:szCs w:val="20"/>
                <w:color w:val="auto"/>
              </w:rPr>
            </w:pPr>
            <w:r>
              <w:rPr>
                <w:rFonts w:ascii="Arial" w:cs="Arial" w:eastAsia="Arial" w:hAnsi="Arial"/>
                <w:sz w:val="18"/>
                <w:szCs w:val="18"/>
                <w:i w:val="1"/>
                <w:iCs w:val="1"/>
                <w:color w:val="auto"/>
              </w:rPr>
              <w:t>(please print complete name of entity)</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gridSpan w:val="2"/>
          </w:tcPr>
          <w:p>
            <w:pPr>
              <w:spacing w:after="0"/>
              <w:rPr>
                <w:sz w:val="17"/>
                <w:szCs w:val="17"/>
                <w:color w:val="auto"/>
              </w:rPr>
            </w:pPr>
          </w:p>
        </w:tc>
        <w:tc>
          <w:tcPr>
            <w:tcW w:w="2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4"/>
          </w:tcPr>
          <w:p>
            <w:pPr>
              <w:jc w:val="center"/>
              <w:ind w:left="870"/>
              <w:spacing w:after="0"/>
              <w:rPr>
                <w:sz w:val="20"/>
                <w:szCs w:val="20"/>
                <w:color w:val="auto"/>
              </w:rPr>
            </w:pPr>
            <w:r>
              <w:rPr>
                <w:rFonts w:ascii="Arial" w:cs="Arial" w:eastAsia="Arial" w:hAnsi="Arial"/>
                <w:sz w:val="18"/>
                <w:szCs w:val="18"/>
                <w:i w:val="1"/>
                <w:iCs w:val="1"/>
                <w:color w:val="auto"/>
                <w:w w:val="91"/>
              </w:rPr>
              <w:t>(duly authorized signature)</w:t>
            </w: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80" w:type="dxa"/>
            <w:vAlign w:val="bottom"/>
            <w:gridSpan w:val="6"/>
          </w:tcPr>
          <w:p>
            <w:pPr>
              <w:spacing w:after="0"/>
              <w:rPr>
                <w:sz w:val="20"/>
                <w:szCs w:val="20"/>
                <w:color w:val="auto"/>
              </w:rPr>
            </w:pPr>
            <w:r>
              <w:rPr>
                <w:rFonts w:ascii="Arial" w:cs="Arial" w:eastAsia="Arial" w:hAnsi="Arial"/>
                <w:sz w:val="18"/>
                <w:szCs w:val="18"/>
                <w:color w:val="auto"/>
              </w:rPr>
              <w:t>Name:</w:t>
            </w:r>
          </w:p>
        </w:tc>
        <w:tc>
          <w:tcPr>
            <w:tcW w:w="2580" w:type="dxa"/>
            <w:vAlign w:val="bottom"/>
          </w:tcPr>
          <w:p>
            <w:pPr>
              <w:spacing w:after="0"/>
              <w:rPr>
                <w:sz w:val="24"/>
                <w:szCs w:val="24"/>
                <w:color w:val="auto"/>
              </w:rPr>
            </w:pPr>
          </w:p>
        </w:tc>
        <w:tc>
          <w:tcPr>
            <w:tcW w:w="4960" w:type="dxa"/>
            <w:vAlign w:val="bottom"/>
            <w:gridSpan w:val="10"/>
          </w:tcPr>
          <w:p>
            <w:pPr>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1720" w:type="dxa"/>
            <w:vAlign w:val="bottom"/>
            <w:tcBorders>
              <w:top w:val="single" w:sz="8" w:color="auto"/>
            </w:tcBorders>
            <w:gridSpan w:val="3"/>
          </w:tcPr>
          <w:p>
            <w:pPr>
              <w:spacing w:after="0"/>
              <w:rPr>
                <w:sz w:val="17"/>
                <w:szCs w:val="17"/>
                <w:color w:val="auto"/>
              </w:rPr>
            </w:pPr>
          </w:p>
        </w:tc>
        <w:tc>
          <w:tcPr>
            <w:tcW w:w="2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4"/>
          </w:tcPr>
          <w:p>
            <w:pPr>
              <w:jc w:val="center"/>
              <w:ind w:left="870"/>
              <w:spacing w:after="0"/>
              <w:rPr>
                <w:sz w:val="20"/>
                <w:szCs w:val="20"/>
                <w:color w:val="auto"/>
              </w:rPr>
            </w:pPr>
            <w:r>
              <w:rPr>
                <w:rFonts w:ascii="Arial" w:cs="Arial" w:eastAsia="Arial" w:hAnsi="Arial"/>
                <w:sz w:val="18"/>
                <w:szCs w:val="18"/>
                <w:i w:val="1"/>
                <w:iCs w:val="1"/>
                <w:color w:val="auto"/>
                <w:w w:val="91"/>
              </w:rPr>
              <w:t>(please print full name)</w:t>
            </w: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gridSpan w:val="7"/>
          </w:tcPr>
          <w:p>
            <w:pPr>
              <w:jc w:val="center"/>
              <w:ind w:right="520"/>
              <w:spacing w:after="0"/>
              <w:rPr>
                <w:sz w:val="20"/>
                <w:szCs w:val="20"/>
                <w:color w:val="auto"/>
              </w:rPr>
            </w:pPr>
            <w:r>
              <w:rPr>
                <w:rFonts w:ascii="Arial" w:cs="Arial" w:eastAsia="Arial" w:hAnsi="Arial"/>
                <w:sz w:val="18"/>
                <w:szCs w:val="18"/>
                <w:i w:val="1"/>
                <w:iCs w:val="1"/>
                <w:color w:val="auto"/>
                <w:w w:val="91"/>
              </w:rPr>
              <w:t>(duly authorized signature)</w:t>
            </w:r>
          </w:p>
        </w:tc>
        <w:tc>
          <w:tcPr>
            <w:tcW w:w="0" w:type="dxa"/>
            <w:vAlign w:val="bottom"/>
          </w:tcPr>
          <w:p>
            <w:pPr>
              <w:spacing w:after="0"/>
              <w:rPr>
                <w:sz w:val="1"/>
                <w:szCs w:val="1"/>
                <w:color w:val="auto"/>
              </w:rPr>
            </w:pPr>
          </w:p>
        </w:tc>
      </w:tr>
      <w:tr>
        <w:trPr>
          <w:trHeight w:val="405"/>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w w:val="94"/>
              </w:rPr>
              <w:t>Name:</w:t>
            </w:r>
          </w:p>
        </w:tc>
        <w:tc>
          <w:tcPr>
            <w:tcW w:w="2980" w:type="dxa"/>
            <w:vAlign w:val="bottom"/>
            <w:tcBorders>
              <w:bottom w:val="single" w:sz="8" w:color="auto"/>
            </w:tcBorders>
            <w:gridSpan w:val="6"/>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3"/>
          </w:tcPr>
          <w:p>
            <w:pPr>
              <w:spacing w:after="0"/>
              <w:rPr>
                <w:sz w:val="17"/>
                <w:szCs w:val="17"/>
                <w:color w:val="auto"/>
              </w:rPr>
            </w:pPr>
          </w:p>
        </w:tc>
        <w:tc>
          <w:tcPr>
            <w:tcW w:w="1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gridSpan w:val="7"/>
          </w:tcPr>
          <w:p>
            <w:pPr>
              <w:jc w:val="center"/>
              <w:ind w:right="540"/>
              <w:spacing w:after="0"/>
              <w:rPr>
                <w:sz w:val="20"/>
                <w:szCs w:val="20"/>
                <w:color w:val="auto"/>
              </w:rPr>
            </w:pPr>
            <w:r>
              <w:rPr>
                <w:rFonts w:ascii="Arial" w:cs="Arial" w:eastAsia="Arial" w:hAnsi="Arial"/>
                <w:sz w:val="18"/>
                <w:szCs w:val="18"/>
                <w:i w:val="1"/>
                <w:iCs w:val="1"/>
                <w:color w:val="auto"/>
                <w:w w:val="92"/>
              </w:rPr>
              <w:t>(please print full name)</w:t>
            </w:r>
          </w:p>
        </w:tc>
        <w:tc>
          <w:tcPr>
            <w:tcW w:w="0" w:type="dxa"/>
            <w:vAlign w:val="bottom"/>
          </w:tcPr>
          <w:p>
            <w:pPr>
              <w:spacing w:after="0"/>
              <w:rPr>
                <w:sz w:val="1"/>
                <w:szCs w:val="1"/>
                <w:color w:val="auto"/>
              </w:rPr>
            </w:pPr>
          </w:p>
        </w:tc>
      </w:tr>
      <w:tr>
        <w:trPr>
          <w:trHeight w:val="418"/>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2980" w:type="dxa"/>
            <w:vAlign w:val="bottom"/>
            <w:tcBorders>
              <w:bottom w:val="single" w:sz="8" w:color="auto"/>
            </w:tcBorders>
            <w:gridSpan w:val="6"/>
          </w:tcPr>
          <w:p>
            <w:pPr>
              <w:spacing w:after="0"/>
              <w:rPr>
                <w:sz w:val="24"/>
                <w:szCs w:val="24"/>
                <w:color w:val="auto"/>
              </w:rPr>
            </w:pPr>
          </w:p>
        </w:tc>
        <w:tc>
          <w:tcPr>
            <w:tcW w:w="1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3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40" w:type="dxa"/>
            <w:vAlign w:val="bottom"/>
            <w:gridSpan w:val="7"/>
          </w:tcPr>
          <w:p>
            <w:pPr>
              <w:jc w:val="center"/>
              <w:ind w:right="540"/>
              <w:spacing w:after="0"/>
              <w:rPr>
                <w:sz w:val="20"/>
                <w:szCs w:val="20"/>
                <w:color w:val="auto"/>
              </w:rPr>
            </w:pPr>
            <w:r>
              <w:rPr>
                <w:rFonts w:ascii="Arial" w:cs="Arial" w:eastAsia="Arial" w:hAnsi="Arial"/>
                <w:sz w:val="18"/>
                <w:szCs w:val="18"/>
                <w:i w:val="1"/>
                <w:iCs w:val="1"/>
                <w:color w:val="auto"/>
                <w:w w:val="95"/>
              </w:rPr>
              <w:t>(please print full title)</w:t>
            </w:r>
          </w:p>
        </w:tc>
        <w:tc>
          <w:tcPr>
            <w:tcW w:w="0" w:type="dxa"/>
            <w:vAlign w:val="bottom"/>
          </w:tcPr>
          <w:p>
            <w:pPr>
              <w:spacing w:after="0"/>
              <w:rPr>
                <w:sz w:val="1"/>
                <w:szCs w:val="1"/>
                <w:color w:val="auto"/>
              </w:rPr>
            </w:pPr>
          </w:p>
        </w:tc>
      </w:tr>
      <w:tr>
        <w:trPr>
          <w:trHeight w:val="445"/>
        </w:trPr>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540" w:type="dxa"/>
            <w:vAlign w:val="bottom"/>
            <w:gridSpan w:val="11"/>
          </w:tcPr>
          <w:p>
            <w:pPr>
              <w:ind w:left="560"/>
              <w:spacing w:after="0"/>
              <w:rPr>
                <w:sz w:val="20"/>
                <w:szCs w:val="20"/>
                <w:color w:val="auto"/>
              </w:rPr>
            </w:pPr>
            <w:r>
              <w:rPr>
                <w:rFonts w:ascii="Arial" w:cs="Arial" w:eastAsia="Arial" w:hAnsi="Arial"/>
                <w:sz w:val="18"/>
                <w:szCs w:val="18"/>
                <w:i w:val="1"/>
                <w:iCs w:val="1"/>
                <w:color w:val="auto"/>
              </w:rPr>
              <w:t>[Signature Page to Lock-Up Agreement]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8" w:name="page39"/>
    <w:bookmarkEnd w:id="38"/>
    <w:p>
      <w:pPr>
        <w:ind w:left="10180"/>
        <w:spacing w:after="0"/>
        <w:rPr>
          <w:sz w:val="20"/>
          <w:szCs w:val="20"/>
          <w:color w:val="auto"/>
        </w:rPr>
      </w:pPr>
      <w:r>
        <w:rPr>
          <w:rFonts w:ascii="Arial" w:cs="Arial" w:eastAsia="Arial" w:hAnsi="Arial"/>
          <w:sz w:val="16"/>
          <w:szCs w:val="16"/>
          <w:b w:val="1"/>
          <w:bCs w:val="1"/>
          <w:color w:val="auto"/>
        </w:rPr>
        <w:t>Exhibit 5.1</w:t>
      </w:r>
    </w:p>
    <w:p>
      <w:pPr>
        <w:spacing w:after="0" w:line="27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1714500" cy="377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0" cy="377190"/>
                    </a:xfrm>
                    <a:prstGeom prst="rect">
                      <a:avLst/>
                    </a:prstGeom>
                    <a:noFill/>
                  </pic:spPr>
                </pic:pic>
              </a:graphicData>
            </a:graphic>
          </wp:anchor>
        </w:drawing>
      </w:r>
    </w:p>
    <w:p>
      <w:pPr>
        <w:spacing w:after="0" w:line="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Boston, MA 02210</w:t>
      </w:r>
    </w:p>
    <w:p>
      <w:pPr>
        <w:spacing w:after="0" w:line="11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goodwinlaw.com</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+1 (617) 570-1000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August 16,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 Landsdowne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Massachusetts 02139</w:t>
      </w:r>
    </w:p>
    <w:p>
      <w:pPr>
        <w:spacing w:after="0" w:line="2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Being Registered under Registration Statement on Form S-3</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acted as counsel to you in connection with your filing of Amendment No. 2 to the Registration Statement on Form S-3 (File No. 333-260754) (as amended or supplemented, the “Registration Statement”), filed on March 3, 2022 with the Securities and Exchange Commission (the “Commission”) pursuant to the Securities Act of 1933, as amended (the “Securities Act”), relating to the registration of the offering by Fulcrum Therapeutics, Inc., a Delaware corporation (the “Company”), of up to $250,000,000 of any combination of securities of the types specified therein. The Registration Statement was declared effective by the Commission on April 28, 2022. Reference is made to our opinion letter dated March 3, 2022 and included as Exhibit 5.1 to the Registration Statement. We are delivering this supplemental opinion letter in connection with the prospectus supplement (the “Prospectus Supplement”) filed on August 16, 2022 by the Company with the Commission pursuant to Rule 424 under the Securities Act. The Prospectus Supplement relates to the offering by the Company of up to 11,029,410 shares of the Company’s common stock, par value $0.001 per share (the “Shares”) covered by the Registration Statement. The Shares include an over-allotment option granted to the underwriters of the offering to purchase 1,438,618 Shares. The Shares are being sold to the several underwriters named in, and pursuant to, an underwriting agreement among the Company and such underwriters (the “Underwriting Agreement”).</w:t>
      </w:r>
    </w:p>
    <w:p>
      <w:pPr>
        <w:spacing w:after="0" w:line="18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 set forth below. We have relied, without independent verification, on certificates of public officials and, as to matters of fact material to the opinion set forth below, on certificates of officers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ectPr>
          <w:pgSz w:w="11900" w:h="16838" w:orient="portrait"/>
          <w:cols w:equalWidth="0" w:num="1">
            <w:col w:w="11020"/>
          </w:cols>
          <w:pgMar w:left="440" w:top="121"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Fulcrum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16,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GOODWIN PROCTER LLP</w:t>
      </w:r>
    </w:p>
    <w:p>
      <w:pPr>
        <w:sectPr>
          <w:pgSz w:w="11900" w:h="16838" w:orient="portrait"/>
          <w:cols w:equalWidth="0" w:num="1">
            <w:col w:w="10019"/>
          </w:cols>
          <w:pgMar w:left="440" w:top="274"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63065" cy="5060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630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Announces Proposed Public Offering of Common Stock</w:t>
      </w:r>
    </w:p>
    <w:p>
      <w:pPr>
        <w:spacing w:after="0" w:line="225" w:lineRule="exact"/>
        <w:rPr>
          <w:sz w:val="20"/>
          <w:szCs w:val="20"/>
          <w:color w:val="auto"/>
        </w:rPr>
      </w:pPr>
    </w:p>
    <w:p>
      <w:pPr>
        <w:ind w:right="220"/>
        <w:spacing w:after="0" w:line="241" w:lineRule="auto"/>
        <w:rPr>
          <w:sz w:val="20"/>
          <w:szCs w:val="20"/>
          <w:color w:val="auto"/>
        </w:rPr>
      </w:pPr>
      <w:r>
        <w:rPr>
          <w:rFonts w:ascii="Arial" w:cs="Arial" w:eastAsia="Arial" w:hAnsi="Arial"/>
          <w:sz w:val="16"/>
          <w:szCs w:val="16"/>
          <w:b w:val="1"/>
          <w:bCs w:val="1"/>
          <w:color w:val="auto"/>
        </w:rPr>
        <w:t xml:space="preserve">CAMBRIDGE, Mass. – August 15, 2022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Fulcrum Therapeutics, Inc.</w:t>
      </w:r>
      <w:r>
        <w:rPr>
          <w:rFonts w:ascii="Arial" w:cs="Arial" w:eastAsia="Arial" w:hAnsi="Arial"/>
          <w:sz w:val="23"/>
          <w:szCs w:val="23"/>
          <w:b w:val="1"/>
          <w:bCs w:val="1"/>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(Nasdaq: FULC), a clinical-stage biopharmaceutical company focused on</w:t>
      </w:r>
      <w:r>
        <w:rPr>
          <w:rFonts w:ascii="Arial" w:cs="Arial" w:eastAsia="Arial" w:hAnsi="Arial"/>
          <w:sz w:val="16"/>
          <w:szCs w:val="16"/>
          <w:b w:val="1"/>
          <w:bCs w:val="1"/>
          <w:color w:val="auto"/>
        </w:rPr>
        <w:t xml:space="preserve"> </w:t>
      </w:r>
      <w:r>
        <w:rPr>
          <w:rFonts w:ascii="Arial" w:cs="Arial" w:eastAsia="Arial" w:hAnsi="Arial"/>
          <w:sz w:val="16"/>
          <w:szCs w:val="16"/>
          <w:color w:val="auto"/>
        </w:rPr>
        <w:t>improving the lives of patients with genetically defined rare diseases, today announced that it has commenced an underwritten public offering of</w:t>
      </w:r>
    </w:p>
    <w:p>
      <w:pPr>
        <w:ind w:right="140"/>
        <w:spacing w:after="0" w:line="290" w:lineRule="auto"/>
        <w:rPr>
          <w:sz w:val="20"/>
          <w:szCs w:val="20"/>
          <w:color w:val="auto"/>
        </w:rPr>
      </w:pPr>
      <w:r>
        <w:rPr>
          <w:rFonts w:ascii="Arial" w:cs="Arial" w:eastAsia="Arial" w:hAnsi="Arial"/>
          <w:sz w:val="17"/>
          <w:szCs w:val="17"/>
          <w:color w:val="auto"/>
        </w:rPr>
        <w:t>$75 million of shares of its common stock. Fulcrum also intends to grant the underwriters a 30-day option to purchase up to an additional $11.3 million of shares of its common stock offered in the public offering. All of the shares in the proposed offering are to be sold by Fulcrum.</w:t>
      </w:r>
    </w:p>
    <w:p>
      <w:pPr>
        <w:spacing w:after="0" w:line="1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Goldman Sachs &amp; Co. LLC and SVB Securities are acting as lead joint book-running managers for the proposed offering. Stifel is acting as an additional book-running manager for the proposed offering. Oppenheimer &amp; Co. Inc. is acting as lead manager for the proposed offering. The proposed offering is subject to market and other conditions, and there can be no assurance as to whether or when the offering may be completed, or as to the actual size or terms of the offering.</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shares are being offered by Fulcrum pursuant to an effective shelf registration statement that was previously filed with the U.S. Securities and Exchange Commission (the “SEC”). The offering is being made only by means of a written prospectus and prospectus supplement that form a part of the registration statement. A preliminary prospectus supplement relating to and describing the terms of the offering will be filed with the SEC and will be available on the SEC’s website at www.sec.gov.</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When available, copies of the preliminary prospectus supplement relating to the offering may be obtained from Goldman Sachs &amp; Co. LLC by mail at 200 West Street, New York, NY 10282, Attention: Prospectus Department, by telephone at (866) 471-2526, or by email at prospectus-ny@ny.email.gs.com; or SVB Securities LLC, Attention: Syndicate Department, 53 State Street, 40th Floor, Boston, MA 02109, by email at syndicate@svbsecurities.com or by phone at (800) 808-7525, ext. 6105.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final terms of the offering will be disclosed in a final prospectus supplement to be filed with the SEC.</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and other hemoglobinopathies, including beta-thalassemia. Fulcrum’s proprietary product engine FulcrumSeek</w:t>
      </w:r>
      <w:r>
        <w:rPr>
          <w:rFonts w:ascii="Arial" w:cs="Arial" w:eastAsia="Arial" w:hAnsi="Arial"/>
          <w:sz w:val="25"/>
          <w:szCs w:val="25"/>
          <w:color w:val="auto"/>
          <w:vertAlign w:val="superscript"/>
        </w:rPr>
        <w:t>™</w:t>
      </w:r>
      <w:r>
        <w:rPr>
          <w:rFonts w:ascii="Arial" w:cs="Arial" w:eastAsia="Arial" w:hAnsi="Arial"/>
          <w:sz w:val="17"/>
          <w:szCs w:val="17"/>
          <w:color w:val="auto"/>
        </w:rPr>
        <w:t>, identifies drug targets that can modulate gene expression to treat the known root cause of gene mis-expression.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but not limited to, statements regarding the timing, size and completion of the proposed public offering. All such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related to fluctuations in Fulcrum’s stock price, changes in market conditions, the final terms of the public offering and satisfaction of customary</w:t>
      </w:r>
    </w:p>
    <w:p>
      <w:pPr>
        <w:sectPr>
          <w:pgSz w:w="11900" w:h="16838" w:orient="portrait"/>
          <w:cols w:equalWidth="0" w:num="1">
            <w:col w:w="11020"/>
          </w:cols>
          <w:pgMar w:left="440" w:top="121" w:right="439" w:bottom="1440" w:gutter="0" w:footer="0" w:header="0"/>
        </w:sectPr>
      </w:pPr>
    </w:p>
    <w:bookmarkStart w:id="41" w:name="page42"/>
    <w:bookmarkEnd w:id="41"/>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conditions related to the public offering, as well as the other factors discussed in the “Risk Factors” section in the prospectus supplement and registration statement referenced above and in Fulcrum’s most recently filed Quarterly Report on Form 10-Q, as well as other risks detailed in Fulcrum’s filings with the Securities and Exchange Commission. There can be no assurance that Fulcrum will be able to complete the public offering on the anticipated terms. All information in this press release is as of the date of the release, and Fulcrum undertakes no duty to update this information, even if subsequent events cause its views to change, unless required by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Dee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dsmith@fulcrumtx.com</w:t>
      </w:r>
    </w:p>
    <w:p>
      <w:pPr>
        <w:sectPr>
          <w:pgSz w:w="11900" w:h="16838" w:orient="portrait"/>
          <w:cols w:equalWidth="0" w:num="1">
            <w:col w:w="11000"/>
          </w:cols>
          <w:pgMar w:left="440" w:top="274" w:right="4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63065" cy="5060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6306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Fulcrum Therapeutics Announces Pricing of Public Offering of Common Stock</w:t>
      </w:r>
    </w:p>
    <w:p>
      <w:pPr>
        <w:spacing w:after="0" w:line="225"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b w:val="1"/>
          <w:bCs w:val="1"/>
          <w:color w:val="auto"/>
        </w:rPr>
        <w:t xml:space="preserve">CAMBRIDGE, Mass. – August 15, 2022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Fulcrum Therapeutics, Inc.</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(Nasdaq: FULC), a clinical-stage biopharmaceutical company focused on</w:t>
      </w:r>
      <w:r>
        <w:rPr>
          <w:rFonts w:ascii="Arial" w:cs="Arial" w:eastAsia="Arial" w:hAnsi="Arial"/>
          <w:sz w:val="17"/>
          <w:szCs w:val="17"/>
          <w:b w:val="1"/>
          <w:bCs w:val="1"/>
          <w:color w:val="auto"/>
        </w:rPr>
        <w:t xml:space="preserve"> </w:t>
      </w:r>
      <w:r>
        <w:rPr>
          <w:rFonts w:ascii="Arial" w:cs="Arial" w:eastAsia="Arial" w:hAnsi="Arial"/>
          <w:sz w:val="17"/>
          <w:szCs w:val="17"/>
          <w:color w:val="auto"/>
        </w:rPr>
        <w:t>improving the lives of patients with genetically defined rare diseases, today announced the pricing of an underwritten public offering of 9,590,792 shares of its common stock at a public offering price of $7.82 per share. The gross proceeds to Fulcrum from the offering, before deducting underwriting discounts and commissions and other estimated offering expenses, are expected to be $75 million. All shares in the offering are to be sold by Fulcrum. In addition, Fulcrum has granted the underwriters a 30-day option to purchase up to an additional 1,438,618 shares of its common stock. The offering is expected to close on or about August 18, 2022, subject to customary closing conditions.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Goldman Sachs &amp; Co. LLC and SVB Securities are acting as the lead joint book-running managers for the offering. Stifel is acting as an additional book-running manager for the offering. Oppenheimer &amp; Co. Inc. is acting as lead manager for the offering.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shares are being offered by Fulcrum pursuant to an effective shelf registration statement that was previously filed with the U.S. Securities and Exchange Commission (the “SEC”). The offering is being made only by means of a written prospectus and prospectus supplement that form a part of the registration statement. A preliminary prospectus supplement relating to and describing the terms of the offering was filed with the SEC and is available on the SEC’s website at www.sec.gov.</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When available, copies of the final prospectus supplement relating to the offering may be obtained from Goldman Sachs &amp; Co. LLC by mail at 200 West Street, New York, NY 10282, Attention: Prospectus Department, by telephone at (866) 471-2526, or by email at prospectus-ny@ny.email.gs.com; or SVB Securities LLC, Attention: Syndicate Department, 53 State Street, 40th Floor, Boston, MA 02109, by email at syndicate@svbsecurities.com or by phone at (800) 808-7525, ext. 6105.</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This press release shall not constitute an offer to sell or a solicitation of an offer to buy these securities, nor shall there be any sale of these securities in any state or jurisdiction in which such offer, solicitation or sale would be unlawful prior to the registration or qualification under the securities laws of any such state or jurisdiction.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Fulcrum Therapeutics</w:t>
      </w:r>
    </w:p>
    <w:p>
      <w:pPr>
        <w:spacing w:after="0" w:line="12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Fulcrum Therapeutics is a clinical-stage biopharmaceutical company focused on improving the lives of patients with genetically defined rare diseases in areas of high unmet medical need. Fulcrum’s two lead programs in clinical development are losmapimod, a small molecule for the treatment of facioscapulohumeral muscular dystrophy (FSHD), and FTX-6058, a small molecule designed to increase expression of fetal hemoglobin for the treatment of sickle cell disease and other hemoglobinopathies, including beta-thalassemia. Fulcrum’s proprietary product engine FulcrumSeek</w:t>
      </w:r>
      <w:r>
        <w:rPr>
          <w:rFonts w:ascii="Arial" w:cs="Arial" w:eastAsia="Arial" w:hAnsi="Arial"/>
          <w:sz w:val="25"/>
          <w:szCs w:val="25"/>
          <w:color w:val="auto"/>
          <w:vertAlign w:val="superscript"/>
        </w:rPr>
        <w:t>™</w:t>
      </w:r>
      <w:r>
        <w:rPr>
          <w:rFonts w:ascii="Arial" w:cs="Arial" w:eastAsia="Arial" w:hAnsi="Arial"/>
          <w:sz w:val="17"/>
          <w:szCs w:val="17"/>
          <w:color w:val="auto"/>
        </w:rPr>
        <w:t>, identifies drug targets that can modulate gene expression to treat the known root cause of gene mis-expression.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including, but not limited to, statements regarding the timing and completion of the public offering. All such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related to fluctuations in Fulcrum’s stock price, changes in market conditions and satisfaction of customary closing conditions related to the public offering, as well as the other factors discussed in the “Risk Factors” section in the prospectus supplement and registration statement</w:t>
      </w:r>
    </w:p>
    <w:p>
      <w:pPr>
        <w:sectPr>
          <w:pgSz w:w="11900" w:h="16838" w:orient="portrait"/>
          <w:cols w:equalWidth="0" w:num="1">
            <w:col w:w="11020"/>
          </w:cols>
          <w:pgMar w:left="440" w:top="121" w:right="439" w:bottom="1440" w:gutter="0" w:footer="0" w:header="0"/>
        </w:sectPr>
      </w:pPr>
    </w:p>
    <w:bookmarkStart w:id="43" w:name="page44"/>
    <w:bookmarkEnd w:id="43"/>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referenced above and in Fulcrum’s most recently filed Quarterly Report on Form 10-Q, as well as other risks detailed in Fulcrum’s filings with the Securities and Exchange Commission. There can be no assurance that Fulcrum will be able to complete the public offering on the anticipated terms. All information in this press release is as of the date of the release, and Fulcrum undertakes no duty to update this information, even if subsequent events cause its views to change, unless required by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Dee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Fulcrum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dsmith@fulcrumtx.com</w:t>
      </w:r>
    </w:p>
    <w:sectPr>
      <w:pgSz w:w="11900" w:h="16838" w:orient="portrait"/>
      <w:cols w:equalWidth="0" w:num="1">
        <w:col w:w="10920"/>
      </w:cols>
      <w:pgMar w:left="4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1."/>
      <w:numFmt w:val="decimal"/>
      <w:start w:val="1"/>
    </w:lvl>
    <w:lvl w:ilvl="1">
      <w:lvlJc w:val="left"/>
      <w:lvlText w:val="(%2)"/>
      <w:numFmt w:val="lowerLetter"/>
      <w:start w:val="1"/>
    </w:lvl>
  </w:abstractNum>
  <w:abstractNum w:abstractNumId="2">
    <w:nsid w:val="8EDBDAB"/>
    <w:multiLevelType w:val="hybridMultilevel"/>
    <w:lvl w:ilvl="0">
      <w:lvlJc w:val="left"/>
      <w:lvlText w:val="(%1)"/>
      <w:numFmt w:val="lowerLetter"/>
      <w:start w:val="2"/>
    </w:lvl>
  </w:abstractNum>
  <w:abstractNum w:abstractNumId="3">
    <w:nsid w:val="79838CB2"/>
    <w:multiLevelType w:val="hybridMultilevel"/>
    <w:lvl w:ilvl="0">
      <w:lvlJc w:val="left"/>
      <w:lvlText w:val="(%1)"/>
      <w:numFmt w:val="lowerLetter"/>
      <w:start w:val="3"/>
    </w:lvl>
  </w:abstractNum>
  <w:abstractNum w:abstractNumId="4">
    <w:nsid w:val="4353D0CD"/>
    <w:multiLevelType w:val="hybridMultilevel"/>
    <w:lvl w:ilvl="0">
      <w:lvlJc w:val="left"/>
      <w:lvlText w:val="(%1)"/>
      <w:numFmt w:val="lowerLetter"/>
      <w:start w:val="6"/>
    </w:lvl>
  </w:abstractNum>
  <w:abstractNum w:abstractNumId="5">
    <w:nsid w:val="B03E0C6"/>
    <w:multiLevelType w:val="hybridMultilevel"/>
    <w:lvl w:ilvl="0">
      <w:lvlJc w:val="left"/>
      <w:lvlText w:val="(%1)"/>
      <w:numFmt w:val="lowerLetter"/>
      <w:start w:val="10"/>
    </w:lvl>
  </w:abstractNum>
  <w:abstractNum w:abstractNumId="6">
    <w:nsid w:val="189A769B"/>
    <w:multiLevelType w:val="hybridMultilevel"/>
    <w:lvl w:ilvl="0">
      <w:lvlJc w:val="left"/>
      <w:lvlText w:val="%1"/>
      <w:numFmt w:val="upperLetter"/>
      <w:start w:val="1"/>
    </w:lvl>
    <w:lvl w:ilvl="1">
      <w:lvlJc w:val="left"/>
      <w:lvlText w:val="(%2)"/>
      <w:numFmt w:val="lowerLetter"/>
      <w:start w:val="13"/>
    </w:lvl>
  </w:abstractNum>
  <w:abstractNum w:abstractNumId="7">
    <w:nsid w:val="54E49EB4"/>
    <w:multiLevelType w:val="hybridMultilevel"/>
    <w:lvl w:ilvl="0">
      <w:lvlJc w:val="left"/>
      <w:lvlText w:val="(%1)"/>
      <w:numFmt w:val="upperLetter"/>
      <w:start w:val="2"/>
    </w:lvl>
    <w:lvl w:ilvl="1">
      <w:lvlJc w:val="left"/>
      <w:lvlText w:val="(%2)"/>
      <w:numFmt w:val="lowerLetter"/>
      <w:start w:val="18"/>
    </w:lvl>
  </w:abstractNum>
  <w:abstractNum w:abstractNumId="8">
    <w:nsid w:val="71F32454"/>
    <w:multiLevelType w:val="hybridMultilevel"/>
    <w:lvl w:ilvl="0">
      <w:lvlJc w:val="left"/>
      <w:lvlText w:val="(%1)"/>
      <w:numFmt w:val="lowerLetter"/>
      <w:start w:val="20"/>
    </w:lvl>
  </w:abstractNum>
  <w:abstractNum w:abstractNumId="9">
    <w:nsid w:val="2CA88611"/>
    <w:multiLevelType w:val="hybridMultilevel"/>
    <w:lvl w:ilvl="0">
      <w:lvlJc w:val="left"/>
      <w:lvlText w:val="(%1)"/>
      <w:numFmt w:val="lowerLetter"/>
      <w:start w:val="24"/>
    </w:lvl>
  </w:abstractNum>
  <w:abstractNum w:abstractNumId="10">
    <w:nsid w:val="836C40E"/>
    <w:multiLevelType w:val="hybridMultilevel"/>
    <w:lvl w:ilvl="0">
      <w:lvlJc w:val="left"/>
      <w:lvlText w:val="(%1)"/>
      <w:numFmt w:val="lowerLetter"/>
      <w:start w:val="27"/>
    </w:lvl>
  </w:abstractNum>
  <w:abstractNum w:abstractNumId="11">
    <w:nsid w:val="2901D82"/>
    <w:multiLevelType w:val="hybridMultilevel"/>
    <w:lvl w:ilvl="0">
      <w:lvlJc w:val="left"/>
      <w:lvlText w:val="(%1)"/>
      <w:numFmt w:val="lowerLetter"/>
      <w:start w:val="34"/>
    </w:lvl>
  </w:abstractNum>
  <w:abstractNum w:abstractNumId="12">
    <w:nsid w:val="3A95F874"/>
    <w:multiLevelType w:val="hybridMultilevel"/>
    <w:lvl w:ilvl="0">
      <w:lvlJc w:val="left"/>
      <w:lvlText w:val="%1"/>
      <w:numFmt w:val="lowerLetter"/>
      <w:start w:val="1"/>
    </w:lvl>
    <w:lvl w:ilvl="1">
      <w:lvlJc w:val="left"/>
      <w:lvlText w:val="(%2)"/>
      <w:numFmt w:val="lowerLetter"/>
      <w:start w:val="37"/>
    </w:lvl>
  </w:abstractNum>
  <w:abstractNum w:abstractNumId="13">
    <w:nsid w:val="8138641"/>
    <w:multiLevelType w:val="hybridMultilevel"/>
    <w:lvl w:ilvl="0">
      <w:lvlJc w:val="left"/>
      <w:lvlText w:val="(%1)"/>
      <w:numFmt w:val="lowerLetter"/>
      <w:start w:val="35"/>
    </w:lvl>
    <w:lvl w:ilvl="1">
      <w:lvlJc w:val="left"/>
      <w:lvlText w:val="%2"/>
      <w:numFmt w:val="lowerLetter"/>
      <w:start w:val="1"/>
    </w:lvl>
  </w:abstractNum>
  <w:abstractNum w:abstractNumId="14">
    <w:nsid w:val="1E7FF521"/>
    <w:multiLevelType w:val="hybridMultilevel"/>
    <w:lvl w:ilvl="0">
      <w:lvlJc w:val="left"/>
      <w:lvlText w:val="(%1)"/>
      <w:numFmt w:val="lowerLetter"/>
      <w:start w:val="39"/>
    </w:lvl>
  </w:abstractNum>
  <w:abstractNum w:abstractNumId="15">
    <w:nsid w:val="7C3DBD3D"/>
    <w:multiLevelType w:val="hybridMultilevel"/>
    <w:lvl w:ilvl="0">
      <w:lvlJc w:val="left"/>
      <w:lvlText w:val="%1"/>
      <w:numFmt w:val="decimal"/>
      <w:start w:val="1"/>
    </w:lvl>
    <w:lvl w:ilvl="1">
      <w:lvlJc w:val="left"/>
      <w:lvlText w:val="(%2)"/>
      <w:numFmt w:val="lowerLetter"/>
      <w:start w:val="41"/>
    </w:lvl>
  </w:abstractNum>
  <w:abstractNum w:abstractNumId="16">
    <w:nsid w:val="737B8DDC"/>
    <w:multiLevelType w:val="hybridMultilevel"/>
    <w:lvl w:ilvl="0">
      <w:lvlJc w:val="left"/>
      <w:lvlText w:val="%1."/>
      <w:numFmt w:val="decimal"/>
      <w:start w:val="2"/>
    </w:lvl>
    <w:lvl w:ilvl="1">
      <w:lvlJc w:val="left"/>
      <w:lvlText w:val="%2"/>
      <w:numFmt w:val="lowerLetter"/>
      <w:start w:val="1"/>
    </w:lvl>
  </w:abstractNum>
  <w:abstractNum w:abstractNumId="17">
    <w:nsid w:val="6CEAF087"/>
    <w:multiLevelType w:val="hybridMultilevel"/>
    <w:lvl w:ilvl="0">
      <w:lvlJc w:val="left"/>
      <w:lvlText w:val="%1."/>
      <w:numFmt w:val="decimal"/>
      <w:start w:val="3"/>
    </w:lvl>
  </w:abstractNum>
  <w:abstractNum w:abstractNumId="18">
    <w:nsid w:val="22221A70"/>
    <w:multiLevelType w:val="hybridMultilevel"/>
    <w:lvl w:ilvl="0">
      <w:lvlJc w:val="left"/>
      <w:lvlText w:val="(%1)"/>
      <w:numFmt w:val="lowerLetter"/>
      <w:start w:val="2"/>
    </w:lvl>
  </w:abstractNum>
  <w:abstractNum w:abstractNumId="19">
    <w:nsid w:val="4516DDE9"/>
    <w:multiLevelType w:val="hybridMultilevel"/>
    <w:lvl w:ilvl="0">
      <w:lvlJc w:val="left"/>
      <w:lvlText w:val="%1."/>
      <w:numFmt w:val="decimal"/>
      <w:start w:val="5"/>
    </w:lvl>
    <w:lvl w:ilvl="1">
      <w:lvlJc w:val="left"/>
      <w:lvlText w:val="(%2)"/>
      <w:numFmt w:val="lowerLetter"/>
      <w:start w:val="1"/>
    </w:lvl>
  </w:abstractNum>
  <w:abstractNum w:abstractNumId="20">
    <w:nsid w:val="3006C83E"/>
    <w:multiLevelType w:val="hybridMultilevel"/>
    <w:lvl w:ilvl="0">
      <w:lvlJc w:val="left"/>
      <w:lvlText w:val="%1"/>
      <w:numFmt w:val="lowerLetter"/>
      <w:start w:val="1"/>
    </w:lvl>
    <w:lvl w:ilvl="1">
      <w:lvlJc w:val="left"/>
      <w:lvlText w:val="(%2)"/>
      <w:numFmt w:val="lowerLetter"/>
      <w:start w:val="5"/>
    </w:lvl>
  </w:abstractNum>
  <w:abstractNum w:abstractNumId="21">
    <w:nsid w:val="614FD4A1"/>
    <w:multiLevelType w:val="hybridMultilevel"/>
    <w:lvl w:ilvl="0">
      <w:lvlJc w:val="left"/>
      <w:lvlText w:val="(%1)"/>
      <w:numFmt w:val="lowerLetter"/>
      <w:start w:val="9"/>
    </w:lvl>
    <w:lvl w:ilvl="1">
      <w:lvlJc w:val="left"/>
      <w:lvlText w:val="%2"/>
      <w:numFmt w:val="lowerLetter"/>
      <w:start w:val="1"/>
    </w:lvl>
  </w:abstractNum>
  <w:abstractNum w:abstractNumId="22">
    <w:nsid w:val="419AC241"/>
    <w:multiLevelType w:val="hybridMultilevel"/>
    <w:lvl w:ilvl="0">
      <w:lvlJc w:val="left"/>
      <w:lvlText w:val="(%1)"/>
      <w:numFmt w:val="lowerLetter"/>
      <w:start w:val="7"/>
    </w:lvl>
  </w:abstractNum>
  <w:abstractNum w:abstractNumId="23">
    <w:nsid w:val="5577F8E1"/>
    <w:multiLevelType w:val="hybridMultilevel"/>
    <w:lvl w:ilvl="0">
      <w:lvlJc w:val="left"/>
      <w:lvlText w:val="(%1)"/>
      <w:numFmt w:val="lowerLetter"/>
      <w:start w:val="1"/>
    </w:lvl>
  </w:abstractNum>
  <w:abstractNum w:abstractNumId="24">
    <w:nsid w:val="440BADFC"/>
    <w:multiLevelType w:val="hybridMultilevel"/>
    <w:lvl w:ilvl="0">
      <w:lvlJc w:val="left"/>
      <w:lvlText w:val="(%1)"/>
      <w:numFmt w:val="lowerLetter"/>
      <w:start w:val="3"/>
    </w:lvl>
  </w:abstractNum>
  <w:abstractNum w:abstractNumId="25">
    <w:nsid w:val="5072367"/>
    <w:multiLevelType w:val="hybridMultilevel"/>
    <w:lvl w:ilvl="0">
      <w:lvlJc w:val="left"/>
      <w:lvlText w:val="%1."/>
      <w:numFmt w:val="decimal"/>
      <w:start w:val="7"/>
    </w:lvl>
  </w:abstractNum>
  <w:abstractNum w:abstractNumId="26">
    <w:nsid w:val="3804823E"/>
    <w:multiLevelType w:val="hybridMultilevel"/>
    <w:lvl w:ilvl="0">
      <w:lvlJc w:val="left"/>
      <w:lvlText w:val="%1."/>
      <w:numFmt w:val="decimal"/>
      <w:start w:val="8"/>
    </w:lvl>
    <w:lvl w:ilvl="1">
      <w:lvlJc w:val="left"/>
      <w:lvlText w:val="(%2)"/>
      <w:numFmt w:val="lowerLetter"/>
      <w:start w:val="1"/>
    </w:lvl>
  </w:abstractNum>
  <w:abstractNum w:abstractNumId="27">
    <w:nsid w:val="77465F01"/>
    <w:multiLevelType w:val="hybridMultilevel"/>
    <w:lvl w:ilvl="0">
      <w:lvlJc w:val="left"/>
      <w:lvlText w:val="%1"/>
      <w:numFmt w:val="decimal"/>
      <w:start w:val="1"/>
    </w:lvl>
    <w:lvl w:ilvl="1">
      <w:lvlJc w:val="left"/>
      <w:lvlText w:val="(%2)"/>
      <w:numFmt w:val="lowerLetter"/>
      <w:start w:val="7"/>
    </w:lvl>
  </w:abstractNum>
  <w:abstractNum w:abstractNumId="28">
    <w:nsid w:val="7724C67E"/>
    <w:multiLevelType w:val="hybridMultilevel"/>
    <w:lvl w:ilvl="0">
      <w:lvlJc w:val="left"/>
      <w:lvlText w:val="%1."/>
      <w:numFmt w:val="decimal"/>
      <w:start w:val="9"/>
    </w:lvl>
    <w:lvl w:ilvl="1">
      <w:lvlJc w:val="left"/>
      <w:lvlText w:val="%2"/>
      <w:numFmt w:val="lowerLetter"/>
      <w:start w:val="1"/>
    </w:lvl>
  </w:abstractNum>
  <w:abstractNum w:abstractNumId="29">
    <w:nsid w:val="5C482A97"/>
    <w:multiLevelType w:val="hybridMultilevel"/>
    <w:lvl w:ilvl="0">
      <w:lvlJc w:val="left"/>
      <w:lvlText w:val="(%1)"/>
      <w:numFmt w:val="lowerLetter"/>
      <w:start w:val="2"/>
    </w:lvl>
  </w:abstractNum>
  <w:abstractNum w:abstractNumId="30">
    <w:nsid w:val="2463B9EA"/>
    <w:multiLevelType w:val="hybridMultilevel"/>
    <w:lvl w:ilvl="0">
      <w:lvlJc w:val="left"/>
      <w:lvlText w:val="%1"/>
      <w:numFmt w:val="lowerLetter"/>
      <w:start w:val="1"/>
    </w:lvl>
    <w:lvl w:ilvl="1">
      <w:lvlJc w:val="left"/>
      <w:lvlText w:val="(%2)"/>
      <w:numFmt w:val="lowerLetter"/>
      <w:start w:val="4"/>
    </w:lvl>
  </w:abstractNum>
  <w:abstractNum w:abstractNumId="31">
    <w:nsid w:val="5E884ADC"/>
    <w:multiLevelType w:val="hybridMultilevel"/>
    <w:lvl w:ilvl="0">
      <w:lvlJc w:val="left"/>
      <w:lvlText w:val="(%1)"/>
      <w:numFmt w:val="lowerLetter"/>
      <w:start w:val="1"/>
    </w:lvl>
    <w:lvl w:ilvl="1">
      <w:lvlJc w:val="left"/>
      <w:lvlText w:val="%2"/>
      <w:numFmt w:val="lowerLetter"/>
      <w:start w:val="1"/>
    </w:lvl>
  </w:abstractNum>
  <w:abstractNum w:abstractNumId="32">
    <w:nsid w:val="51EAD36B"/>
    <w:multiLevelType w:val="hybridMultilevel"/>
    <w:lvl w:ilvl="0">
      <w:lvlJc w:val="left"/>
      <w:lvlText w:val="(%1)"/>
      <w:numFmt w:val="lowerLetter"/>
      <w:start w:val="5"/>
    </w:lvl>
  </w:abstractNum>
  <w:abstractNum w:abstractNumId="33">
    <w:nsid w:val="2D517796"/>
    <w:multiLevelType w:val="hybridMultilevel"/>
    <w:lvl w:ilvl="0">
      <w:lvlJc w:val="left"/>
      <w:lvlText w:val="%1."/>
      <w:numFmt w:val="decimal"/>
      <w:start w:val="10"/>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1."/>
      <w:numFmt w:val="decimal"/>
      <w:start w:val="11"/>
    </w:lvl>
  </w:abstractNum>
  <w:abstractNum w:abstractNumId="36">
    <w:nsid w:val="3855585C"/>
    <w:multiLevelType w:val="hybridMultilevel"/>
    <w:lvl w:ilvl="0">
      <w:lvlJc w:val="left"/>
      <w:lvlText w:val="%1."/>
      <w:numFmt w:val="decimal"/>
      <w:start w:val="12"/>
    </w:lvl>
  </w:abstractNum>
  <w:abstractNum w:abstractNumId="37">
    <w:nsid w:val="70A64E2A"/>
    <w:multiLevelType w:val="hybridMultilevel"/>
    <w:lvl w:ilvl="0">
      <w:lvlJc w:val="left"/>
      <w:lvlText w:val="%1."/>
      <w:numFmt w:val="decimal"/>
      <w:start w:val="14"/>
    </w:lvl>
  </w:abstractNum>
  <w:abstractNum w:abstractNumId="38">
    <w:nsid w:val="6A2342EC"/>
    <w:multiLevelType w:val="hybridMultilevel"/>
    <w:lvl w:ilvl="0">
      <w:lvlJc w:val="left"/>
      <w:lvlText w:val="%1."/>
      <w:numFmt w:val="decimal"/>
      <w:start w:val="16"/>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lowerRoman"/>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lowerLetter"/>
      <w:start w:val="3"/>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lowerLetter"/>
      <w:start w:val="1"/>
    </w:lvl>
    <w:lvl w:ilvl="1">
      <w:lvlJc w:val="left"/>
      <w:lvlText w:val="(%2)"/>
      <w:numFmt w:val="upperLetter"/>
      <w:start w:val="1"/>
    </w:lvl>
  </w:abstractNum>
  <w:abstractNum w:abstractNumId="45">
    <w:nsid w:val="4B588F54"/>
    <w:multiLevelType w:val="hybridMultilevel"/>
    <w:lvl w:ilvl="0">
      <w:lvlJc w:val="left"/>
      <w:lvlText w:val="(%1)"/>
      <w:numFmt w:val="lowerLetter"/>
      <w:start w:val="2"/>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2022-08-17T05:20:55Z</dcterms:created>
  <dcterms:modified xsi:type="dcterms:W3CDTF">2022-08-17T05:20:55Z</dcterms:modified>
</cp:coreProperties>
</file>