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165100</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0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February 25,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217170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Fulcrum Therapeutics, Inc.</w:t>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250190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tbl>
      <w:tblPr>
        <w:tblLayout w:type="fixed"/>
        <w:tblInd w:w="1200" w:type="dxa"/>
        <w:tblCellMar>
          <w:top w:w="0" w:type="dxa"/>
          <w:left w:w="0" w:type="dxa"/>
          <w:bottom w:w="0" w:type="dxa"/>
          <w:right w:w="0" w:type="dxa"/>
        </w:tblCellMar>
      </w:tblPr>
      <w:tr>
        <w:trPr>
          <w:trHeight w:val="222"/>
        </w:trPr>
        <w:tc>
          <w:tcPr>
            <w:tcW w:w="2940" w:type="dxa"/>
            <w:vAlign w:val="bottom"/>
          </w:tcPr>
          <w:p>
            <w:pPr>
              <w:jc w:val="center"/>
              <w:ind w:right="621"/>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280" w:type="dxa"/>
            <w:vAlign w:val="bottom"/>
          </w:tcPr>
          <w:p>
            <w:pPr>
              <w:jc w:val="right"/>
              <w:ind w:right="1321"/>
              <w:spacing w:after="0"/>
              <w:rPr>
                <w:sz w:val="20"/>
                <w:szCs w:val="20"/>
                <w:color w:val="auto"/>
              </w:rPr>
            </w:pPr>
            <w:r>
              <w:rPr>
                <w:rFonts w:ascii="Times New Roman" w:cs="Times New Roman" w:eastAsia="Times New Roman" w:hAnsi="Times New Roman"/>
                <w:sz w:val="18"/>
                <w:szCs w:val="18"/>
                <w:b w:val="1"/>
                <w:bCs w:val="1"/>
                <w:color w:val="auto"/>
              </w:rPr>
              <w:t>001-38978</w:t>
            </w:r>
          </w:p>
        </w:tc>
        <w:tc>
          <w:tcPr>
            <w:tcW w:w="2040" w:type="dxa"/>
            <w:vAlign w:val="bottom"/>
          </w:tcPr>
          <w:p>
            <w:pPr>
              <w:jc w:val="right"/>
              <w:ind w:right="4"/>
              <w:spacing w:after="0"/>
              <w:rPr>
                <w:sz w:val="20"/>
                <w:szCs w:val="20"/>
                <w:color w:val="auto"/>
              </w:rPr>
            </w:pPr>
            <w:r>
              <w:rPr>
                <w:rFonts w:ascii="Times New Roman" w:cs="Times New Roman" w:eastAsia="Times New Roman" w:hAnsi="Times New Roman"/>
                <w:sz w:val="18"/>
                <w:szCs w:val="18"/>
                <w:b w:val="1"/>
                <w:bCs w:val="1"/>
                <w:color w:val="auto"/>
              </w:rPr>
              <w:t>47-4839948</w:t>
            </w:r>
          </w:p>
        </w:tc>
      </w:tr>
      <w:tr>
        <w:trPr>
          <w:trHeight w:val="149"/>
        </w:trPr>
        <w:tc>
          <w:tcPr>
            <w:tcW w:w="2940" w:type="dxa"/>
            <w:vAlign w:val="bottom"/>
          </w:tcPr>
          <w:p>
            <w:pPr>
              <w:jc w:val="center"/>
              <w:ind w:right="641"/>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3280" w:type="dxa"/>
            <w:vAlign w:val="bottom"/>
          </w:tcPr>
          <w:p>
            <w:pPr>
              <w:jc w:val="center"/>
              <w:ind w:right="221"/>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2940" w:type="dxa"/>
            <w:vAlign w:val="bottom"/>
          </w:tcPr>
          <w:p>
            <w:pPr>
              <w:jc w:val="center"/>
              <w:ind w:right="641"/>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3280" w:type="dxa"/>
            <w:vAlign w:val="bottom"/>
          </w:tcPr>
          <w:p>
            <w:pPr>
              <w:spacing w:after="0"/>
              <w:rPr>
                <w:sz w:val="15"/>
                <w:szCs w:val="15"/>
                <w:color w:val="auto"/>
              </w:rPr>
            </w:pPr>
          </w:p>
        </w:tc>
        <w:tc>
          <w:tcPr>
            <w:tcW w:w="2040" w:type="dxa"/>
            <w:vAlign w:val="bottom"/>
          </w:tcPr>
          <w:p>
            <w:pPr>
              <w:jc w:val="center"/>
              <w:ind w:left="90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397"/>
        </w:trPr>
        <w:tc>
          <w:tcPr>
            <w:tcW w:w="2940" w:type="dxa"/>
            <w:vAlign w:val="bottom"/>
          </w:tcPr>
          <w:p>
            <w:pPr>
              <w:jc w:val="center"/>
              <w:ind w:right="621"/>
              <w:spacing w:after="0"/>
              <w:rPr>
                <w:sz w:val="20"/>
                <w:szCs w:val="20"/>
                <w:color w:val="auto"/>
              </w:rPr>
            </w:pPr>
            <w:r>
              <w:rPr>
                <w:rFonts w:ascii="Times New Roman" w:cs="Times New Roman" w:eastAsia="Times New Roman" w:hAnsi="Times New Roman"/>
                <w:sz w:val="18"/>
                <w:szCs w:val="18"/>
                <w:b w:val="1"/>
                <w:bCs w:val="1"/>
                <w:color w:val="auto"/>
              </w:rPr>
              <w:t>26 Landsdowne Street</w:t>
            </w:r>
          </w:p>
        </w:tc>
        <w:tc>
          <w:tcPr>
            <w:tcW w:w="328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22"/>
        </w:trPr>
        <w:tc>
          <w:tcPr>
            <w:tcW w:w="2940" w:type="dxa"/>
            <w:vAlign w:val="bottom"/>
          </w:tcPr>
          <w:p>
            <w:pPr>
              <w:jc w:val="center"/>
              <w:ind w:right="621"/>
              <w:spacing w:after="0"/>
              <w:rPr>
                <w:sz w:val="20"/>
                <w:szCs w:val="20"/>
                <w:color w:val="auto"/>
              </w:rPr>
            </w:pPr>
            <w:r>
              <w:rPr>
                <w:rFonts w:ascii="Times New Roman" w:cs="Times New Roman" w:eastAsia="Times New Roman" w:hAnsi="Times New Roman"/>
                <w:sz w:val="18"/>
                <w:szCs w:val="18"/>
                <w:b w:val="1"/>
                <w:bCs w:val="1"/>
                <w:color w:val="auto"/>
              </w:rPr>
              <w:t>Cambridge, Massachusetts</w:t>
            </w:r>
          </w:p>
        </w:tc>
        <w:tc>
          <w:tcPr>
            <w:tcW w:w="3280" w:type="dxa"/>
            <w:vAlign w:val="bottom"/>
          </w:tcPr>
          <w:p>
            <w:pPr>
              <w:spacing w:after="0"/>
              <w:rPr>
                <w:sz w:val="19"/>
                <w:szCs w:val="19"/>
                <w:color w:val="auto"/>
              </w:rPr>
            </w:pPr>
          </w:p>
        </w:tc>
        <w:tc>
          <w:tcPr>
            <w:tcW w:w="204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02139</w:t>
            </w:r>
          </w:p>
        </w:tc>
      </w:tr>
      <w:tr>
        <w:trPr>
          <w:trHeight w:val="178"/>
        </w:trPr>
        <w:tc>
          <w:tcPr>
            <w:tcW w:w="2940" w:type="dxa"/>
            <w:vAlign w:val="bottom"/>
          </w:tcPr>
          <w:p>
            <w:pPr>
              <w:jc w:val="center"/>
              <w:ind w:right="621"/>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3280" w:type="dxa"/>
            <w:vAlign w:val="bottom"/>
          </w:tcPr>
          <w:p>
            <w:pPr>
              <w:spacing w:after="0"/>
              <w:rPr>
                <w:sz w:val="15"/>
                <w:szCs w:val="15"/>
                <w:color w:val="auto"/>
              </w:rPr>
            </w:pP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200" w:lineRule="exact"/>
        <w:rPr>
          <w:sz w:val="24"/>
          <w:szCs w:val="24"/>
          <w:color w:val="auto"/>
        </w:rPr>
      </w:pPr>
    </w:p>
    <w:p>
      <w:pPr>
        <w:spacing w:after="0" w:line="21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(617) 651-8851</w:t>
      </w:r>
    </w:p>
    <w:p>
      <w:pPr>
        <w:spacing w:after="0" w:line="38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248285</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28"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08"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67"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46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tc>
        <w:tc>
          <w:tcPr>
            <w:tcW w:w="1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40" w:type="dxa"/>
            <w:vAlign w:val="bottom"/>
          </w:tcPr>
          <w:p>
            <w:pPr>
              <w:spacing w:after="0"/>
              <w:rPr>
                <w:sz w:val="20"/>
                <w:szCs w:val="20"/>
                <w:color w:val="auto"/>
              </w:rPr>
            </w:pPr>
          </w:p>
        </w:tc>
      </w:tr>
      <w:tr>
        <w:trPr>
          <w:trHeight w:val="356"/>
        </w:trPr>
        <w:tc>
          <w:tcPr>
            <w:tcW w:w="4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4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120" w:type="dxa"/>
            <w:vAlign w:val="bottom"/>
          </w:tcPr>
          <w:p>
            <w:pPr>
              <w:spacing w:after="0"/>
              <w:rPr>
                <w:sz w:val="24"/>
                <w:szCs w:val="24"/>
                <w:color w:val="auto"/>
              </w:rPr>
            </w:pPr>
          </w:p>
        </w:tc>
        <w:tc>
          <w:tcPr>
            <w:tcW w:w="5040" w:type="dxa"/>
            <w:vAlign w:val="bottom"/>
          </w:tcPr>
          <w:p>
            <w:pPr>
              <w:spacing w:after="0"/>
              <w:rPr>
                <w:sz w:val="24"/>
                <w:szCs w:val="24"/>
                <w:color w:val="auto"/>
              </w:rPr>
            </w:pPr>
          </w:p>
        </w:tc>
      </w:tr>
      <w:tr>
        <w:trPr>
          <w:trHeight w:val="238"/>
        </w:trPr>
        <w:tc>
          <w:tcPr>
            <w:tcW w:w="4640" w:type="dxa"/>
            <w:vAlign w:val="bottom"/>
            <w:gridSpan w:val="3"/>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44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120" w:type="dxa"/>
            <w:vAlign w:val="bottom"/>
          </w:tcPr>
          <w:p>
            <w:pPr>
              <w:spacing w:after="0"/>
              <w:rPr>
                <w:sz w:val="20"/>
                <w:szCs w:val="20"/>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42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 stock, par value $0.001 per share</w:t>
            </w:r>
          </w:p>
        </w:tc>
        <w:tc>
          <w:tcPr>
            <w:tcW w:w="1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440" w:type="dxa"/>
            <w:vAlign w:val="bottom"/>
            <w:tcBorders>
              <w:top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color w:val="auto"/>
                <w:w w:val="99"/>
              </w:rPr>
              <w:t>FULC</w:t>
            </w:r>
          </w:p>
        </w:tc>
        <w:tc>
          <w:tcPr>
            <w:tcW w:w="120" w:type="dxa"/>
            <w:vAlign w:val="bottom"/>
          </w:tcPr>
          <w:p>
            <w:pPr>
              <w:spacing w:after="0"/>
              <w:rPr>
                <w:sz w:val="19"/>
                <w:szCs w:val="19"/>
                <w:color w:val="auto"/>
              </w:rPr>
            </w:pPr>
          </w:p>
        </w:tc>
        <w:tc>
          <w:tcPr>
            <w:tcW w:w="50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Nasdaq Global Market</w:t>
            </w:r>
          </w:p>
        </w:tc>
      </w:tr>
    </w:tbl>
    <w:p>
      <w:pPr>
        <w:spacing w:after="0" w:line="179"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7" w:lineRule="exact"/>
        <w:rPr>
          <w:sz w:val="24"/>
          <w:szCs w:val="24"/>
          <w:color w:val="auto"/>
        </w:rPr>
      </w:pPr>
    </w:p>
    <w:p>
      <w:pPr>
        <w:ind w:left="794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612775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3"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121"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On February 25, 2025, Fulcrum announced its financial results for the quarter ended December 31, 2024. The full text of the press release issued in connection with the announcement is being furnished as Exhibit 99.1 to this Current Report on Form 8-K and is incorporated herein by reference.</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in this Item 2.02, including Exhibit 99.1 attached hereto, shall not be deemed “filed” for purposes of Section 18 of the Securities Exchange Act of 1934, as amended, or the Exchange Act, or otherwise subject to the liabilities of that section, nor shall it be deemed incorporated by reference in any filing under the Securities Act of 1933, as amended, or the Exchange Act, except as expressly set forth by specific reference in such a filing.</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21" w:lineRule="exact"/>
        <w:rPr>
          <w:sz w:val="20"/>
          <w:szCs w:val="20"/>
          <w:color w:val="auto"/>
        </w:rPr>
      </w:pPr>
    </w:p>
    <w:p>
      <w:pPr>
        <w:ind w:left="480" w:hanging="472"/>
        <w:spacing w:after="0"/>
        <w:tabs>
          <w:tab w:leader="none" w:pos="4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exhibit is furnished herewith:</w:t>
      </w:r>
    </w:p>
    <w:p>
      <w:pPr>
        <w:spacing w:after="0" w:line="207" w:lineRule="exact"/>
        <w:rPr>
          <w:sz w:val="20"/>
          <w:szCs w:val="20"/>
          <w:color w:val="auto"/>
        </w:rPr>
      </w:pPr>
    </w:p>
    <w:p>
      <w:pPr>
        <w:ind w:left="20"/>
        <w:spacing w:after="0"/>
        <w:tabs>
          <w:tab w:leader="none" w:pos="68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8"/>
          <w:szCs w:val="18"/>
          <w:u w:val="single" w:color="auto"/>
          <w:color w:val="0000FF"/>
        </w:rPr>
        <w:t>Press Release issued February 25, 2025, announcing financial results for the quarter and year ended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wp:posOffset>
            </wp:positionH>
            <wp:positionV relativeFrom="paragraph">
              <wp:posOffset>-7620</wp:posOffset>
            </wp:positionV>
            <wp:extent cx="548259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482590" cy="8255"/>
                    </a:xfrm>
                    <a:prstGeom prst="rect">
                      <a:avLst/>
                    </a:prstGeom>
                    <a:noFill/>
                  </pic:spPr>
                </pic:pic>
              </a:graphicData>
            </a:graphic>
          </wp:anchor>
        </w:drawing>
      </w:r>
    </w:p>
    <w:p>
      <w:pPr>
        <w:spacing w:after="0" w:line="7" w:lineRule="exact"/>
        <w:rPr>
          <w:sz w:val="20"/>
          <w:szCs w:val="20"/>
          <w:color w:val="auto"/>
        </w:rPr>
      </w:pPr>
    </w:p>
    <w:p>
      <w:pPr>
        <w:ind w:left="20"/>
        <w:spacing w:after="0"/>
        <w:tabs>
          <w:tab w:leader="none" w:pos="68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610235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9" w:right="35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2"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FULCRUM THERAPEUTICS, INC.</w:t>
      </w:r>
    </w:p>
    <w:p>
      <w:pPr>
        <w:spacing w:after="0" w:line="374" w:lineRule="exact"/>
        <w:rPr>
          <w:sz w:val="20"/>
          <w:szCs w:val="20"/>
          <w:color w:val="auto"/>
        </w:rPr>
      </w:pPr>
    </w:p>
    <w:p>
      <w:pPr>
        <w:ind w:left="20"/>
        <w:spacing w:after="0"/>
        <w:tabs>
          <w:tab w:leader="none" w:pos="680" w:val="left"/>
          <w:tab w:leader="none" w:pos="5640" w:val="left"/>
          <w:tab w:leader="none" w:pos="608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February 25,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Alex C. Sapir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27469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16"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Name: Alex C. Sapir</w:t>
      </w:r>
    </w:p>
    <w:p>
      <w:pPr>
        <w:spacing w:after="0" w:line="27"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Title: 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713105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5" w:right="37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173990</wp:posOffset>
            </wp:positionV>
            <wp:extent cx="1560195" cy="3771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560195" cy="377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left="360" w:right="1080"/>
        <w:spacing w:after="0" w:line="467" w:lineRule="auto"/>
        <w:rPr>
          <w:sz w:val="20"/>
          <w:szCs w:val="20"/>
          <w:color w:val="auto"/>
        </w:rPr>
      </w:pPr>
      <w:r>
        <w:rPr>
          <w:rFonts w:ascii="Times New Roman" w:cs="Times New Roman" w:eastAsia="Times New Roman" w:hAnsi="Times New Roman"/>
          <w:sz w:val="25"/>
          <w:szCs w:val="25"/>
          <w:b w:val="1"/>
          <w:bCs w:val="1"/>
          <w:color w:val="auto"/>
        </w:rPr>
        <w:t>Fulcrum Therapeutics Announces Recent Business Highlights and Financial Results for Fourth Quarter and Full Year 2024</w:t>
      </w:r>
    </w:p>
    <w:p>
      <w:pPr>
        <w:spacing w:after="0" w:line="159" w:lineRule="exact"/>
        <w:rPr>
          <w:sz w:val="20"/>
          <w:szCs w:val="20"/>
          <w:color w:val="auto"/>
        </w:rPr>
      </w:pPr>
    </w:p>
    <w:p>
      <w:pPr>
        <w:ind w:left="320" w:hanging="221"/>
        <w:spacing w:after="0"/>
        <w:tabs>
          <w:tab w:leader="none" w:pos="320"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On track to provide clinical data from the 12 mg dose cohort from the Phase 1b PIONEER trial of pociredir in SCD in mid-2025, and the 20 mg dose</w:t>
      </w:r>
    </w:p>
    <w:p>
      <w:pPr>
        <w:spacing w:after="0" w:line="29" w:lineRule="exact"/>
        <w:rPr>
          <w:rFonts w:ascii="Times New Roman" w:cs="Times New Roman" w:eastAsia="Times New Roman" w:hAnsi="Times New Roman"/>
          <w:sz w:val="18"/>
          <w:szCs w:val="18"/>
          <w:i w:val="1"/>
          <w:iCs w:val="1"/>
          <w:color w:val="auto"/>
        </w:rPr>
      </w:pPr>
    </w:p>
    <w:p>
      <w:pPr>
        <w:ind w:left="4580"/>
        <w:spacing w:after="0"/>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cohort by the end of 2025 ―</w:t>
      </w:r>
    </w:p>
    <w:p>
      <w:pPr>
        <w:spacing w:after="0" w:line="204" w:lineRule="exact"/>
        <w:rPr>
          <w:rFonts w:ascii="Times New Roman" w:cs="Times New Roman" w:eastAsia="Times New Roman" w:hAnsi="Times New Roman"/>
          <w:sz w:val="18"/>
          <w:szCs w:val="18"/>
          <w:i w:val="1"/>
          <w:iCs w:val="1"/>
          <w:color w:val="auto"/>
        </w:rPr>
      </w:pPr>
    </w:p>
    <w:p>
      <w:pPr>
        <w:ind w:left="1420" w:hanging="234"/>
        <w:spacing w:after="0"/>
        <w:tabs>
          <w:tab w:leader="none" w:pos="1420" w:val="left"/>
        </w:tabs>
        <w:numPr>
          <w:ilvl w:val="1"/>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Ended 2024 with $241.0 million in cash, cash equivalents, and marketable securities; cash runway into at least 2027 ―</w:t>
      </w:r>
    </w:p>
    <w:p>
      <w:pPr>
        <w:spacing w:after="0" w:line="225" w:lineRule="exact"/>
        <w:rPr>
          <w:rFonts w:ascii="Times New Roman" w:cs="Times New Roman" w:eastAsia="Times New Roman" w:hAnsi="Times New Roman"/>
          <w:sz w:val="18"/>
          <w:szCs w:val="18"/>
          <w:i w:val="1"/>
          <w:iCs w:val="1"/>
          <w:color w:val="auto"/>
        </w:rPr>
      </w:pPr>
    </w:p>
    <w:p>
      <w:pPr>
        <w:ind w:left="3360" w:hanging="227"/>
        <w:spacing w:after="0"/>
        <w:tabs>
          <w:tab w:leader="none" w:pos="3360" w:val="left"/>
        </w:tabs>
        <w:numPr>
          <w:ilvl w:val="2"/>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Conference call and webcast scheduled for 8:00 a.m. ET today ―</w:t>
      </w:r>
    </w:p>
    <w:p>
      <w:pPr>
        <w:spacing w:after="0" w:line="342" w:lineRule="exact"/>
        <w:rPr>
          <w:sz w:val="20"/>
          <w:szCs w:val="20"/>
          <w:color w:val="auto"/>
        </w:rPr>
      </w:pPr>
    </w:p>
    <w:p>
      <w:pPr>
        <w:spacing w:after="0" w:line="234" w:lineRule="auto"/>
        <w:rPr>
          <w:sz w:val="20"/>
          <w:szCs w:val="20"/>
          <w:color w:val="auto"/>
        </w:rPr>
      </w:pPr>
      <w:r>
        <w:rPr>
          <w:rFonts w:ascii="Times New Roman" w:cs="Times New Roman" w:eastAsia="Times New Roman" w:hAnsi="Times New Roman"/>
          <w:sz w:val="18"/>
          <w:szCs w:val="18"/>
          <w:b w:val="1"/>
          <w:bCs w:val="1"/>
          <w:color w:val="auto"/>
        </w:rPr>
        <w:t xml:space="preserve">CAMBRIDGE, Mass., – February 25, 2025 </w:t>
      </w:r>
      <w:r>
        <w:rPr>
          <w:rFonts w:ascii="Times New Roman" w:cs="Times New Roman" w:eastAsia="Times New Roman" w:hAnsi="Times New Roman"/>
          <w:sz w:val="18"/>
          <w:szCs w:val="18"/>
          <w:color w:val="auto"/>
        </w:rPr>
        <w:t>– Fulcrum Therapeutics, Inc.</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(Fulcrum) (Nasdaq: FULC), a clinical-stage biopharmaceutical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focused on developing small molecules to improve the lives of patients with genetically defined rare diseases, today reported financial results for the fourth quarter and full year of 2024 as well as a business update.</w:t>
      </w:r>
    </w:p>
    <w:p>
      <w:pPr>
        <w:spacing w:after="0" w:line="198"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“We are entering 2025 with strong momentum behind our lead program, pociredir, for the treatment of sickle cell disease,” said Alex C. Sapir, Fulcrum’s president and chief executive officer. “Having recently enrolled the 10th patient in the 12 mg dose cohort, we remain on track to share important clinical data this year, including data from the 12 mg dose cohort in mid-2025 and data from the 20 mg dose cohort by the end of the year. Based on both its mechanism of action and data generated in the Phase 1b trial to date, pociredir has the potential to ameliorate SCD symptoms by increasing fetal hemoglobin, which could transform the current standard of care by offering a differentiated oral treatment option for patients with SCD.”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Recent Business Highlights</w:t>
      </w:r>
    </w:p>
    <w:p>
      <w:pPr>
        <w:spacing w:after="0" w:line="121" w:lineRule="exact"/>
        <w:rPr>
          <w:sz w:val="20"/>
          <w:szCs w:val="20"/>
          <w:color w:val="auto"/>
        </w:rPr>
      </w:pPr>
    </w:p>
    <w:p>
      <w:pPr>
        <w:ind w:left="1020" w:right="100" w:hanging="503"/>
        <w:spacing w:after="0" w:line="266"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Patient enrollment and site activation continues to progress in the Phase 1b PIONEER trial evaluating pociredir in patients with SCD. Fulcrum has enrolled 10 patients in the 12 mg dose cohort, and plans to share data from the 12 mg dose cohort in mid-2025 and from the 20 mg dose cohort by the end of 2025.</w:t>
      </w:r>
    </w:p>
    <w:p>
      <w:pPr>
        <w:spacing w:after="0" w:line="67" w:lineRule="exact"/>
        <w:rPr>
          <w:rFonts w:ascii="Times New Roman" w:cs="Times New Roman" w:eastAsia="Times New Roman" w:hAnsi="Times New Roman"/>
          <w:sz w:val="18"/>
          <w:szCs w:val="18"/>
          <w:color w:val="auto"/>
        </w:rPr>
      </w:pPr>
    </w:p>
    <w:p>
      <w:pPr>
        <w:jc w:val="both"/>
        <w:ind w:left="1020" w:right="460" w:hanging="503"/>
        <w:spacing w:after="0" w:line="282"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Fulcrum continues to advance its program for the potential treatment of inherited aplastic anemias, such as Diamond-Blackfan anemia (DBA), Shwachman-Diamond syndrome, and Fanconi anemia, and plans to submit an IND for DBA during the fourth quarter of 2025.</w:t>
      </w:r>
    </w:p>
    <w:p>
      <w:pPr>
        <w:spacing w:after="0" w:line="53" w:lineRule="exact"/>
        <w:rPr>
          <w:rFonts w:ascii="Times New Roman" w:cs="Times New Roman" w:eastAsia="Times New Roman" w:hAnsi="Times New Roman"/>
          <w:sz w:val="18"/>
          <w:szCs w:val="18"/>
          <w:color w:val="auto"/>
        </w:rPr>
      </w:pPr>
    </w:p>
    <w:p>
      <w:pPr>
        <w:ind w:left="1020" w:right="20" w:hanging="503"/>
        <w:spacing w:after="0" w:line="261"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Consistent with our commitment to share full trial results with patients, study investigators, and the broader FSHD community, data from the Phase 3 REACH trial evaluating losmapimod in patients with Facioscapulohumeral Muscular Dystrophy will be presented on March 19th at the 2025 MDA Conference being held in Dallas, Texas. Fulcrum previously shared topline results in September 2024 and suspended the future development activities for this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593090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5" w:right="37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auto"/>
        </w:rPr>
        <w:t>Fourth Quarter and Full Year 2024 Financial Results</w:t>
      </w:r>
    </w:p>
    <w:p>
      <w:pPr>
        <w:spacing w:after="0" w:line="117" w:lineRule="exact"/>
        <w:rPr>
          <w:sz w:val="20"/>
          <w:szCs w:val="20"/>
          <w:color w:val="auto"/>
        </w:rPr>
      </w:pPr>
    </w:p>
    <w:p>
      <w:pPr>
        <w:jc w:val="both"/>
        <w:ind w:left="1020" w:right="360" w:hanging="503"/>
        <w:spacing w:after="0" w:line="268"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Cash Position: </w:t>
      </w:r>
      <w:r>
        <w:rPr>
          <w:rFonts w:ascii="Times New Roman" w:cs="Times New Roman" w:eastAsia="Times New Roman" w:hAnsi="Times New Roman"/>
          <w:sz w:val="18"/>
          <w:szCs w:val="18"/>
          <w:color w:val="auto"/>
        </w:rPr>
        <w:t>As of December 31, 2024, cash, cash equivalents, and marketable securities were $241.0 million, as compared to $236.2</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million as of December 31, 2023. The increase is due to the $80.0 million upfront payment received from Sanofi in the second quarter of 2024, partially offset by cash used to fund operating activities in 2024.</w:t>
      </w:r>
    </w:p>
    <w:p>
      <w:pPr>
        <w:spacing w:after="0" w:line="62" w:lineRule="exact"/>
        <w:rPr>
          <w:rFonts w:ascii="Times New Roman" w:cs="Times New Roman" w:eastAsia="Times New Roman" w:hAnsi="Times New Roman"/>
          <w:sz w:val="18"/>
          <w:szCs w:val="18"/>
          <w:color w:val="auto"/>
        </w:rPr>
      </w:pPr>
    </w:p>
    <w:p>
      <w:pPr>
        <w:ind w:left="1020" w:right="220" w:hanging="503"/>
        <w:spacing w:after="0" w:line="268"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Collaboration Revenue: </w:t>
      </w:r>
      <w:r>
        <w:rPr>
          <w:rFonts w:ascii="Times New Roman" w:cs="Times New Roman" w:eastAsia="Times New Roman" w:hAnsi="Times New Roman"/>
          <w:sz w:val="18"/>
          <w:szCs w:val="18"/>
          <w:color w:val="auto"/>
        </w:rPr>
        <w:t>There was no collaboration revenue for the three months ended December 31, 2024, as compared to $0.9 million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the three months ended December 31, 2023. The decrease of $0.9 million was due to the completion of research services under the collaboration agreement with MyoKardia during the fourth quarter of 2023.</w:t>
      </w:r>
    </w:p>
    <w:p>
      <w:pPr>
        <w:spacing w:after="0" w:line="66" w:lineRule="exact"/>
        <w:rPr>
          <w:rFonts w:ascii="Times New Roman" w:cs="Times New Roman" w:eastAsia="Times New Roman" w:hAnsi="Times New Roman"/>
          <w:sz w:val="18"/>
          <w:szCs w:val="18"/>
          <w:color w:val="auto"/>
        </w:rPr>
      </w:pPr>
    </w:p>
    <w:p>
      <w:pPr>
        <w:ind w:left="1020" w:right="22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Collaboration revenue was $80.0 million for the year ended December 31, 2024, as compared to $2.8 million for the year ended December 31, 2023. The increase of $77.2 million was primarily due to the recognition of the $80.0 million upfront license payment received from Sanofi during 2024.</w:t>
      </w:r>
    </w:p>
    <w:p>
      <w:pPr>
        <w:spacing w:after="0" w:line="63" w:lineRule="exact"/>
        <w:rPr>
          <w:rFonts w:ascii="Times New Roman" w:cs="Times New Roman" w:eastAsia="Times New Roman" w:hAnsi="Times New Roman"/>
          <w:sz w:val="18"/>
          <w:szCs w:val="18"/>
          <w:color w:val="auto"/>
        </w:rPr>
      </w:pPr>
    </w:p>
    <w:p>
      <w:pPr>
        <w:ind w:left="1020" w:right="180" w:hanging="503"/>
        <w:spacing w:after="0" w:line="262"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R&amp;D Expenses: </w:t>
      </w:r>
      <w:r>
        <w:rPr>
          <w:rFonts w:ascii="Times New Roman" w:cs="Times New Roman" w:eastAsia="Times New Roman" w:hAnsi="Times New Roman"/>
          <w:sz w:val="18"/>
          <w:szCs w:val="18"/>
          <w:color w:val="auto"/>
        </w:rPr>
        <w:t>Research and development expenses were $11.7 million for the three months ended December 31, 2024, as compared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$19.0 million for the three months ended December 31, 2023. The decrease of $7.3 million was primarily due to decreased costs associated with the discontinuation of our losmapimod program and the reimbursement from the global development cost sharing under the collaboration with Sanofi, partially offset by increased costs related to the advancement of the Phase 1b PIONEER trial of pociredir.</w:t>
      </w:r>
    </w:p>
    <w:p>
      <w:pPr>
        <w:spacing w:after="0" w:line="72" w:lineRule="exact"/>
        <w:rPr>
          <w:rFonts w:ascii="Times New Roman" w:cs="Times New Roman" w:eastAsia="Times New Roman" w:hAnsi="Times New Roman"/>
          <w:sz w:val="18"/>
          <w:szCs w:val="18"/>
          <w:color w:val="auto"/>
        </w:rPr>
      </w:pPr>
    </w:p>
    <w:p>
      <w:pPr>
        <w:ind w:left="1020" w:right="4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Research and development expenses were $63.4 million for the year ended December 31, 2024, as compared to $71.8 million for the year ended December 31, 2023. The decrease of $8.4 million was primarily due to the reimbursement from the global development cost sharing under the collaboration with Sanofi for losmapimod, partially offset by increased costs related to the advancement of the Phase 1b PIONEER trial of pociredir.</w:t>
      </w:r>
    </w:p>
    <w:p>
      <w:pPr>
        <w:spacing w:after="0" w:line="67" w:lineRule="exact"/>
        <w:rPr>
          <w:rFonts w:ascii="Times New Roman" w:cs="Times New Roman" w:eastAsia="Times New Roman" w:hAnsi="Times New Roman"/>
          <w:sz w:val="18"/>
          <w:szCs w:val="18"/>
          <w:color w:val="auto"/>
        </w:rPr>
      </w:pPr>
    </w:p>
    <w:p>
      <w:pPr>
        <w:ind w:left="1020" w:hanging="503"/>
        <w:spacing w:after="0" w:line="268"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G&amp;A Expenses: </w:t>
      </w:r>
      <w:r>
        <w:rPr>
          <w:rFonts w:ascii="Times New Roman" w:cs="Times New Roman" w:eastAsia="Times New Roman" w:hAnsi="Times New Roman"/>
          <w:sz w:val="18"/>
          <w:szCs w:val="18"/>
          <w:color w:val="auto"/>
        </w:rPr>
        <w:t>General and administrative expenses were $7.7 million for the three months ended December 31, 2024, as compared to $9.9</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million for three months ended December 31, 2023. The decrease of $2.2 million was primarily due to decreased employee compensation costs as a result of the reduction in workforce implemented in the third quarter of 2024.</w:t>
      </w:r>
    </w:p>
    <w:p>
      <w:pPr>
        <w:spacing w:after="0" w:line="66" w:lineRule="exact"/>
        <w:rPr>
          <w:rFonts w:ascii="Times New Roman" w:cs="Times New Roman" w:eastAsia="Times New Roman" w:hAnsi="Times New Roman"/>
          <w:sz w:val="18"/>
          <w:szCs w:val="18"/>
          <w:color w:val="auto"/>
        </w:rPr>
      </w:pPr>
    </w:p>
    <w:p>
      <w:pPr>
        <w:ind w:left="1020" w:right="28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and administrative expenses were $36.4 million for the year ended December 31, 2024, as compared to $41.7 million for the year ended December 31, 2023. The decrease of $5.3 million was primarily due to decreased employee compensation costs as a result of the reduction in workforce implemented in the third quarter of 2024.</w:t>
      </w:r>
    </w:p>
    <w:p>
      <w:pPr>
        <w:spacing w:after="0" w:line="63" w:lineRule="exact"/>
        <w:rPr>
          <w:rFonts w:ascii="Times New Roman" w:cs="Times New Roman" w:eastAsia="Times New Roman" w:hAnsi="Times New Roman"/>
          <w:sz w:val="18"/>
          <w:szCs w:val="18"/>
          <w:color w:val="auto"/>
        </w:rPr>
      </w:pPr>
    </w:p>
    <w:p>
      <w:pPr>
        <w:ind w:left="1020" w:right="100" w:hanging="503"/>
        <w:spacing w:after="0" w:line="268"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Restructuring Expenses: </w:t>
      </w:r>
      <w:r>
        <w:rPr>
          <w:rFonts w:ascii="Times New Roman" w:cs="Times New Roman" w:eastAsia="Times New Roman" w:hAnsi="Times New Roman"/>
          <w:sz w:val="18"/>
          <w:szCs w:val="18"/>
          <w:color w:val="auto"/>
        </w:rPr>
        <w:t>Restructuring expenses were $2.1 million for the year ended December 31, 2024, as compared to no restructuring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expense for year ended December 31, 2023. The increase of $2.1 million was due to the reduction in workforce implemented during 2024, primarily related to severance costs.</w:t>
      </w:r>
    </w:p>
    <w:p>
      <w:pPr>
        <w:spacing w:after="0" w:line="62" w:lineRule="exact"/>
        <w:rPr>
          <w:rFonts w:ascii="Times New Roman" w:cs="Times New Roman" w:eastAsia="Times New Roman" w:hAnsi="Times New Roman"/>
          <w:sz w:val="18"/>
          <w:szCs w:val="18"/>
          <w:color w:val="auto"/>
        </w:rPr>
      </w:pPr>
    </w:p>
    <w:p>
      <w:pPr>
        <w:ind w:left="1020" w:right="60" w:hanging="503"/>
        <w:spacing w:after="0" w:line="286"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Net Loss: </w:t>
      </w:r>
      <w:r>
        <w:rPr>
          <w:rFonts w:ascii="Times New Roman" w:cs="Times New Roman" w:eastAsia="Times New Roman" w:hAnsi="Times New Roman"/>
          <w:sz w:val="18"/>
          <w:szCs w:val="18"/>
          <w:color w:val="auto"/>
        </w:rPr>
        <w:t>Net loss was $16.6 million for the three months ended December 31, 2024, as compared to a net loss of $24.8 million for the three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months ended December 31, 2023.</w:t>
      </w:r>
    </w:p>
    <w:p>
      <w:pPr>
        <w:spacing w:after="0" w:line="50" w:lineRule="exact"/>
        <w:rPr>
          <w:rFonts w:ascii="Times New Roman" w:cs="Times New Roman" w:eastAsia="Times New Roman" w:hAnsi="Times New Roman"/>
          <w:sz w:val="18"/>
          <w:szCs w:val="18"/>
          <w:color w:val="auto"/>
        </w:rPr>
      </w:pPr>
    </w:p>
    <w:p>
      <w:pPr>
        <w:ind w:left="10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loss was $9.7 million for the year ended December 31, 2024, as compared to $97.3 million for the year ended December 31, 2023.</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Cash Runway Guidance</w:t>
      </w:r>
    </w:p>
    <w:p>
      <w:pPr>
        <w:spacing w:after="0" w:line="121"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Based on its current operating plans, Fulcrum continues to expect that its current cash, cash equivalents, and marketable securities will be sufficient to fund its operating requirements into at least 2027.</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Conference Call and Webcast</w:t>
      </w:r>
    </w:p>
    <w:p>
      <w:pPr>
        <w:spacing w:after="0" w:line="121"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 xml:space="preserve">Fulcrum Therapeutics, Inc. will host a conference call and webcast today at 8:00 a.m. ET to review the fourth quarter and full year 2024 financial results and recent business highlights. Individuals may register for the conference call by clicking the link </w:t>
      </w:r>
      <w:r>
        <w:rPr>
          <w:rFonts w:ascii="Times New Roman" w:cs="Times New Roman" w:eastAsia="Times New Roman" w:hAnsi="Times New Roman"/>
          <w:sz w:val="18"/>
          <w:szCs w:val="18"/>
          <w:u w:val="single" w:color="auto"/>
          <w:color w:val="0563C1"/>
        </w:rPr>
        <w:t>here</w:t>
      </w:r>
      <w:r>
        <w:rPr>
          <w:rFonts w:ascii="Times New Roman" w:cs="Times New Roman" w:eastAsia="Times New Roman" w:hAnsi="Times New Roman"/>
          <w:sz w:val="18"/>
          <w:szCs w:val="18"/>
          <w:color w:val="auto"/>
        </w:rPr>
        <w:t xml:space="preserve">. Once registered, participants will receive dial-in details and unique PIN which will allow them to access the call. An audio webcast will be accessible through the Investor Relations section of the company's website at </w:t>
      </w:r>
      <w:r>
        <w:rPr>
          <w:rFonts w:ascii="Times New Roman" w:cs="Times New Roman" w:eastAsia="Times New Roman" w:hAnsi="Times New Roman"/>
          <w:sz w:val="18"/>
          <w:szCs w:val="18"/>
          <w:u w:val="single" w:color="auto"/>
          <w:color w:val="0563C1"/>
        </w:rPr>
        <w:t>www.fulcrumtx.com</w:t>
      </w:r>
      <w:r>
        <w:rPr>
          <w:rFonts w:ascii="Times New Roman" w:cs="Times New Roman" w:eastAsia="Times New Roman" w:hAnsi="Times New Roman"/>
          <w:sz w:val="18"/>
          <w:szCs w:val="18"/>
          <w:color w:val="auto"/>
        </w:rPr>
        <w:t xml:space="preserve"> or by clicking </w:t>
      </w:r>
      <w:r>
        <w:rPr>
          <w:rFonts w:ascii="Times New Roman" w:cs="Times New Roman" w:eastAsia="Times New Roman" w:hAnsi="Times New Roman"/>
          <w:sz w:val="18"/>
          <w:szCs w:val="18"/>
          <w:u w:val="single" w:color="auto"/>
          <w:color w:val="0563C1"/>
        </w:rPr>
        <w:t>here</w:t>
      </w:r>
      <w:r>
        <w:rPr>
          <w:rFonts w:ascii="Times New Roman" w:cs="Times New Roman" w:eastAsia="Times New Roman" w:hAnsi="Times New Roman"/>
          <w:sz w:val="18"/>
          <w:szCs w:val="18"/>
          <w:color w:val="auto"/>
        </w:rPr>
        <w:t>. Following the live webcast, an archived replay will also be available.</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Fulcrum Therapeutics</w:t>
      </w:r>
    </w:p>
    <w:p>
      <w:pPr>
        <w:spacing w:after="0" w:line="31"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Fulcrum Therapeutics is a clinical-stage biopharmaceutical company focused on developing small molecules to improve the lives of patients with genetically defined rare diseases in areas of high unmet medical need. Fulcrum’s lead clinical development program is pociredir, a small molecule designed to increase expression of fetal hemoglobin for the treatment of SCD. Fulcrum uses proprietary technology to identify drug targets that can modulate gene expression to treat the known root cause of gene mis-expression. For more information, visit www.fulcrumtx.com and follow us on Twitter/X (@FulcrumTx) and LinkedIn.</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Pociredir</w:t>
      </w:r>
    </w:p>
    <w:p>
      <w:pPr>
        <w:spacing w:after="0" w:line="31" w:lineRule="exact"/>
        <w:rPr>
          <w:sz w:val="20"/>
          <w:szCs w:val="20"/>
          <w:color w:val="auto"/>
        </w:rPr>
      </w:pPr>
    </w:p>
    <w:p>
      <w:pPr>
        <w:ind w:right="100"/>
        <w:spacing w:after="0" w:line="260" w:lineRule="auto"/>
        <w:rPr>
          <w:sz w:val="20"/>
          <w:szCs w:val="20"/>
          <w:color w:val="auto"/>
        </w:rPr>
      </w:pPr>
      <w:r>
        <w:rPr>
          <w:rFonts w:ascii="Times New Roman" w:cs="Times New Roman" w:eastAsia="Times New Roman" w:hAnsi="Times New Roman"/>
          <w:sz w:val="18"/>
          <w:szCs w:val="18"/>
          <w:color w:val="auto"/>
        </w:rPr>
        <w:t>Pociredir is an investigational oral small-molecule inhibitor of Embryonic Ectoderm Development (EED) that was discovered using Fulcrum’s proprietary discovery technology. Inhibition of EED leads to potent downregulation of key fetal globin repressors,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457200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5" w:name="page6"/>
    <w:bookmarkEnd w:id="5"/>
    <w:p>
      <w:pPr>
        <w:spacing w:after="0" w:line="258" w:lineRule="auto"/>
        <w:rPr>
          <w:sz w:val="20"/>
          <w:szCs w:val="20"/>
          <w:color w:val="auto"/>
        </w:rPr>
      </w:pPr>
      <w:r>
        <w:rPr>
          <w:rFonts w:ascii="Times New Roman" w:cs="Times New Roman" w:eastAsia="Times New Roman" w:hAnsi="Times New Roman"/>
          <w:sz w:val="18"/>
          <w:szCs w:val="18"/>
          <w:color w:val="auto"/>
        </w:rPr>
        <w:t xml:space="preserve">including BCL11A, thereby causing an increase in fetal hemoglobin (HbF). Pociredir is being developed for the treatment of SCD. Initial data in SCD demonstrated proof-of-concept and achieved absolute levels of HbF increases associated with potential overall patient benefit. In clinical trials conducted prior to the clinical hold, which was lifted by the FDA in August 2023, pociredir was generally well-tolerated in people with SCD with up to three months of exposure, with no serious treatment-related adverse events reported. Pociredir has been granted FDA Fast Track designation and Orphan Drug Designation for the treatment of SCD. To learn more about these trials please visit </w:t>
      </w:r>
      <w:r>
        <w:rPr>
          <w:rFonts w:ascii="Times New Roman" w:cs="Times New Roman" w:eastAsia="Times New Roman" w:hAnsi="Times New Roman"/>
          <w:sz w:val="18"/>
          <w:szCs w:val="18"/>
          <w:u w:val="single" w:color="auto"/>
          <w:color w:val="0563C1"/>
        </w:rPr>
        <w:t>ClinicalTrials.gov</w:t>
      </w:r>
      <w:r>
        <w:rPr>
          <w:rFonts w:ascii="Times New Roman" w:cs="Times New Roman" w:eastAsia="Times New Roman" w:hAnsi="Times New Roman"/>
          <w:sz w:val="18"/>
          <w:szCs w:val="18"/>
          <w:color w:val="auto"/>
        </w:rPr>
        <w:t>.</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Sickle Cell Disease</w:t>
      </w:r>
    </w:p>
    <w:p>
      <w:pPr>
        <w:spacing w:after="0" w:line="31" w:lineRule="exact"/>
        <w:rPr>
          <w:sz w:val="20"/>
          <w:szCs w:val="20"/>
          <w:color w:val="auto"/>
        </w:rPr>
      </w:pPr>
    </w:p>
    <w:p>
      <w:pPr>
        <w:ind w:right="180"/>
        <w:spacing w:after="0" w:line="253" w:lineRule="auto"/>
        <w:rPr>
          <w:sz w:val="20"/>
          <w:szCs w:val="20"/>
          <w:color w:val="auto"/>
        </w:rPr>
      </w:pPr>
      <w:r>
        <w:rPr>
          <w:rFonts w:ascii="Times New Roman" w:cs="Times New Roman" w:eastAsia="Times New Roman" w:hAnsi="Times New Roman"/>
          <w:sz w:val="18"/>
          <w:szCs w:val="18"/>
          <w:color w:val="auto"/>
        </w:rPr>
        <w:t>Sickle cell disease (SCD) is a genetic disorder of the red blood cells caused by a mutation in the HBB gene. This gene encodes a protein that is a key component of hemoglobin, a protein complex whose function is to transport oxygen in the body. The result of the mutation is less efficient oxygen transport and the formation of red blood cells that have a sickle shape. These sickle shaped cells are much less flexible than healthy cells and can block blood vessels or rupture cells. People with SCD typically suffer from serious clinical consequences, which may include anemia, pain, infections, stroke, heart disease, pulmonary hypertension, kidney failure, liver disease, and reduced life expectancy.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460375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877" w:right="4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2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This press release contains “forward-looking statements” within the meaning of the Private Securities Litigation Reform Act of 1995 that involve substantial risks and uncertainties. All statements, other than statements of historical facts, contained in this press release are forward-looking statements, including express or implied statements regarding Fulcrum’s Phase 1b PIONEER clinical trial of pociredir, including enrollment progress, number of patients per cohort and planned data announcement for such trial; the potential of pociredir to increase HbF to levels that could ameliorate symptoms of SCD; Fulcrum’s ability to progress its early stage development programs and planned IND filings related thereto; and its projected cash runway, among others. The words “anticipate,” “believe,” “continue,” “could,” “estimate,” “expect,” “intend,” “may,” “plan,” “potential,” “predict,” “project,” “should,” “target,” “will,” “would” and similar expressions are intended to identify forward-looking statements, although not all forward-looking statements contain these identifying words. Any forward-looking statements are based on management’s current expectations of future events and are subject to a number of risks and uncertainties that could cause actual results to differ materially and adversely from those set forth in, or implied by, such forward-looking statements. These risks and uncertainties include, but are not limited to, risks associated with Fulcrum’s ability to continue to advance its product candidates in clinical trials; initiating and enrolling clinical trials on the timeline expected or at all; obtaining and maintaining necessary approvals from the FDA and other regulatory authorities; replicating in clinical trials positive results found in preclinical studies and/or earlier-stage clinical trials; obtaining, maintaining or protecting intellectual property rights related to its product candidates; managing expenses; realize the anticipated benefits of the workforce reduction and strategic realignment and managing risks associated therewith; and raising the substantial additional capital needed to achieve its business objectives, among others. For a discussion of other risks and uncertainties, and other important factors, any of which could cause Fulcrum’s actual results to differ from those contained in the forward-looking statements, see the “Risk Factors” section, as well as discussions of potential risks, uncertainties, and other important factors, in Fulcrum’s most recent filings with the Securities and Exchange Commission. In addition, the forward-looking statements included in this press release represent Fulcrum’s views as of the date hereof and should not be relied upon as representing Fulcrum’s views as of any date subsequent to the date hereof. Fulcrum anticipates that subsequent events and developments will cause Fulcrum’s views to change. However, while Fulcrum may elect to update these forward-looking statements at some point in the future, Fulcrum specifically disclaims any obligation to do 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5" w:right="379" w:bottom="1440" w:gutter="0" w:footer="0" w:header="0"/>
        </w:sectPr>
      </w:pPr>
    </w:p>
    <w:bookmarkStart w:id="7" w:name="page8"/>
    <w:bookmarkEnd w:id="7"/>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Fulcrum Therapeutics, Inc.</w:t>
      </w:r>
    </w:p>
    <w:p>
      <w:pPr>
        <w:spacing w:after="0" w:line="11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Selected Consolidated Balance Sheet Data</w:t>
      </w:r>
    </w:p>
    <w:p>
      <w:pPr>
        <w:spacing w:after="0" w:line="11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11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40" w:type="dxa"/>
            <w:vAlign w:val="bottom"/>
          </w:tcPr>
          <w:p>
            <w:pPr>
              <w:jc w:val="right"/>
              <w:ind w:right="276"/>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77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5"/>
                <w:szCs w:val="15"/>
                <w:color w:val="auto"/>
              </w:rPr>
            </w:pPr>
          </w:p>
        </w:tc>
      </w:tr>
      <w:tr>
        <w:trPr>
          <w:trHeight w:val="209"/>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cash equivalents, and marketable securities</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241,021</w:t>
            </w:r>
          </w:p>
        </w:tc>
        <w:tc>
          <w:tcPr>
            <w:tcW w:w="5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236,221</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
              <w:spacing w:after="0" w:line="216" w:lineRule="exact"/>
              <w:rPr>
                <w:sz w:val="20"/>
                <w:szCs w:val="20"/>
                <w:color w:val="auto"/>
              </w:rPr>
            </w:pPr>
            <w:r>
              <w:rPr>
                <w:rFonts w:ascii="Times New Roman" w:cs="Times New Roman" w:eastAsia="Times New Roman" w:hAnsi="Times New Roman"/>
                <w:sz w:val="18"/>
                <w:szCs w:val="18"/>
                <w:color w:val="auto"/>
              </w:rPr>
              <w:t>Working capital</w:t>
            </w:r>
            <w:r>
              <w:rPr>
                <w:rFonts w:ascii="Times New Roman" w:cs="Times New Roman" w:eastAsia="Times New Roman" w:hAnsi="Times New Roman"/>
                <w:sz w:val="24"/>
                <w:szCs w:val="24"/>
                <w:color w:val="auto"/>
                <w:vertAlign w:val="superscript"/>
              </w:rPr>
              <w:t>(1)</w:t>
            </w: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238,879</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228,524</w:t>
            </w: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260,718</w:t>
            </w: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257,694</w:t>
            </w:r>
          </w:p>
        </w:tc>
        <w:tc>
          <w:tcPr>
            <w:tcW w:w="100" w:type="dxa"/>
            <w:vAlign w:val="bottom"/>
            <w:shd w:val="clear" w:color="auto" w:fill="CFF0FC"/>
          </w:tcPr>
          <w:p>
            <w:pPr>
              <w:spacing w:after="0"/>
              <w:rPr>
                <w:sz w:val="18"/>
                <w:szCs w:val="18"/>
                <w:color w:val="auto"/>
              </w:rPr>
            </w:pPr>
          </w:p>
        </w:tc>
      </w:tr>
      <w:tr>
        <w:trPr>
          <w:trHeight w:val="234"/>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243,034</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235,193</w:t>
            </w:r>
          </w:p>
        </w:tc>
        <w:tc>
          <w:tcPr>
            <w:tcW w:w="100" w:type="dxa"/>
            <w:vAlign w:val="bottom"/>
          </w:tcPr>
          <w:p>
            <w:pPr>
              <w:spacing w:after="0"/>
              <w:rPr>
                <w:sz w:val="20"/>
                <w:szCs w:val="20"/>
                <w:color w:val="auto"/>
              </w:rPr>
            </w:pPr>
          </w:p>
        </w:tc>
      </w:tr>
      <w:tr>
        <w:trPr>
          <w:trHeight w:val="238"/>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(1)  Fulcrum defines working capital as current assets minus current liabilities.</w:t>
            </w:r>
          </w:p>
        </w:tc>
        <w:tc>
          <w:tcPr>
            <w:tcW w:w="2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1100"/>
        </w:trPr>
        <w:tc>
          <w:tcPr>
            <w:tcW w:w="77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8" w:name="page9"/>
    <w:bookmarkEnd w:id="8"/>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Fulcrum Therapeutics, Inc.</w:t>
      </w:r>
    </w:p>
    <w:p>
      <w:pPr>
        <w:spacing w:after="0" w:line="117"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117"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11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520" w:type="dxa"/>
            <w:vAlign w:val="bottom"/>
            <w:gridSpan w:val="5"/>
          </w:tcPr>
          <w:p>
            <w:pPr>
              <w:jc w:val="right"/>
              <w:ind w:right="8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60" w:type="dxa"/>
            <w:vAlign w:val="bottom"/>
          </w:tcPr>
          <w:p>
            <w:pPr>
              <w:spacing w:after="0"/>
              <w:rPr>
                <w:sz w:val="13"/>
                <w:szCs w:val="13"/>
                <w:color w:val="auto"/>
              </w:rPr>
            </w:pPr>
          </w:p>
        </w:tc>
        <w:tc>
          <w:tcPr>
            <w:tcW w:w="150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73"/>
        </w:trPr>
        <w:tc>
          <w:tcPr>
            <w:tcW w:w="58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78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7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42"/>
        </w:trPr>
        <w:tc>
          <w:tcPr>
            <w:tcW w:w="580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3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35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3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35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2"/>
                <w:szCs w:val="12"/>
                <w:color w:val="auto"/>
              </w:rPr>
            </w:pPr>
          </w:p>
        </w:tc>
      </w:tr>
      <w:tr>
        <w:trPr>
          <w:trHeight w:val="209"/>
        </w:trPr>
        <w:tc>
          <w:tcPr>
            <w:tcW w:w="5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Collaboration revenue</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871</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80,000</w:t>
            </w:r>
          </w:p>
        </w:tc>
        <w:tc>
          <w:tcPr>
            <w:tcW w:w="260" w:type="dxa"/>
            <w:vAlign w:val="bottom"/>
            <w:shd w:val="clear" w:color="auto" w:fill="CFF0FC"/>
          </w:tcPr>
          <w:p>
            <w:pPr>
              <w:spacing w:after="0"/>
              <w:rPr>
                <w:sz w:val="18"/>
                <w:szCs w:val="18"/>
                <w:color w:val="auto"/>
              </w:rPr>
            </w:pP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2,805</w:t>
            </w:r>
          </w:p>
        </w:tc>
        <w:tc>
          <w:tcPr>
            <w:tcW w:w="120" w:type="dxa"/>
            <w:vAlign w:val="bottom"/>
            <w:shd w:val="clear" w:color="auto" w:fill="CFF0FC"/>
          </w:tcPr>
          <w:p>
            <w:pPr>
              <w:spacing w:after="0"/>
              <w:rPr>
                <w:sz w:val="18"/>
                <w:szCs w:val="18"/>
                <w:color w:val="auto"/>
              </w:rPr>
            </w:pPr>
          </w:p>
        </w:tc>
      </w:tr>
      <w:tr>
        <w:trPr>
          <w:trHeight w:val="216"/>
        </w:trPr>
        <w:tc>
          <w:tcPr>
            <w:tcW w:w="5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8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11,713</w:t>
            </w:r>
          </w:p>
        </w:tc>
        <w:tc>
          <w:tcPr>
            <w:tcW w:w="2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18,999</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63,386</w:t>
            </w:r>
          </w:p>
        </w:tc>
        <w:tc>
          <w:tcPr>
            <w:tcW w:w="2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71,801</w:t>
            </w:r>
          </w:p>
        </w:tc>
        <w:tc>
          <w:tcPr>
            <w:tcW w:w="120" w:type="dxa"/>
            <w:vAlign w:val="bottom"/>
            <w:shd w:val="clear" w:color="auto" w:fill="CFF0FC"/>
          </w:tcPr>
          <w:p>
            <w:pPr>
              <w:spacing w:after="0"/>
              <w:rPr>
                <w:sz w:val="18"/>
                <w:szCs w:val="18"/>
                <w:color w:val="auto"/>
              </w:rPr>
            </w:pPr>
          </w:p>
        </w:tc>
      </w:tr>
      <w:tr>
        <w:trPr>
          <w:trHeight w:val="216"/>
        </w:trPr>
        <w:tc>
          <w:tcPr>
            <w:tcW w:w="58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7,716</w:t>
            </w: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9,864</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36,448</w:t>
            </w: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41,668</w:t>
            </w:r>
          </w:p>
        </w:tc>
        <w:tc>
          <w:tcPr>
            <w:tcW w:w="120" w:type="dxa"/>
            <w:vAlign w:val="bottom"/>
          </w:tcPr>
          <w:p>
            <w:pPr>
              <w:spacing w:after="0"/>
              <w:rPr>
                <w:sz w:val="18"/>
                <w:szCs w:val="18"/>
                <w:color w:val="auto"/>
              </w:rPr>
            </w:pPr>
          </w:p>
        </w:tc>
      </w:tr>
      <w:tr>
        <w:trPr>
          <w:trHeight w:val="216"/>
        </w:trPr>
        <w:tc>
          <w:tcPr>
            <w:tcW w:w="58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Restructuring expenses</w:t>
            </w:r>
          </w:p>
        </w:tc>
        <w:tc>
          <w:tcPr>
            <w:tcW w:w="26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2,063</w:t>
            </w:r>
          </w:p>
        </w:tc>
        <w:tc>
          <w:tcPr>
            <w:tcW w:w="2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580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6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19,429</w:t>
            </w:r>
          </w:p>
        </w:tc>
        <w:tc>
          <w:tcPr>
            <w:tcW w:w="240" w:type="dxa"/>
            <w:vAlign w:val="bottom"/>
            <w:tcBorders>
              <w:top w:val="single" w:sz="8" w:color="CFF0FC"/>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28,863</w:t>
            </w:r>
          </w:p>
        </w:tc>
        <w:tc>
          <w:tcPr>
            <w:tcW w:w="240" w:type="dxa"/>
            <w:vAlign w:val="bottom"/>
            <w:tcBorders>
              <w:top w:val="single" w:sz="8" w:color="CFF0FC"/>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101,897</w:t>
            </w:r>
          </w:p>
        </w:tc>
        <w:tc>
          <w:tcPr>
            <w:tcW w:w="260" w:type="dxa"/>
            <w:vAlign w:val="bottom"/>
            <w:tcBorders>
              <w:top w:val="single" w:sz="8" w:color="CFF0FC"/>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113,469</w:t>
            </w:r>
          </w:p>
        </w:tc>
        <w:tc>
          <w:tcPr>
            <w:tcW w:w="120" w:type="dxa"/>
            <w:vAlign w:val="bottom"/>
            <w:tcBorders>
              <w:top w:val="single" w:sz="8" w:color="CFF0FC"/>
            </w:tcBorders>
          </w:tcPr>
          <w:p>
            <w:pPr>
              <w:spacing w:after="0"/>
              <w:rPr>
                <w:sz w:val="18"/>
                <w:szCs w:val="18"/>
                <w:color w:val="auto"/>
              </w:rPr>
            </w:pPr>
          </w:p>
        </w:tc>
      </w:tr>
      <w:tr>
        <w:trPr>
          <w:trHeight w:val="210"/>
        </w:trPr>
        <w:tc>
          <w:tcPr>
            <w:tcW w:w="5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26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(19,429 )</w:t>
            </w:r>
          </w:p>
        </w:tc>
        <w:tc>
          <w:tcPr>
            <w:tcW w:w="38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(27,992 )</w:t>
            </w:r>
          </w:p>
        </w:tc>
        <w:tc>
          <w:tcPr>
            <w:tcW w:w="26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(21,897 )</w:t>
            </w:r>
          </w:p>
        </w:tc>
        <w:tc>
          <w:tcPr>
            <w:tcW w:w="36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(110,664 )</w:t>
            </w:r>
          </w:p>
        </w:tc>
      </w:tr>
      <w:tr>
        <w:trPr>
          <w:trHeight w:val="216"/>
        </w:trPr>
        <w:tc>
          <w:tcPr>
            <w:tcW w:w="5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2,861</w:t>
            </w:r>
          </w:p>
        </w:tc>
        <w:tc>
          <w:tcPr>
            <w:tcW w:w="24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3,236</w:t>
            </w:r>
          </w:p>
        </w:tc>
        <w:tc>
          <w:tcPr>
            <w:tcW w:w="2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12,172</w:t>
            </w:r>
          </w:p>
        </w:tc>
        <w:tc>
          <w:tcPr>
            <w:tcW w:w="26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13,329</w:t>
            </w:r>
          </w:p>
        </w:tc>
        <w:tc>
          <w:tcPr>
            <w:tcW w:w="120" w:type="dxa"/>
            <w:vAlign w:val="bottom"/>
          </w:tcPr>
          <w:p>
            <w:pPr>
              <w:spacing w:after="0"/>
              <w:rPr>
                <w:sz w:val="18"/>
                <w:szCs w:val="18"/>
                <w:color w:val="auto"/>
              </w:rPr>
            </w:pPr>
          </w:p>
        </w:tc>
      </w:tr>
      <w:tr>
        <w:trPr>
          <w:trHeight w:val="229"/>
        </w:trPr>
        <w:tc>
          <w:tcPr>
            <w:tcW w:w="5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(16,568 )</w:t>
            </w:r>
          </w:p>
        </w:tc>
        <w:tc>
          <w:tcPr>
            <w:tcW w:w="38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(24,756 )</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(9,725 )</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(97,335 )</w:t>
            </w:r>
          </w:p>
        </w:tc>
      </w:tr>
      <w:tr>
        <w:trPr>
          <w:trHeight w:val="20"/>
        </w:trPr>
        <w:tc>
          <w:tcPr>
            <w:tcW w:w="580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r>
      <w:tr>
        <w:trPr>
          <w:trHeight w:val="197"/>
        </w:trPr>
        <w:tc>
          <w:tcPr>
            <w:tcW w:w="580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Net loss per share, basic and diluted</w:t>
            </w:r>
          </w:p>
        </w:tc>
        <w:tc>
          <w:tcPr>
            <w:tcW w:w="260" w:type="dxa"/>
            <w:vAlign w:val="bottom"/>
          </w:tcPr>
          <w:p>
            <w:pPr>
              <w:jc w:val="right"/>
              <w:ind w:right="7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60"/>
              <w:spacing w:after="0" w:line="196" w:lineRule="exact"/>
              <w:rPr>
                <w:sz w:val="20"/>
                <w:szCs w:val="20"/>
                <w:color w:val="auto"/>
              </w:rPr>
            </w:pPr>
            <w:r>
              <w:rPr>
                <w:rFonts w:ascii="Times New Roman" w:cs="Times New Roman" w:eastAsia="Times New Roman" w:hAnsi="Times New Roman"/>
                <w:sz w:val="18"/>
                <w:szCs w:val="18"/>
                <w:color w:val="auto"/>
              </w:rPr>
              <w:t>(0.31 )</w:t>
            </w:r>
          </w:p>
        </w:tc>
        <w:tc>
          <w:tcPr>
            <w:tcW w:w="380" w:type="dxa"/>
            <w:vAlign w:val="bottom"/>
          </w:tcPr>
          <w:p>
            <w:pPr>
              <w:jc w:val="right"/>
              <w:ind w:right="17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60"/>
              <w:spacing w:after="0" w:line="196" w:lineRule="exact"/>
              <w:rPr>
                <w:sz w:val="20"/>
                <w:szCs w:val="20"/>
                <w:color w:val="auto"/>
              </w:rPr>
            </w:pPr>
            <w:r>
              <w:rPr>
                <w:rFonts w:ascii="Times New Roman" w:cs="Times New Roman" w:eastAsia="Times New Roman" w:hAnsi="Times New Roman"/>
                <w:sz w:val="18"/>
                <w:szCs w:val="18"/>
                <w:color w:val="auto"/>
              </w:rPr>
              <w:t>(0.40 )</w:t>
            </w:r>
          </w:p>
        </w:tc>
        <w:tc>
          <w:tcPr>
            <w:tcW w:w="260" w:type="dxa"/>
            <w:vAlign w:val="bottom"/>
          </w:tcPr>
          <w:p>
            <w:pPr>
              <w:jc w:val="right"/>
              <w:ind w:right="7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180"/>
              <w:spacing w:after="0" w:line="196" w:lineRule="exact"/>
              <w:rPr>
                <w:sz w:val="20"/>
                <w:szCs w:val="20"/>
                <w:color w:val="auto"/>
              </w:rPr>
            </w:pPr>
            <w:r>
              <w:rPr>
                <w:rFonts w:ascii="Times New Roman" w:cs="Times New Roman" w:eastAsia="Times New Roman" w:hAnsi="Times New Roman"/>
                <w:sz w:val="18"/>
                <w:szCs w:val="18"/>
                <w:color w:val="auto"/>
              </w:rPr>
              <w:t>(0.16 )</w:t>
            </w:r>
          </w:p>
        </w:tc>
        <w:tc>
          <w:tcPr>
            <w:tcW w:w="360" w:type="dxa"/>
            <w:vAlign w:val="bottom"/>
          </w:tcPr>
          <w:p>
            <w:pPr>
              <w:jc w:val="right"/>
              <w:ind w:right="17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(1.59 )</w:t>
            </w:r>
          </w:p>
        </w:tc>
      </w:tr>
      <w:tr>
        <w:trPr>
          <w:trHeight w:val="20"/>
        </w:trPr>
        <w:tc>
          <w:tcPr>
            <w:tcW w:w="58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37"/>
        </w:trPr>
        <w:tc>
          <w:tcPr>
            <w:tcW w:w="5800" w:type="dxa"/>
            <w:vAlign w:val="bottom"/>
            <w:tcBorders>
              <w:bottom w:val="single" w:sz="8" w:color="CFF0FC"/>
            </w:tcBorders>
            <w:shd w:val="clear" w:color="auto" w:fill="CFF0FC"/>
          </w:tcPr>
          <w:p>
            <w:pPr>
              <w:ind w:left="20"/>
              <w:spacing w:after="0" w:line="196" w:lineRule="exact"/>
              <w:rPr>
                <w:sz w:val="20"/>
                <w:szCs w:val="20"/>
                <w:color w:val="auto"/>
              </w:rPr>
            </w:pPr>
            <w:r>
              <w:rPr>
                <w:rFonts w:ascii="Times New Roman" w:cs="Times New Roman" w:eastAsia="Times New Roman" w:hAnsi="Times New Roman"/>
                <w:sz w:val="18"/>
                <w:szCs w:val="18"/>
                <w:color w:val="auto"/>
              </w:rPr>
              <w:t>Weighted-average common shares outstanding, basic and diluted</w:t>
            </w:r>
          </w:p>
        </w:tc>
        <w:tc>
          <w:tcPr>
            <w:tcW w:w="260" w:type="dxa"/>
            <w:vAlign w:val="bottom"/>
            <w:tcBorders>
              <w:bottom w:val="single" w:sz="8" w:color="auto"/>
            </w:tcBorders>
            <w:shd w:val="clear" w:color="auto" w:fill="CFF0FC"/>
          </w:tcPr>
          <w:p>
            <w:pPr>
              <w:spacing w:after="0"/>
              <w:rPr>
                <w:sz w:val="20"/>
                <w:szCs w:val="20"/>
                <w:color w:val="auto"/>
              </w:rPr>
            </w:pPr>
          </w:p>
        </w:tc>
        <w:tc>
          <w:tcPr>
            <w:tcW w:w="88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53,954</w:t>
            </w:r>
          </w:p>
        </w:tc>
        <w:tc>
          <w:tcPr>
            <w:tcW w:w="240" w:type="dxa"/>
            <w:vAlign w:val="bottom"/>
            <w:tcBorders>
              <w:bottom w:val="single" w:sz="8" w:color="CFF0FC"/>
            </w:tcBorders>
            <w:shd w:val="clear" w:color="auto" w:fill="CFF0FC"/>
          </w:tcPr>
          <w:p>
            <w:pPr>
              <w:spacing w:after="0"/>
              <w:rPr>
                <w:sz w:val="20"/>
                <w:szCs w:val="20"/>
                <w:color w:val="auto"/>
              </w:rPr>
            </w:pPr>
          </w:p>
        </w:tc>
        <w:tc>
          <w:tcPr>
            <w:tcW w:w="380" w:type="dxa"/>
            <w:vAlign w:val="bottom"/>
            <w:tcBorders>
              <w:bottom w:val="single" w:sz="8" w:color="auto"/>
            </w:tcBorders>
            <w:shd w:val="clear" w:color="auto" w:fill="CFF0FC"/>
          </w:tcPr>
          <w:p>
            <w:pPr>
              <w:spacing w:after="0"/>
              <w:rPr>
                <w:sz w:val="20"/>
                <w:szCs w:val="20"/>
                <w:color w:val="auto"/>
              </w:rPr>
            </w:pPr>
          </w:p>
        </w:tc>
        <w:tc>
          <w:tcPr>
            <w:tcW w:w="78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61,871</w:t>
            </w:r>
          </w:p>
        </w:tc>
        <w:tc>
          <w:tcPr>
            <w:tcW w:w="24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88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61,984</w:t>
            </w:r>
          </w:p>
        </w:tc>
        <w:tc>
          <w:tcPr>
            <w:tcW w:w="26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bottom w:val="single" w:sz="8" w:color="auto"/>
            </w:tcBorders>
            <w:shd w:val="clear" w:color="auto" w:fill="CFF0FC"/>
          </w:tcPr>
          <w:p>
            <w:pPr>
              <w:spacing w:after="0"/>
              <w:rPr>
                <w:sz w:val="20"/>
                <w:szCs w:val="20"/>
                <w:color w:val="auto"/>
              </w:rPr>
            </w:pPr>
          </w:p>
        </w:tc>
        <w:tc>
          <w:tcPr>
            <w:tcW w:w="78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61,310</w:t>
            </w:r>
          </w:p>
        </w:tc>
        <w:tc>
          <w:tcPr>
            <w:tcW w:w="12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4411345</wp:posOffset>
            </wp:positionH>
            <wp:positionV relativeFrom="paragraph">
              <wp:posOffset>-925195</wp:posOffset>
            </wp:positionV>
            <wp:extent cx="6858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-925195</wp:posOffset>
            </wp:positionV>
            <wp:extent cx="6858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-925195</wp:posOffset>
            </wp:positionV>
            <wp:extent cx="685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-925195</wp:posOffset>
            </wp:positionV>
            <wp:extent cx="7747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-350520</wp:posOffset>
            </wp:positionV>
            <wp:extent cx="6858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-333375</wp:posOffset>
            </wp:positionV>
            <wp:extent cx="685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-350520</wp:posOffset>
            </wp:positionV>
            <wp:extent cx="685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-333375</wp:posOffset>
            </wp:positionV>
            <wp:extent cx="685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-350520</wp:posOffset>
            </wp:positionV>
            <wp:extent cx="685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-333375</wp:posOffset>
            </wp:positionV>
            <wp:extent cx="685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-350520</wp:posOffset>
            </wp:positionV>
            <wp:extent cx="7747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-333375</wp:posOffset>
            </wp:positionV>
            <wp:extent cx="7747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-24765</wp:posOffset>
            </wp:positionV>
            <wp:extent cx="6858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-7620</wp:posOffset>
            </wp:positionV>
            <wp:extent cx="6858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-24765</wp:posOffset>
            </wp:positionV>
            <wp:extent cx="685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-7620</wp:posOffset>
            </wp:positionV>
            <wp:extent cx="685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-24765</wp:posOffset>
            </wp:positionV>
            <wp:extent cx="685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-7620</wp:posOffset>
            </wp:positionV>
            <wp:extent cx="685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Chris Calabrese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LifeSci Advisors,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ccalabrese@lifesciadvisors.com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917-680-5608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9" w:name="page10"/>
    <w:bookmarkEnd w:id="9"/>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1)"/>
      <w:numFmt w:val="lowerLetter"/>
      <w:start w:val="4"/>
    </w:lvl>
  </w:abstractNum>
  <w:abstractNum w:abstractNumId="2">
    <w:nsid w:val="625558EC"/>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2025-02-25T06:17:59Z</dcterms:created>
  <dcterms:modified xsi:type="dcterms:W3CDTF">2025-02-25T06:17:59Z</dcterms:modified>
</cp:coreProperties>
</file>