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December 10,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Fulcrum Therapeutics,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200" w:type="dxa"/>
        <w:tblCellMar>
          <w:top w:w="0" w:type="dxa"/>
          <w:left w:w="0" w:type="dxa"/>
          <w:bottom w:w="0" w:type="dxa"/>
          <w:right w:w="0" w:type="dxa"/>
        </w:tblCellMar>
      </w:tblPr>
      <w:tr>
        <w:trPr>
          <w:trHeight w:val="222"/>
        </w:trPr>
        <w:tc>
          <w:tcPr>
            <w:tcW w:w="294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8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001-38978</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47-4839948</w:t>
            </w:r>
          </w:p>
        </w:tc>
      </w:tr>
      <w:tr>
        <w:trPr>
          <w:trHeight w:val="149"/>
        </w:trPr>
        <w:tc>
          <w:tcPr>
            <w:tcW w:w="2940" w:type="dxa"/>
            <w:vAlign w:val="bottom"/>
          </w:tcPr>
          <w:p>
            <w:pPr>
              <w:jc w:val="center"/>
              <w:ind w:right="64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80" w:type="dxa"/>
            <w:vAlign w:val="bottom"/>
          </w:tcPr>
          <w:p>
            <w:pPr>
              <w:jc w:val="center"/>
              <w:ind w:right="22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2940" w:type="dxa"/>
            <w:vAlign w:val="bottom"/>
          </w:tcPr>
          <w:p>
            <w:pPr>
              <w:jc w:val="center"/>
              <w:ind w:right="64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8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294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rPr>
              <w:t>26 Landsdowne Street</w:t>
            </w:r>
          </w:p>
        </w:tc>
        <w:tc>
          <w:tcPr>
            <w:tcW w:w="328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294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rPr>
              <w:t>Cambridge, Massachusetts</w:t>
            </w:r>
          </w:p>
        </w:tc>
        <w:tc>
          <w:tcPr>
            <w:tcW w:w="328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02139</w:t>
            </w:r>
          </w:p>
        </w:tc>
      </w:tr>
      <w:tr>
        <w:trPr>
          <w:trHeight w:val="178"/>
        </w:trPr>
        <w:tc>
          <w:tcPr>
            <w:tcW w:w="2940" w:type="dxa"/>
            <w:vAlign w:val="bottom"/>
          </w:tcPr>
          <w:p>
            <w:pPr>
              <w:jc w:val="center"/>
              <w:ind w:right="62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8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651-8851</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248285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6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40" w:type="dxa"/>
            <w:vAlign w:val="bottom"/>
          </w:tcPr>
          <w:p>
            <w:pPr>
              <w:spacing w:after="0"/>
              <w:rPr>
                <w:sz w:val="20"/>
                <w:szCs w:val="20"/>
                <w:color w:val="auto"/>
              </w:rPr>
            </w:pPr>
          </w:p>
        </w:tc>
      </w:tr>
      <w:tr>
        <w:trPr>
          <w:trHeight w:val="356"/>
        </w:trPr>
        <w:tc>
          <w:tcPr>
            <w:tcW w:w="4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24"/>
                <w:szCs w:val="24"/>
                <w:color w:val="auto"/>
              </w:rPr>
            </w:pPr>
          </w:p>
        </w:tc>
        <w:tc>
          <w:tcPr>
            <w:tcW w:w="5040" w:type="dxa"/>
            <w:vAlign w:val="bottom"/>
          </w:tcPr>
          <w:p>
            <w:pPr>
              <w:spacing w:after="0"/>
              <w:rPr>
                <w:sz w:val="24"/>
                <w:szCs w:val="24"/>
                <w:color w:val="auto"/>
              </w:rPr>
            </w:pPr>
          </w:p>
        </w:tc>
      </w:tr>
      <w:tr>
        <w:trPr>
          <w:trHeight w:val="238"/>
        </w:trPr>
        <w:tc>
          <w:tcPr>
            <w:tcW w:w="464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4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par value $0.001 per share</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FULC</w:t>
            </w:r>
          </w:p>
        </w:tc>
        <w:tc>
          <w:tcPr>
            <w:tcW w:w="120" w:type="dxa"/>
            <w:vAlign w:val="bottom"/>
          </w:tcPr>
          <w:p>
            <w:pPr>
              <w:spacing w:after="0"/>
              <w:rPr>
                <w:sz w:val="19"/>
                <w:szCs w:val="19"/>
                <w:color w:val="auto"/>
              </w:rPr>
            </w:pPr>
          </w:p>
        </w:tc>
        <w:tc>
          <w:tcPr>
            <w:tcW w:w="5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ind w:left="79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 xml:space="preserve">Item 1.01 </w:t>
      </w:r>
      <w:r>
        <w:rPr>
          <w:rFonts w:ascii="Times New Roman" w:cs="Times New Roman" w:eastAsia="Times New Roman" w:hAnsi="Times New Roman"/>
          <w:sz w:val="18"/>
          <w:szCs w:val="18"/>
          <w:b w:val="1"/>
          <w:bCs w:val="1"/>
          <w:color w:val="212529"/>
        </w:rPr>
        <w:t>Entry into a Material Definitive Agreement.</w:t>
      </w:r>
    </w:p>
    <w:p>
      <w:pPr>
        <w:spacing w:after="0" w:line="12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On December 10, 2025, Fulcrum Therapeutics, Inc., or Fulcrum, entered into an underwriting agreement, or the Underwriting Agreement, with J.P. Morgan Securities LLC, Leerink Partners LLC, and Cantor Fitzgerald &amp; Co., as the representatives of the several underwriters, or the Underwriters, relating to an underwritten public offering of (a) 11,851,853 shares, or the Firm Shares, of its common stock, par value $0.001 per share, or the Common Stock, at a price to the public of $13.50 per Firm Share, and (b) pre-funded warrants to purchase up to 1,111,193 shares of Common Stock, or the Pre-Funded Warrants, and such shares issuable upon the exercise of the Pre-Funded Warrants, the Warrant Shares, at a price to the public of $13.499 per Pre-Funded Warrant, which represents the per share public offering price for the Firm Shares less the $0.001 per share exercise price for each such Pre-Funded Warrant, in each case less underwriting discounts and commissions. Under the terms of the Underwriting Agreement, Fulcrum granted the Underwriters an option, exercisable for 30 days, to purchase up to an additional 1,944,456 shares of its Common Stock at the same price per share as the Firm Shares, less underwriting discounts and commissions, or the Option Shares, and together with the Firm Shares, the Shares. All of the Shares and Pre-Funded Warrants are being sold by Fulcrum.</w:t>
      </w:r>
    </w:p>
    <w:p>
      <w:pPr>
        <w:spacing w:after="0" w:line="194"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Fulcrum estimates that the net proceeds from the offering will be approximately $164.1 million, or approximately $188.1 million if the Underwriters exercise in full their option to purchase the Option Shares, in each case after deducting underwriting discounts and commissions and estimated offering expenses.</w:t>
      </w:r>
    </w:p>
    <w:p>
      <w:pPr>
        <w:spacing w:after="0" w:line="17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Each Pre-Funded Warrant will be exercisable for one share of Common Stock at an exercise price of $0.001 per share, or alternatively, at the election of each holder, shares of Common Stock may be issued through a cashless exercise, with the net number of shares of Common Stock determined according to the formula set forth in each Pre-Funded Warrant. The Pre-Funded Warrants are exercisable at any time after the date of issuance. The Pre-Funded Warrants will be immediately exercisable and may be exercised at any time until all of the Pre-Funded Warrants are exercised. A holder (together with its Attribution Parties, as defined in the Pre-Funded Warrant) may not exercise any portion of the Pre-Funded Warrants if immediately after exercise, the holder (together with its Attribution Parties), would beneficially own in excess of 19.99% of the number of shares of Common Stock outstanding immediately after giving effect to the exercise, or the Ownership Limit. Purchasers of the Pre-Funded Warrants will elect to set the initial Ownership Limit at either 4.99% or 9.99% prior to the closing of the offering. Upon at least 61 days’ prior notice from the holder to Fulcrum, the holder may decrease or increase the Ownership Limit up to 19.99%.</w:t>
      </w:r>
    </w:p>
    <w:p>
      <w:pPr>
        <w:spacing w:after="0" w:line="18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addition, if the exercise of a Pre-Funded Warrant would result in a holder of Pre-Funded Warrants (together with its Attribution Parties) acquiring beneficial ownership equal to or in excess of the notification threshold applicable to such holder, or the HSR Threshold, under the Hart-Scott-Rodino Antitrust Improvements Act of 1976, as amended, or the HSR Act, as of the date of delivery of the applicable exercise notice, and no exemption to filing a notice and report form under the HSR Act is applicable, then only such portion of the Pre-Funded Warrants held by such holder, which when exercised does not exceed the HSR Threshold, shall be exercisable and the applicable exercise notice shall be deemed to relate only to such portion of the Pre-Funded Warrants, and the remaining portion of the Pre-Funded Warrants in excess of the HSR Threshold shall not be exercisable until the expiration or early termination of the applicable waiting period under the HSR Act or receipt of applicable approval. Fulcrum does not intend to list the Pre-Funded Warrants on The Nasdaq Global Market or any other national securities exchange or nationally recognized trading system.</w:t>
      </w:r>
    </w:p>
    <w:p>
      <w:pPr>
        <w:spacing w:after="0" w:line="19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Shares and Pre-Funded Warrants will be issued pursuant to a shelf registration statement on Form S-3 that was filed with the Securities and Exchange Commission, or the SEC, on February 27, 2024 and declared effective by the SEC on April 25, 2024 (File No. 333-277419). A final prospectus supplement relating to the offering was filed with the SEC on December 10, 2025. The closing of the offering is expected to take place on or about December 11, 2025, subject to the satisfaction of customary closing conditions.</w:t>
      </w:r>
    </w:p>
    <w:p>
      <w:pPr>
        <w:spacing w:after="0" w:line="18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Underwriting Agreement contains customary representations, warranties, covenants and agreements by Fulcrum, customary conditions to closing, indemnification obligations of Fulcrum and the Underwriters, including for liabilities under the Securities Act of 1933, as amended, other obligations of the parties and termination provisions. The representations, warranties and covenants contained in the Underwriting Agreement were made only for purposes of such agreement and as of specific dates, were solely for the benefit of the parties to such agreement, and may be subject to limitations agreed upon by the contracting parties. In addition, subject to certain exceptions, Fulcrum and its executive officers and directors have agreed not to offer, sell, transfer or otherwise dispose of any shares of common stock during the 60-day period, in the case of Fulcrum, and the 30-day period, in the case of its directors and executive officers, following the date of the Underwriting Agreement.</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 copy of the Underwriting Agreement is attached as Exhibit 1.1 hereto, the form of Pre-Funded Warrant is attached as Exhibit 4.1 hereto, and each is incorporated herein by reference. The foregoing description of the material terms of the Underwriting Agreement and the terms of the Pre-Funded Warrants do not purport to be complete and are qualified in their entirety by reference to such respective exhibit. A copy of the legal opinion and consent of Goodwin Procter LLP relating to the Shares, the Pre-Funded Warrant Shares, and the Pre-Funded Warrants is attached as Exhibit 5.1 hereto</w:t>
      </w:r>
      <w:r>
        <w:rPr>
          <w:rFonts w:ascii="Times New Roman" w:cs="Times New Roman" w:eastAsia="Times New Roman" w:hAnsi="Times New Roman"/>
          <w:sz w:val="18"/>
          <w:szCs w:val="18"/>
          <w:color w:val="212529"/>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455930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2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On December 10, 2025, Fulcrum announced the pricing of the offering. A copy of the press release announcing the pricing of the offering is attached as Exhibit 99.1 and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ind w:left="480" w:hanging="472"/>
        <w:spacing w:after="0"/>
        <w:tabs>
          <w:tab w:leader="none" w:pos="4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5" w:lineRule="exact"/>
        <w:rPr>
          <w:sz w:val="20"/>
          <w:szCs w:val="20"/>
          <w:color w:val="auto"/>
        </w:rPr>
      </w:pPr>
    </w:p>
    <w:p>
      <w:pPr>
        <w:ind w:left="680" w:hanging="674"/>
        <w:spacing w:after="0" w:line="261" w:lineRule="auto"/>
        <w:tabs>
          <w:tab w:leader="none" w:pos="66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u w:val="single" w:color="auto"/>
          <w:color w:val="0000FF"/>
        </w:rPr>
        <w:t>Underwriting Agreement, dated December 9, 2025, by and among Fulcrum Therapeutics, Inc.,J.P. Morgan Securities LLC, Leerink Partners LLC, Cantor Fitzgerald &amp; Co. as representatives of the several underwriters named in Schedule I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-161925</wp:posOffset>
            </wp:positionV>
            <wp:extent cx="66954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95440" cy="825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-24765</wp:posOffset>
            </wp:positionV>
            <wp:extent cx="45085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508500" cy="8255"/>
                    </a:xfrm>
                    <a:prstGeom prst="rect">
                      <a:avLst/>
                    </a:prstGeom>
                    <a:noFill/>
                  </pic:spPr>
                </pic:pic>
              </a:graphicData>
            </a:graphic>
          </wp:anchor>
        </w:drawing>
      </w: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7"/>
          <w:szCs w:val="17"/>
          <w:u w:val="single" w:color="auto"/>
          <w:color w:val="0000FF"/>
        </w:rPr>
        <w:t>Form of Pre-Funded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-19050</wp:posOffset>
            </wp:positionV>
            <wp:extent cx="133540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35405" cy="8255"/>
                    </a:xfrm>
                    <a:prstGeom prst="rect">
                      <a:avLst/>
                    </a:prstGeom>
                    <a:noFill/>
                  </pic:spPr>
                </pic:pic>
              </a:graphicData>
            </a:graphic>
          </wp:anchor>
        </w:drawing>
      </w: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8"/>
          <w:szCs w:val="18"/>
          <w:u w:val="single" w:color="auto"/>
          <w:color w:val="0000FF"/>
        </w:rPr>
        <w:t>Opinion of Goodwin Procter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-19050</wp:posOffset>
            </wp:positionV>
            <wp:extent cx="15424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42415" cy="8255"/>
                    </a:xfrm>
                    <a:prstGeom prst="rect">
                      <a:avLst/>
                    </a:prstGeom>
                    <a:noFill/>
                  </pic:spPr>
                </pic:pic>
              </a:graphicData>
            </a:graphic>
          </wp:anchor>
        </w:drawing>
      </w: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u w:val="single" w:color="auto"/>
          <w:color w:val="0000FF"/>
        </w:rPr>
        <w:t>Consent of Goodwin Procter LLP (contained in Exhibit 5.1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-19050</wp:posOffset>
            </wp:positionV>
            <wp:extent cx="304609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046095" cy="8890"/>
                    </a:xfrm>
                    <a:prstGeom prst="rect">
                      <a:avLst/>
                    </a:prstGeom>
                    <a:noFill/>
                  </pic:spPr>
                </pic:pic>
              </a:graphicData>
            </a:graphic>
          </wp:anchor>
        </w:drawing>
      </w: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Press release, dated December 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-19050</wp:posOffset>
            </wp:positionV>
            <wp:extent cx="17608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60855" cy="8255"/>
                    </a:xfrm>
                    <a:prstGeom prst="rect">
                      <a:avLst/>
                    </a:prstGeom>
                    <a:noFill/>
                  </pic:spPr>
                </pic:pic>
              </a:graphicData>
            </a:graphic>
          </wp:anchor>
        </w:drawing>
      </w: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FULCRUM THERAPEUTICS, INC.</w:t>
      </w:r>
    </w:p>
    <w:p>
      <w:pPr>
        <w:spacing w:after="0" w:line="374"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tab/>
        <w:t>December 10,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Alex C. Sapir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Alex C. Sapir</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Fulcrum Therapeutics,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11,851,853 Shares of Common Stock</w:t>
      </w:r>
    </w:p>
    <w:p>
      <w:pPr>
        <w:jc w:val="center"/>
        <w:spacing w:after="0"/>
        <w:rPr>
          <w:sz w:val="20"/>
          <w:szCs w:val="20"/>
          <w:color w:val="auto"/>
        </w:rPr>
      </w:pPr>
      <w:r>
        <w:rPr>
          <w:rFonts w:ascii="Times New Roman" w:cs="Times New Roman" w:eastAsia="Times New Roman" w:hAnsi="Times New Roman"/>
          <w:sz w:val="20"/>
          <w:szCs w:val="20"/>
          <w:b w:val="1"/>
          <w:bCs w:val="1"/>
          <w:color w:val="auto"/>
        </w:rPr>
        <w:t>Pre-Funded Warrants to Purchase up to 1,111,193 Shares of Common Stock</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Underwriting Agreement</w:t>
      </w:r>
    </w:p>
    <w:p>
      <w:pPr>
        <w:spacing w:after="0" w:line="220" w:lineRule="exact"/>
        <w:rPr>
          <w:sz w:val="20"/>
          <w:szCs w:val="20"/>
          <w:color w:val="auto"/>
        </w:rPr>
      </w:pPr>
    </w:p>
    <w:p>
      <w:pPr>
        <w:ind w:left="9680"/>
        <w:spacing w:after="0"/>
        <w:rPr>
          <w:sz w:val="20"/>
          <w:szCs w:val="20"/>
          <w:color w:val="auto"/>
        </w:rPr>
      </w:pPr>
      <w:r>
        <w:rPr>
          <w:rFonts w:ascii="Times New Roman" w:cs="Times New Roman" w:eastAsia="Times New Roman" w:hAnsi="Times New Roman"/>
          <w:sz w:val="19"/>
          <w:szCs w:val="19"/>
          <w:color w:val="auto"/>
        </w:rPr>
        <w:t>December 10, 2025</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J.P. Morgan Securities LLC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Leerink Partners LLC</w:t>
      </w:r>
    </w:p>
    <w:p>
      <w:pPr>
        <w:spacing w:after="0"/>
        <w:rPr>
          <w:sz w:val="20"/>
          <w:szCs w:val="20"/>
          <w:color w:val="auto"/>
        </w:rPr>
      </w:pPr>
      <w:r>
        <w:rPr>
          <w:rFonts w:ascii="Times New Roman" w:cs="Times New Roman" w:eastAsia="Times New Roman" w:hAnsi="Times New Roman"/>
          <w:sz w:val="20"/>
          <w:szCs w:val="20"/>
          <w:color w:val="auto"/>
        </w:rPr>
        <w:t>Cantor Fitzgerald &amp; Co.</w:t>
      </w:r>
    </w:p>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As representatives (the “Representatives”) of the several Underwriters named in Schedule I hereto,</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  J.P. Morgan Securities LLC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270 Park Avenue</w:t>
      </w:r>
    </w:p>
    <w:p>
      <w:pPr>
        <w:spacing w:after="0"/>
        <w:rPr>
          <w:sz w:val="20"/>
          <w:szCs w:val="20"/>
          <w:color w:val="auto"/>
        </w:rPr>
      </w:pPr>
      <w:r>
        <w:rPr>
          <w:rFonts w:ascii="Times New Roman" w:cs="Times New Roman" w:eastAsia="Times New Roman" w:hAnsi="Times New Roman"/>
          <w:sz w:val="20"/>
          <w:szCs w:val="20"/>
          <w:color w:val="auto"/>
        </w:rPr>
        <w:t>New York, New York 10017</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  Leerink Partners LLC</w:t>
      </w:r>
    </w:p>
    <w:p>
      <w:pPr>
        <w:spacing w:after="0" w:line="212" w:lineRule="auto"/>
        <w:rPr>
          <w:sz w:val="20"/>
          <w:szCs w:val="20"/>
          <w:color w:val="auto"/>
        </w:rPr>
      </w:pPr>
      <w:r>
        <w:rPr>
          <w:rFonts w:ascii="Times New Roman" w:cs="Times New Roman" w:eastAsia="Times New Roman" w:hAnsi="Times New Roman"/>
          <w:sz w:val="20"/>
          <w:szCs w:val="20"/>
          <w:color w:val="auto"/>
        </w:rPr>
        <w:t>53 State Street, 40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xml:space="preserve"> Floor</w:t>
      </w:r>
    </w:p>
    <w:p>
      <w:pPr>
        <w:spacing w:after="0"/>
        <w:rPr>
          <w:sz w:val="20"/>
          <w:szCs w:val="20"/>
          <w:color w:val="auto"/>
        </w:rPr>
      </w:pPr>
      <w:r>
        <w:rPr>
          <w:rFonts w:ascii="Times New Roman" w:cs="Times New Roman" w:eastAsia="Times New Roman" w:hAnsi="Times New Roman"/>
          <w:sz w:val="20"/>
          <w:szCs w:val="20"/>
          <w:color w:val="auto"/>
        </w:rPr>
        <w:t>Boston, Massachusetts 02109</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 Cantor Fitzgerald &amp; Co.</w:t>
      </w:r>
    </w:p>
    <w:p>
      <w:pPr>
        <w:spacing w:after="0" w:line="212" w:lineRule="auto"/>
        <w:rPr>
          <w:sz w:val="20"/>
          <w:szCs w:val="20"/>
          <w:color w:val="auto"/>
        </w:rPr>
      </w:pPr>
      <w:r>
        <w:rPr>
          <w:rFonts w:ascii="Times New Roman" w:cs="Times New Roman" w:eastAsia="Times New Roman" w:hAnsi="Times New Roman"/>
          <w:sz w:val="20"/>
          <w:szCs w:val="20"/>
          <w:color w:val="auto"/>
        </w:rPr>
        <w:t>110 East 59</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xml:space="preserve"> Street</w:t>
      </w:r>
    </w:p>
    <w:p>
      <w:pPr>
        <w:spacing w:after="0"/>
        <w:rPr>
          <w:sz w:val="20"/>
          <w:szCs w:val="20"/>
          <w:color w:val="auto"/>
        </w:rPr>
      </w:pPr>
      <w:r>
        <w:rPr>
          <w:rFonts w:ascii="Times New Roman" w:cs="Times New Roman" w:eastAsia="Times New Roman" w:hAnsi="Times New Roman"/>
          <w:sz w:val="20"/>
          <w:szCs w:val="20"/>
          <w:color w:val="auto"/>
        </w:rPr>
        <w:t>New York, New York 10022</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Ladies and Gentlemen: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Fulcrum Therapeutics, Inc., a Delaware corporation (the “Company”), proposes, subject to the terms and conditions stated in this agreement (this “Agreement”), to issue and sell to the Underwriters named in Schedule I hereto (the “Underwriters”) (i) an aggregate of 11,851,853 shares of common stock, par value $0.001 per share (“Common Stock”), of the Company (the “Firm Shares”) and (ii) pre-funded warrants of the Company to purchase up to an aggregate of 1,111,193 shares of Common Stock (the “Pre-Funded Warrants”) in the form attached as Annex I hereto. The Firm Shares and the Pre-Funded Warrants to be sold by the Company are collectively referred to as the “Firm Securities.” In addition, the Company has granted the Underwriters an option to purchase, at the election of the Underwriters, up to 1,944,456 additional shares (the “Optional Shares”) of Common Stock (the Firm Shares and the Optional Shares that the Underwriters elect to purchase pursuant to Section 2 hereof being collectively called the “Shares”). As used herein, “Warrant Shares” means the shares of Common Stock issuable upon exercise of the Pre-Funded Warrants. The Firm Securities, the Warrant Shares and, if and to the extent such option is exercised, the Optional Shares are collectively called the “Offered Securities.”</w:t>
      </w:r>
    </w:p>
    <w:p>
      <w:pPr>
        <w:spacing w:after="0" w:line="192" w:lineRule="exact"/>
        <w:rPr>
          <w:sz w:val="20"/>
          <w:szCs w:val="20"/>
          <w:color w:val="auto"/>
        </w:rPr>
      </w:pPr>
    </w:p>
    <w:p>
      <w:pPr>
        <w:ind w:left="520" w:hanging="512"/>
        <w:spacing w:after="0"/>
        <w:tabs>
          <w:tab w:leader="none" w:pos="5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represents and warrants to, and agrees with, each of the Underwriters that:</w:t>
      </w:r>
    </w:p>
    <w:p>
      <w:pPr>
        <w:spacing w:after="0" w:line="215" w:lineRule="exact"/>
        <w:rPr>
          <w:rFonts w:ascii="Times New Roman" w:cs="Times New Roman" w:eastAsia="Times New Roman" w:hAnsi="Times New Roman"/>
          <w:sz w:val="20"/>
          <w:szCs w:val="20"/>
          <w:color w:val="auto"/>
        </w:rPr>
      </w:pPr>
    </w:p>
    <w:p>
      <w:pPr>
        <w:jc w:val="both"/>
        <w:ind w:firstLine="757"/>
        <w:spacing w:after="0" w:line="254" w:lineRule="auto"/>
        <w:tabs>
          <w:tab w:leader="none" w:pos="1018"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registration statement on Form S-3 (File No. 333-277419) (the “Initial Registration Statement”) in respect of the Offered Securities has been filed with the Securities and Exchange Commission (the “Commission”); the Initial Registration Statement and any post-effective amendment thereto, each in the form heretofore delivered to you, has been declared effective by the Commission in</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ACTIVE/203773610.2 135513-450581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556260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 w:name="page6"/>
    <w:bookmarkEnd w:id="5"/>
    <w:p>
      <w:pPr>
        <w:spacing w:after="0" w:line="8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such form; other than a registration statement, if any, increasing the size of the offering (a “Rule 462(b) Registration Statement”), filed pursuant to Rule 462(b) under the Securities Act of 1933, as amended (the “Act”), which became effective upon filing, no other document with respect to the Initial Registration Statement or document incorporated by reference therein has been filed, or transmitted for filing, with the Commission (other than prospectuses filed pursuant to Rule 424(b) of the rules and regulations of the Commission under the Act, each in the form heretofore delivered to the Representatives); and no stop order suspending the effectiveness of the Initial Registration Statement, any post-effective amendment thereto or any part thereof or the Rule 462(b) Registration Statement, if any, has been issued and no proceeding for that purpose or pursuant to Section 8A of the Act has been initiated or threatened by the Commission (the base prospectus filed as part of the Initial Registration Statement, in the form in which it has most recently been filed with the Commission on or prior to the date of this Agreement relating to the Offered Securities, is hereinafter called the “Basic Prospectus”; any preliminary prospectus (including any preliminary prospectus supplement) relating to the Offered Securities filed with the Commission pursuant to Rule 424(b) under the Act is hereinafter called a “Preliminary Prospectus”; the various parts of the Initial Registration Statement and the Rule 462(b) Registration Statement, if any, including all exhibits thereto but excluding Form T-1 and including any prospectus supplement relating to the Offered Securities that is filed with the Commission and deemed by virtue of Rule 430B under the Act to be part of the Initial Registration Statement, each as amended at the time such part of the Initial Registration Statement became effective or such part of the Rule 462(b) Registration Statement, if any, became or hereafter becomes effective, are hereinafter collectively called the “Registration Statement”; the Basic Prospectus, as amended and supplemented immediately prior to the Applicable Time (as defined in Section 1(c) hereof), is hereinafter called the “Pricing Prospectus”; the form of the final prospectus relating to the Offered Securities filed with the Commission pursuant to Rule 424(b) under the Act in accordance with Section 5(a) hereof is hereinafter called the “Prospectus”; any reference herein to the Basic Prospectus, the Pricing Prospectus, any Preliminary Prospectus or the Prospectus shall be deemed to refer to and include the documents incorporated by reference therein pursuant to Item 12 of Form S-3, as of the date of such prospectus; any reference to any amendment or supplement to the Basic Prospectus, any Preliminary Prospectus or the Prospectus shall be deemed to refer to and include any post-effective amendment to the Registration Statement, any prospectus supplement relating to the Offered Securities filed with the Commission pursuant to Rule 424(b) under the Act and any documents filed under the Securities Exchange Act of 1934, as amended (the “Exchange Act”), and incorporated therein, in each case after the date of the Basic Prospectus, such Preliminary Prospectus, or the Prospectus, as the case may be; any reference to any amendment to the Registration Statement shall be deemed to refer to and include any annual report of the Company filed pursuant to Section 13(a) or 15(d) of the Exchange Act after the effective date of the Registration Statement that is incorporated by reference in the Registration Statement; any oral or written communication with potential investors undertaken in reliance on Section 5(d) of the Act or Rule 163B under the Act is hereinafter called a “Testing-the-Waters Communication”; and any Testing-the-Waters Communication that is a written communication within the meaning of Rule 405 under the Act is hereinafter called a “Written Testing-the-Waters Communication”; and any “issuer free writing prospectus” as defined in Rule 433 under the Act relating to the Offered Securities is hereinafter called an “Issuer Free Writing Prospectus”);</w:t>
      </w:r>
    </w:p>
    <w:p>
      <w:pPr>
        <w:spacing w:after="0" w:line="201" w:lineRule="exact"/>
        <w:rPr>
          <w:sz w:val="20"/>
          <w:szCs w:val="20"/>
          <w:color w:val="auto"/>
        </w:rPr>
      </w:pPr>
    </w:p>
    <w:p>
      <w:pPr>
        <w:jc w:val="both"/>
        <w:ind w:firstLine="757"/>
        <w:spacing w:after="0" w:line="245" w:lineRule="auto"/>
        <w:tabs>
          <w:tab w:leader="none" w:pos="101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No order preventing or suspending the use of any Preliminary Prospectus or any Issuer Free Writing Prospectus has been issued by the Commission, and (B) each Preliminary Prospectus, at the time of filing thereof, conformed in all material respects to the requirements of the Act and the rules and regulations of the Commission thereunder, and did not contain an untrue statement of a material fact or omit to state a material fact required to be stated therein or necessary to make the statements therein, in the light of the circumstances under which they were made, not misleading; provided, however, that this representation and warranty shall not apply to any statements or omissions made in reliance upon and in conformity with the Underwriter Information (as defined below);</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750570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81" w:lineRule="exact"/>
        <w:rPr>
          <w:sz w:val="20"/>
          <w:szCs w:val="20"/>
          <w:color w:val="auto"/>
        </w:rPr>
      </w:pPr>
    </w:p>
    <w:p>
      <w:pPr>
        <w:jc w:val="both"/>
        <w:ind w:firstLine="757"/>
        <w:spacing w:after="0" w:line="242" w:lineRule="auto"/>
        <w:tabs>
          <w:tab w:leader="none" w:pos="1018"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purposes of this Agreement, the “Applicable Time” is 6:30 a.m. (Eastern time) on the date of this Agreement. The Pricing Prospectus, as supplemented by the information listed on Schedule II(c) hereto, taken together (collectively, the “Pricing Disclosure Package”), as of the Applicable Time, did not, and as of each Time of Delivery (as defined in Section 4(a) of this Agreement) will not, include any untrue statement of a material fact or omit to state any material fact necessary in order to make the statements therein, in the light of the circumstances under which they were made, not misleading; and each Issuer Free Writing Prospectus and each Written Testing-the-Waters Communication does not conflict with the information contained in the Registration Statement, the Pricing Prospectus or the Prospectus and each Issuer Free Writing Prospectus and each Written Testing-the-Waters Communication, as supplemented by and taken together with the Pricing Disclosure Package, as of the Applicable Time, did not, and as of each Time of Delivery will not, include any untrue statement of a material fact or omit to state any material fact necessary in order to make the statements therein, in the light of the circumstances under which they were made, not misleading; provided, however, that this representation and warranty shall not apply to statements or omissions made in reliance upon and in conformity with the Underwriter Information;</w:t>
      </w:r>
    </w:p>
    <w:p>
      <w:pPr>
        <w:spacing w:after="0" w:line="189" w:lineRule="exact"/>
        <w:rPr>
          <w:rFonts w:ascii="Times New Roman" w:cs="Times New Roman" w:eastAsia="Times New Roman" w:hAnsi="Times New Roman"/>
          <w:sz w:val="20"/>
          <w:szCs w:val="20"/>
          <w:color w:val="auto"/>
        </w:rPr>
      </w:pPr>
    </w:p>
    <w:p>
      <w:pPr>
        <w:jc w:val="both"/>
        <w:ind w:firstLine="757"/>
        <w:spacing w:after="0" w:line="241" w:lineRule="auto"/>
        <w:tabs>
          <w:tab w:leader="none" w:pos="1018"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documents incorporated by reference in the Pricing Prospectus and the Prospectus, when they became effective or were filed with the Commission, as the case may be, conformed in all material respects to the requirements of the Act or the Exchange Act, as applicable, and the rules and regulations of the Commission thereunder, and none of such documents contained an untrue statement of a material fact or omitted to state a material fact required to be stated therein or necessary to make the statements therein, in the light of the circumstances under which they were made, not misleading; and any further documents so filed and incorporated by reference in the Pricing Prospectus and the Prospectus or any further amendment or supplement thereto, when such documents become effective or are filed with the Commission, as the case may be, will conform in all material respects to the requirements of the Act or the Exchange Act, as applicable, and the rules and regulations of the Commission thereunder and will not contain an untrue statement of a material fact or omit to state a material fact required to be stated therein or necessary to make the statements therein, in the light of the circumstances under which they were made, not misleading; provided, however, that this representation and warranty shall not apply to any statements or omissions made in reliance upon and in conformity with the Underwriter Information; and no such documents were filed by the Company with the Commission since the Commission’s close of business on the business day immediately prior to the date of this Agreement and prior to the execution of this Agreement, except as set forth on Schedule II(b) hereto;</w:t>
      </w:r>
    </w:p>
    <w:p>
      <w:pPr>
        <w:spacing w:after="0" w:line="197" w:lineRule="exact"/>
        <w:rPr>
          <w:rFonts w:ascii="Times New Roman" w:cs="Times New Roman" w:eastAsia="Times New Roman" w:hAnsi="Times New Roman"/>
          <w:sz w:val="20"/>
          <w:szCs w:val="20"/>
          <w:color w:val="auto"/>
        </w:rPr>
      </w:pPr>
    </w:p>
    <w:p>
      <w:pPr>
        <w:jc w:val="both"/>
        <w:ind w:firstLine="757"/>
        <w:spacing w:after="0" w:line="244" w:lineRule="auto"/>
        <w:tabs>
          <w:tab w:leader="none" w:pos="1018"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Registration Statement conforms, and the Prospectus and any further amendments or supplements to the Registration Statement and the Prospectus, on the date when such prospectus is filed, will conform, in all material respects to the requirements of the Act and the rules and regulations of the Commission thereunder and do not and will not, as of the applicable effective date as to each part of the Registration Statement, as of the applicable filing date as to the Prospectus and any amendment or supplement thereto, and as of each Time of Delivery, contain an untrue statement of a material fact or omit to state a material fact required to be stated therein or necessary to make the statements therein not misleading; provided, however, that this representation and warranty shall not apply to any statements or omissions made in reliance upon and in conformity with the Underwriter Information;</w:t>
      </w:r>
    </w:p>
    <w:p>
      <w:pPr>
        <w:spacing w:after="0" w:line="185" w:lineRule="exact"/>
        <w:rPr>
          <w:rFonts w:ascii="Times New Roman" w:cs="Times New Roman" w:eastAsia="Times New Roman" w:hAnsi="Times New Roman"/>
          <w:sz w:val="20"/>
          <w:szCs w:val="20"/>
          <w:color w:val="auto"/>
        </w:rPr>
      </w:pPr>
    </w:p>
    <w:p>
      <w:pPr>
        <w:jc w:val="both"/>
        <w:ind w:firstLine="757"/>
        <w:spacing w:after="0" w:line="260" w:lineRule="auto"/>
        <w:tabs>
          <w:tab w:leader="none" w:pos="1018"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Neither the Company nor its subsidiary has, since the date of the latest audited financial statements included or incorporated by reference in the Pricing Prospectus, (i) sustained any material loss or material interference with its business from fire, explosion, flood or other calamity, whether or not covered by insurance, or from any labor dispute or court or governmental action, order or decree or (ii) entered into any transaction or agreement (whether or not in the ordinary course of business) that is material to the Company and its subsidiary taken as a whole or incurred any liability or obligation, direct or contingent, that is material to the Company and its subsidiary taken as a whole, in each case otherwise than as set forth or contemplated in the Pricing Prospectus; and, since the respective dates as of which</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750570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8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information is given in the Registration Statement and the Pricing Prospectus, there has not been (x) any change in the capital stock (other than as a result of (i) the exercise, if any, of stock options or the award, if any, of stock options or restricted stock in the ordinary course of business pursuant to the Company’s equity plans that are described in the Pricing Prospectus and the Prospectus or (ii) the issuance, if any, of stock upon conversion of Company securities as described in the Pricing Prospectus and the Prospectus) or long term debt of the Company or its subsidiary or (y) any Material Adverse Effect (as defined below); as used in this Agreement, “Material Adverse Effect” shall mean any material adverse change or effect, or any development involving a prospective material adverse change or effect, in or affecting (i) the business, properties, general affairs, management, financial position, prospects, stockholders’ equity or results of operations of the Company and its subsidiary, taken as a whole, except as set forth or contemplated in the Pricing Prospectus, or (ii) the ability of the Company to perform its obligations under this Agreement and the Pre-Funded Warrants, including the issuance and sale of the Offered Securities, or to consummate the transactions contemplated in the Pricing Prospectus and the Prospectus;</w:t>
      </w:r>
    </w:p>
    <w:p>
      <w:pPr>
        <w:spacing w:after="0" w:line="192" w:lineRule="exact"/>
        <w:rPr>
          <w:sz w:val="20"/>
          <w:szCs w:val="20"/>
          <w:color w:val="auto"/>
        </w:rPr>
      </w:pPr>
    </w:p>
    <w:p>
      <w:pPr>
        <w:jc w:val="both"/>
        <w:ind w:firstLine="757"/>
        <w:spacing w:after="0" w:line="245" w:lineRule="auto"/>
        <w:tabs>
          <w:tab w:leader="none" w:pos="1018"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and its subsidiary do not own any real property and have good and marketable title to all personal property owned by them, in each case free and clear of all liens, encumbrances and defects except such as are described in the Pricing Prospectus and the Prospectus or such as do not materially affect the value of such property and do not materially interfere with the use made and proposed to be made of such property by the Company and its subsidiary; and any real property and buildings held under lease by the Company and its subsidiary are held by them under valid, subsisting and enforceable leases with such exceptions as are not material and do not materially interfere with the use made and proposed to be made of such property and buildings by the Company and its subsidiary;</w:t>
      </w:r>
    </w:p>
    <w:p>
      <w:pPr>
        <w:spacing w:after="0" w:line="184" w:lineRule="exact"/>
        <w:rPr>
          <w:rFonts w:ascii="Times New Roman" w:cs="Times New Roman" w:eastAsia="Times New Roman" w:hAnsi="Times New Roman"/>
          <w:sz w:val="20"/>
          <w:szCs w:val="20"/>
          <w:color w:val="auto"/>
        </w:rPr>
      </w:pPr>
    </w:p>
    <w:p>
      <w:pPr>
        <w:jc w:val="both"/>
        <w:ind w:firstLine="757"/>
        <w:spacing w:after="0" w:line="244" w:lineRule="auto"/>
        <w:tabs>
          <w:tab w:leader="none" w:pos="1018"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Company and subsidiary has been (i) duly organized and is validly existing as a corporation and in good standing under the laws of its jurisdiction of organization, with corporate power and authority to own and/or lease its properties and conduct its business as described in the Pricing Prospectus, and (ii) duly qualified as a foreign corporation or other form of entity for the transaction of business and is in good standing under the laws of each other jurisdiction in which it owns or leases properties or conducts any business so as to require such qualification, except, in the case of this clause (ii), where the failure to be so qualified or in good standing would not, individually or in the aggregate, reasonably be expected to have a Material Adverse Effect; and each subsidiary of the Company has been listed in Exhibit 21.1 to the Annual Report on Form 10-K filed by the Company with the Commission on February 25, 2025;</w:t>
      </w:r>
    </w:p>
    <w:p>
      <w:pPr>
        <w:spacing w:after="0" w:line="185" w:lineRule="exact"/>
        <w:rPr>
          <w:rFonts w:ascii="Times New Roman" w:cs="Times New Roman" w:eastAsia="Times New Roman" w:hAnsi="Times New Roman"/>
          <w:sz w:val="20"/>
          <w:szCs w:val="20"/>
          <w:color w:val="auto"/>
        </w:rPr>
      </w:pPr>
    </w:p>
    <w:p>
      <w:pPr>
        <w:jc w:val="both"/>
        <w:ind w:firstLine="757"/>
        <w:spacing w:after="0" w:line="241" w:lineRule="auto"/>
        <w:tabs>
          <w:tab w:leader="none" w:pos="1018"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has an authorized capitalization as set forth in the Pricing Prospectus and all of the issued shares of capital stock of the Company have been duly and validly authorized and issued and are fully paid and non-assessable and conform to the description of the Common Stock contained in the Pricing Disclosure Package and the Prospectus; and all of the issued shares of capital stock of the Company’s subsidiary have been duly and validly authorized and issued, are fully paid and non-assessable and are owned directly by the Company, free and clear of all liens, encumbrances, equities or claims; and the Shares to be issued and sold by the Company to the Underwriters hereunder have been duly and validly authorized and, when issued and delivered against payment therefor as provided herein, will be duly and validly issued and fully paid and non-assessable and will conform to the description of the Common Stock contained in the Pricing Disclosure Package and the Prospectus; and the issuance of the Shares is not subject to any preemptive or similar rights, except as have been validly waived or complied with in connection with the offering of the Shares. The Pre-Funded Warrants have been duly authorized by the Company and, when executed and delivered by the Company, will be valid and binding agreements of the Company, enforceable against the Company in accordance with their terms, except as the enforcement thereof may be limited by bankruptcy, insolvency, reorganization, moratorium or other similar laws relating to or affecting the rights and remedies of creditors or by general equitable principles. The Warrant Shares have been duly authorized and validly reserved for issuance upon exercise of the Pre-Funded Warrants in a number</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750570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8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sufficient to meet the current exercise requirements. The Warrant Shares, when issued and delivered upon exercise of the Pre-Funded Warrants in accordance therewith, will conform to the description thereof contained in the Pricing Disclosure Package and the Prospectus, and will be validly issued, fully paid and nonassessable, and the issuance of the Warrant Shares, is not subject to any preemptive or other similar rights to subscribe for or purchase the Warrant Shares;</w:t>
      </w:r>
    </w:p>
    <w:p>
      <w:pPr>
        <w:spacing w:after="0" w:line="180" w:lineRule="exact"/>
        <w:rPr>
          <w:sz w:val="20"/>
          <w:szCs w:val="20"/>
          <w:color w:val="auto"/>
        </w:rPr>
      </w:pPr>
    </w:p>
    <w:p>
      <w:pPr>
        <w:jc w:val="both"/>
        <w:ind w:firstLine="757"/>
        <w:spacing w:after="0" w:line="241" w:lineRule="auto"/>
        <w:tabs>
          <w:tab w:leader="none" w:pos="1018"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issue and sale of the Offered Securities and the compliance by the Company with this Agreement and the consummation of the transactions contemplated in this Agreement, the Pre-Funded Warrants and the Pricing Prospectus and the Prospectus will not conflict with or result in a breach or violation of any of the terms or provisions of, or constitute a default under, (A) any indenture, mortgage, deed of trust, loan agreement, lease or other agreement or instrument to which the Company or its subsidiary is a party or by which the Company or its subsidiary is bound or to which any of the property or assets of the Company or its subsidiary is subject, (B) the certificate of incorporation or by-laws (or other applicable organizational document) of the Company or its subsidiary, or (C) any statute or any judgment, order, rule or regulation of any court or governmental agency or body having jurisdiction over the Company or its subsidiary or any of their properties, except in the case of clauses (A) and (C), for such defaults, breaches or violations that would not, individually or in the aggregate, reasonably be expected to have a Material Adverse Effect; and no consent, approval, authorization, order, registration or qualification of or with any such court or governmental agency or body is required for the issue and sale of the Offered Securities or the consummation by the Company of the transactions contemplated by this Agreement and Pre-Funded Warrants, except such as have been obtained under the Act, the approval for listing the Shares and Warrant Shares on The Nasdaq Global Market (the “Exchange”) and for such consents, approvals, authorizations, orders, registrations or qualifications as may be required under state securities or Blue Sky laws in connection with the purchase and distribution of the Offered Securities the Underwriters;</w:t>
      </w:r>
    </w:p>
    <w:p>
      <w:pPr>
        <w:spacing w:after="0" w:line="195" w:lineRule="exact"/>
        <w:rPr>
          <w:rFonts w:ascii="Times New Roman" w:cs="Times New Roman" w:eastAsia="Times New Roman" w:hAnsi="Times New Roman"/>
          <w:sz w:val="20"/>
          <w:szCs w:val="20"/>
          <w:color w:val="auto"/>
        </w:rPr>
      </w:pPr>
    </w:p>
    <w:p>
      <w:pPr>
        <w:jc w:val="both"/>
        <w:ind w:firstLine="757"/>
        <w:spacing w:after="0" w:line="259" w:lineRule="auto"/>
        <w:tabs>
          <w:tab w:leader="none" w:pos="1018"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Other than as set forth in the Pricing Prospectus, there are no legal, governmental or regulatory investigations, actions, demands, claims, suits, arbitrations, inquiries or proceedings (“Actions”) pending to which the Company or its subsidiary or, to the Company’s knowledge, any officer or director of the Company is a party or of which any property or assets of the Company or its subsidiary or, to the Company’s knowledge, any officer or director of the Company is the subject which, if determined adversely to the Company or its subsidiary (or such officer or director), would individually or in the aggregate have a Material Adverse Effect; and, to the Company’s knowledge, no such proceedings are threatened or contemplated by governmental authorities or others; there are no current or pending Actions that are required under the Act to be described in the Registration Statement or the Pricing Prospectus that are not so described therein;</w:t>
      </w:r>
    </w:p>
    <w:p>
      <w:pPr>
        <w:spacing w:after="0" w:line="172" w:lineRule="exact"/>
        <w:rPr>
          <w:rFonts w:ascii="Times New Roman" w:cs="Times New Roman" w:eastAsia="Times New Roman" w:hAnsi="Times New Roman"/>
          <w:sz w:val="19"/>
          <w:szCs w:val="19"/>
          <w:color w:val="auto"/>
        </w:rPr>
      </w:pPr>
    </w:p>
    <w:p>
      <w:pPr>
        <w:jc w:val="both"/>
        <w:ind w:firstLine="757"/>
        <w:spacing w:after="0" w:line="244" w:lineRule="auto"/>
        <w:tabs>
          <w:tab w:leader="none" w:pos="1018"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Company nor its subsidiary is (i) in violation of its certificate of incorporation or by-laws (or other applicable organizational document), (ii) in violation of any statute or any judgment, order, rule or regulation of any court or governmental agency or body having jurisdiction over the Company or its subsidiary or any of their properties, or (iii) in default in the performance or observance of any obligation, agreement, covenant or condition contained in any indenture, mortgage, deed of trust, loan agreement, lease or other agreement or instrument to which it is a party or by which it or any of its properties may be bound, except, in the case of the foregoing clauses (ii) and (iii), for such violations or defaults as would not, individually or in the aggregate, reasonably be expected to have a Material Adverse Effect;</w:t>
      </w:r>
    </w:p>
    <w:p>
      <w:pPr>
        <w:spacing w:after="0" w:line="186" w:lineRule="exact"/>
        <w:rPr>
          <w:sz w:val="20"/>
          <w:szCs w:val="20"/>
          <w:color w:val="auto"/>
        </w:rPr>
      </w:pPr>
    </w:p>
    <w:p>
      <w:pPr>
        <w:ind w:right="20" w:firstLine="749"/>
        <w:spacing w:after="0" w:line="269" w:lineRule="auto"/>
        <w:rPr>
          <w:sz w:val="20"/>
          <w:szCs w:val="20"/>
          <w:color w:val="auto"/>
        </w:rPr>
      </w:pPr>
      <w:r>
        <w:rPr>
          <w:rFonts w:ascii="Times New Roman" w:cs="Times New Roman" w:eastAsia="Times New Roman" w:hAnsi="Times New Roman"/>
          <w:sz w:val="20"/>
          <w:szCs w:val="20"/>
          <w:color w:val="auto"/>
        </w:rPr>
        <w:t>(m)The statements set forth in the Pricing Prospectus and Prospectus under the caption “Description of Capital Stock”, insofar as they purport to constitute a summary of the terms of the Common Stock, are accurate, complete and fair in all material respects;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750570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81" w:lineRule="exact"/>
        <w:rPr>
          <w:sz w:val="20"/>
          <w:szCs w:val="20"/>
          <w:color w:val="auto"/>
        </w:rPr>
      </w:pPr>
    </w:p>
    <w:p>
      <w:pPr>
        <w:ind w:right="20" w:firstLine="757"/>
        <w:spacing w:after="0" w:line="269" w:lineRule="auto"/>
        <w:tabs>
          <w:tab w:leader="none" w:pos="1018"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is not and, after giving effect to the offering and sale of the Offered Securities and the application of the proceeds thereof, will not be an “investment company”, as such term is defined in the Investment Company Act of 1940, as amended;</w:t>
      </w:r>
    </w:p>
    <w:p>
      <w:pPr>
        <w:spacing w:after="0" w:line="159" w:lineRule="exact"/>
        <w:rPr>
          <w:rFonts w:ascii="Times New Roman" w:cs="Times New Roman" w:eastAsia="Times New Roman" w:hAnsi="Times New Roman"/>
          <w:sz w:val="20"/>
          <w:szCs w:val="20"/>
          <w:color w:val="auto"/>
        </w:rPr>
      </w:pPr>
    </w:p>
    <w:p>
      <w:pPr>
        <w:jc w:val="both"/>
        <w:ind w:firstLine="757"/>
        <w:spacing w:after="0" w:line="254" w:lineRule="auto"/>
        <w:tabs>
          <w:tab w:leader="none" w:pos="1018"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the time of filing the Initial Registration Statement and any post-effective amendment thereto, at the earliest time thereafter that the Company or any offering participant made a bona fide offer (within the meaning of Rule 164(h)(2) under the Act) of the Offered Securities, and at the date hereof, the Company was not and is not an “ineligible issuer,” as defined in Rule 405 under the Act;</w:t>
      </w:r>
    </w:p>
    <w:p>
      <w:pPr>
        <w:spacing w:after="0" w:line="174" w:lineRule="exact"/>
        <w:rPr>
          <w:rFonts w:ascii="Times New Roman" w:cs="Times New Roman" w:eastAsia="Times New Roman" w:hAnsi="Times New Roman"/>
          <w:sz w:val="20"/>
          <w:szCs w:val="20"/>
          <w:color w:val="auto"/>
        </w:rPr>
      </w:pPr>
    </w:p>
    <w:p>
      <w:pPr>
        <w:ind w:firstLine="757"/>
        <w:spacing w:after="0" w:line="269" w:lineRule="auto"/>
        <w:tabs>
          <w:tab w:leader="none" w:pos="1018"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Ernst &amp; Young LLP, which has certified certain financial statements of the Company and its subsidiary, is an independent public accounting firm as required by the Act and the rules and regulations of the Commission thereunder;</w:t>
      </w:r>
    </w:p>
    <w:p>
      <w:pPr>
        <w:spacing w:after="0" w:line="159" w:lineRule="exact"/>
        <w:rPr>
          <w:rFonts w:ascii="Times New Roman" w:cs="Times New Roman" w:eastAsia="Times New Roman" w:hAnsi="Times New Roman"/>
          <w:sz w:val="20"/>
          <w:szCs w:val="20"/>
          <w:color w:val="auto"/>
        </w:rPr>
      </w:pPr>
    </w:p>
    <w:p>
      <w:pPr>
        <w:jc w:val="both"/>
        <w:ind w:firstLine="757"/>
        <w:spacing w:after="0" w:line="258" w:lineRule="auto"/>
        <w:tabs>
          <w:tab w:leader="none" w:pos="1018" w:val="left"/>
        </w:tabs>
        <w:numPr>
          <w:ilvl w:val="1"/>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maintains a system of internal control over financial reporting (as such term is defined in Rule 13a-15(f) under the Exchange Act) that (i) complies with the requirements of the Exchange Act, (ii) has been designed by the Company’s principal executive officer and principal financial officer, or under their supervision, to provide reasonable assurance regarding the reliability of financial reporting and the preparation of financial statements for external purposes in accordance with generally accepted accounting principles and</w:t>
      </w:r>
    </w:p>
    <w:p>
      <w:pPr>
        <w:jc w:val="both"/>
        <w:ind w:firstLine="8"/>
        <w:spacing w:after="0"/>
        <w:tabs>
          <w:tab w:leader="none" w:pos="369"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sufficient to provide reasonable assurance that (A) transactions are executed in accordance with management’s general or specific authorization, (B) transactions are recorded as necessary to permit preparation of financial statements in conformity with generally accepted accounting principles and to maintain accountability for assets, (C) access to assets is permitted only in accordance with management’s general or specific authorization and (D) the recorded accountability for assets is compared with the existing assets at reasonable intervals and appropriate action is taken with respect to any differences; and the Company’s internal control over financial reporting is effective and the Company is not aware of any material weaknesses in its internal control over financial reporting;</w:t>
      </w:r>
    </w:p>
    <w:p>
      <w:pPr>
        <w:spacing w:after="0" w:line="191" w:lineRule="exact"/>
        <w:rPr>
          <w:rFonts w:ascii="Times New Roman" w:cs="Times New Roman" w:eastAsia="Times New Roman" w:hAnsi="Times New Roman"/>
          <w:sz w:val="20"/>
          <w:szCs w:val="20"/>
          <w:color w:val="auto"/>
        </w:rPr>
      </w:pPr>
    </w:p>
    <w:p>
      <w:pPr>
        <w:jc w:val="both"/>
        <w:ind w:firstLine="757"/>
        <w:spacing w:after="0" w:line="254" w:lineRule="auto"/>
        <w:tabs>
          <w:tab w:leader="none" w:pos="1018" w:val="left"/>
        </w:tabs>
        <w:numPr>
          <w:ilvl w:val="1"/>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Since the date of the latest audited financial statements included or incorporated by reference in the Pricing Prospectus and the Prospectus, there has been no change in the Company’s internal control over financial reporting that has materially affected, or is reasonably likely to materially affect, the Company’s internal control over financial reporting;</w:t>
      </w:r>
    </w:p>
    <w:p>
      <w:pPr>
        <w:spacing w:after="0" w:line="174" w:lineRule="exact"/>
        <w:rPr>
          <w:rFonts w:ascii="Times New Roman" w:cs="Times New Roman" w:eastAsia="Times New Roman" w:hAnsi="Times New Roman"/>
          <w:sz w:val="20"/>
          <w:szCs w:val="20"/>
          <w:color w:val="auto"/>
        </w:rPr>
      </w:pPr>
    </w:p>
    <w:p>
      <w:pPr>
        <w:jc w:val="both"/>
        <w:ind w:firstLine="757"/>
        <w:spacing w:after="0" w:line="249" w:lineRule="auto"/>
        <w:tabs>
          <w:tab w:leader="none" w:pos="1018" w:val="left"/>
        </w:tabs>
        <w:numPr>
          <w:ilvl w:val="1"/>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maintains disclosure controls and procedures (as such term is defined in Rule 13a-15(e) under the Exchange Act) that comply with the requirements of the Exchange Act; such disclosure controls and procedures have been designed to ensure that material information relating to the Company and its subsidiary is made known to the Company’s principal executive officer and principal financial officer by others within those entities; and such disclosure controls and procedures are effective;</w:t>
      </w:r>
    </w:p>
    <w:p>
      <w:pPr>
        <w:spacing w:after="0" w:line="179" w:lineRule="exact"/>
        <w:rPr>
          <w:rFonts w:ascii="Times New Roman" w:cs="Times New Roman" w:eastAsia="Times New Roman" w:hAnsi="Times New Roman"/>
          <w:sz w:val="20"/>
          <w:szCs w:val="20"/>
          <w:color w:val="auto"/>
        </w:rPr>
      </w:pPr>
    </w:p>
    <w:p>
      <w:pPr>
        <w:jc w:val="both"/>
        <w:ind w:firstLine="757"/>
        <w:spacing w:after="0" w:line="242" w:lineRule="auto"/>
        <w:tabs>
          <w:tab w:leader="none" w:pos="1018" w:val="left"/>
        </w:tabs>
        <w:numPr>
          <w:ilvl w:val="1"/>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Company nor its subsidiary, nor any director, officer, or employee of the Company or its subsidiary nor, to the knowledge of the Company, any agent, affiliate or other person associated with or acting on behalf of the Company or its subsidiary has (i) made, offered, promised or authorized any unlawful contribution, gift, entertainment or other unlawful expense (or taken any act in furtherance thereof); (ii) made, offered, promised or authorized any direct or indirect unlawful payment; or (iii) violated or is in violation of any provision of the Foreign Corrupt Practices Act of 1977, as amended, or the rules and regulations thereunder, the Bribery Act 2010 of the United Kingdom or any other applicable anti-corruption, anti-bribery or related law, statute or regulation (collectively, “Anti-Corruption Laws”); the Company and its subsidiary have conducted their businesses in compliance with Anti-Corruption Laws and have instituted and maintained and will continue to maintain policies and procedures reasonably designed to promote and achieve compliance with such laws and with the representations and warranties contained herein; neither the Company nor its subsidiary will use, directly or indirectly, the proceeds of the</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750570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81"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offering in furtherance of an offer, payment, promise to pay, or authorization of the payment or giving of money, or anything else of value, to any person in violation of Anti-Corruption Laws;</w:t>
      </w:r>
    </w:p>
    <w:p>
      <w:pPr>
        <w:spacing w:after="0" w:line="159" w:lineRule="exact"/>
        <w:rPr>
          <w:sz w:val="20"/>
          <w:szCs w:val="20"/>
          <w:color w:val="auto"/>
        </w:rPr>
      </w:pPr>
    </w:p>
    <w:p>
      <w:pPr>
        <w:jc w:val="both"/>
        <w:ind w:firstLine="757"/>
        <w:spacing w:after="0" w:line="244" w:lineRule="auto"/>
        <w:tabs>
          <w:tab w:leader="none" w:pos="1018"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operations of the Company and its subsidiary are and have been conducted at all times in compliance with the requirements of applicable anti-money laundering laws, including, but not limited to, the Bank Secrecy Act of 1970, as amended by the USA PATRIOT ACT of 2001, and the rules and regulations promulgated thereunder, and the anti-money laundering laws of the various jurisdictions in which the Company and its subsidiary conduct business, the rules and regulations thereunder and any related or similar rules, regulation or guidelines issued, administered or enforced by any governmental agency (collectively, the “Money Laundering Laws”) and no action, suit or proceeding by or before any court or governmental agency, authority or body or any arbitrator involving the Company or its subsidiary with respect to the Money Laundering Laws is pending or, to the knowledge of the Company, threatened;</w:t>
      </w:r>
    </w:p>
    <w:p>
      <w:pPr>
        <w:spacing w:after="0" w:line="185" w:lineRule="exact"/>
        <w:rPr>
          <w:rFonts w:ascii="Times New Roman" w:cs="Times New Roman" w:eastAsia="Times New Roman" w:hAnsi="Times New Roman"/>
          <w:sz w:val="20"/>
          <w:szCs w:val="20"/>
          <w:color w:val="auto"/>
        </w:rPr>
      </w:pPr>
    </w:p>
    <w:p>
      <w:pPr>
        <w:jc w:val="both"/>
        <w:ind w:firstLine="757"/>
        <w:spacing w:after="0" w:line="241" w:lineRule="auto"/>
        <w:tabs>
          <w:tab w:leader="none" w:pos="1018"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Company nor its subsidiary, nor any director, officer, or employee of the Company or its subsidiary nor, to the knowledge of the Company, any agent, affiliate or other person associated with or acting on behalf of the Company or its subsidiary is (i) currently the subject or the target of any sanctions administered or enforced by the U.S. Government, including, without limitation, the Office of Foreign Assets Control of the U.S. Department of the Treasury (“OFAC”), or the U.S. Department of State and including, without limitation, the designation as a “specially designated national” or “blocked person,” the European Union, His Majesty’s Treasury, the United Nations Security Council, or other relevant sanctions authority (collectively, “Sanctions”), (ii) located, organized, or resident in a country or territory that is the subject or target of Sanctions (a “Sanctioned Jurisdiction”), and the Company will not directly or indirectly use the proceeds of the offering of the Offered Securities hereunder, or lend, contribute or otherwise make available such proceeds to any subsidiary, joint venture partner or other person or entity (i) to fund or facilitate any activities of or business with any person, or in any country or territory, that, at the time of such funding, is the subject or the target of Sanctions or (ii) in any other manner that will result in a violation by any person (including any person participating in the transaction, whether as underwriter, advisor, investor or otherwise) of Sanctions; neither the Company nor its subsidiary is engaged in, or has, at any time in the past 10 years, engaged in, any dealings or transactions with or involving any individual or entity that was or is, as applicable, at the time of such dealing or transaction, the subject or target of Sanctions or with any Sanctioned Jurisdiction; the Company and its subsidiary have instituted, and maintain, policies and procedures designed to promote and achieve continued compliance with Sanctions;</w:t>
      </w:r>
    </w:p>
    <w:p>
      <w:pPr>
        <w:spacing w:after="0" w:line="19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(w)This Agreement has been duly authorized, executed and delivered by the Company;</w:t>
      </w:r>
    </w:p>
    <w:p>
      <w:pPr>
        <w:spacing w:after="0" w:line="216" w:lineRule="exact"/>
        <w:rPr>
          <w:sz w:val="20"/>
          <w:szCs w:val="20"/>
          <w:color w:val="auto"/>
        </w:rPr>
      </w:pPr>
    </w:p>
    <w:p>
      <w:pPr>
        <w:jc w:val="both"/>
        <w:ind w:firstLine="757"/>
        <w:spacing w:after="0" w:line="242" w:lineRule="auto"/>
        <w:tabs>
          <w:tab w:leader="none" w:pos="1018"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financial statements included in the Registration Statement, the Pricing Prospectus and the Prospectus, together with the related schedules and notes, present fairly in all material respects the financial position of the Company and its subsidiary at the dates indicated and the statement of operations, stockholders’ equity and cash flows of the Company and its subsidiary for the periods specified; said financial statements have been prepared in conformity with U.S. generally accepted accounting principles (“GAAP”) applied on a consistent basis throughout the periods involved. The supporting schedules, if any, present fairly in all material respects in accordance with GAAP the information required to be stated therein. The selected financial data and the summary financial information included in the Registration Statement, the Pricing Prospectus and the Prospectus present fairly in all material respects the information shown therein and have been compiled on a basis consistent with that of the audited financial statements included therein. Except as included therein, no historical or pro forma financial statements or supporting schedules are required to be included in the Registration Statement, the Pricing Prospectus or the Prospectus under the Act or the rules and regulations promulgated thereunder;</w:t>
      </w:r>
    </w:p>
    <w:p>
      <w:pPr>
        <w:spacing w:after="0" w:line="192" w:lineRule="exact"/>
        <w:rPr>
          <w:rFonts w:ascii="Times New Roman" w:cs="Times New Roman" w:eastAsia="Times New Roman" w:hAnsi="Times New Roman"/>
          <w:sz w:val="20"/>
          <w:szCs w:val="20"/>
          <w:color w:val="auto"/>
        </w:rPr>
      </w:pPr>
    </w:p>
    <w:p>
      <w:pPr>
        <w:ind w:right="20" w:firstLine="757"/>
        <w:spacing w:after="0" w:line="269" w:lineRule="auto"/>
        <w:tabs>
          <w:tab w:leader="none" w:pos="1018"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and its subsidiary (i) own or otherwise possess adequate rights to use all material patents, patent applications, trademarks, service marks, trade names, domain names, copyrights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750570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8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and registrations and applications thereof, licenses, know-how, software, systems and technology (including trade secrets and other unpatented and/or unpatentable proprietary or confidential information, systems or procedures and other intellectual property) necessary for the conduct of their respective businesses, (ii) do not, through the conduct of their respective businesses, infringe, violate or conflict with any such right of others and (iii) have not received any written notice of any claim of infringement, violation or conflict with, any such rights of others;</w:t>
      </w:r>
    </w:p>
    <w:p>
      <w:pPr>
        <w:spacing w:after="0" w:line="185" w:lineRule="exact"/>
        <w:rPr>
          <w:sz w:val="20"/>
          <w:szCs w:val="20"/>
          <w:color w:val="auto"/>
        </w:rPr>
      </w:pPr>
    </w:p>
    <w:p>
      <w:pPr>
        <w:jc w:val="both"/>
        <w:ind w:firstLine="757"/>
        <w:spacing w:after="0" w:line="241" w:lineRule="auto"/>
        <w:tabs>
          <w:tab w:leader="none" w:pos="1018"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and its subsidiary’s information technology assets and equipment, computers, systems, networks, hardware, software, websites, applications, and databases (collectively, “IT Systems”) are adequate for, and operate and perform in all material respects as required in connection with the operation of the business of the Company and its subsidiary as currently conducted, free and clear of all material bugs, errors, defects, Trojan horses, time bombs, malware and other corruptants; the Company and its subsidiary have implemented and maintained reasonable controls, policies, procedures, and safeguards to maintain and protect their material confidential information and the integrity, continuous operation, redundancy and security of all IT Systems and data (including all personal, personally identifiable, sensitive, confidential or regulated data (“Personal Data”)) used in connection with their businesses, and there have been no breaches, violations, outages or unauthorized uses of or accesses to same, except for those that have been remedied without material cost or liability or the duty to notify any other person, nor any incidents under internal review or investigations relating to the same; the Company and its subsidiary are presently in compliance in all material respects with all applicable laws or statutes and all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w:t>
      </w:r>
    </w:p>
    <w:p>
      <w:pPr>
        <w:spacing w:after="0" w:line="197"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(aa)No forward-looking statement (within the meaning of Section 27A of the Act and Section 21E of the Exchange Act) included or incorporated by reference in any of the Registration Statement, the Pricing Prospectus or the Prospectus has been made or reaffirmed without a reasonable basis or has been disclosed other than in good faith;</w:t>
      </w:r>
    </w:p>
    <w:p>
      <w:pPr>
        <w:spacing w:after="0" w:line="174"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(bb)Nothing has come to the attention of the Company that has caused the Company to believe that the statistical and market-related data included in each of the Registration Statement, the Pricing Prospectus and the Prospectus is not based on or derived from sources that are reliable and accurate in all material respects;</w:t>
      </w:r>
    </w:p>
    <w:p>
      <w:pPr>
        <w:spacing w:after="0" w:line="174" w:lineRule="exact"/>
        <w:rPr>
          <w:sz w:val="20"/>
          <w:szCs w:val="20"/>
          <w:color w:val="auto"/>
        </w:rPr>
      </w:pPr>
    </w:p>
    <w:p>
      <w:pPr>
        <w:jc w:val="both"/>
        <w:ind w:right="20" w:firstLine="749"/>
        <w:spacing w:after="0" w:line="254" w:lineRule="auto"/>
        <w:rPr>
          <w:sz w:val="20"/>
          <w:szCs w:val="20"/>
          <w:color w:val="auto"/>
        </w:rPr>
      </w:pPr>
      <w:r>
        <w:rPr>
          <w:rFonts w:ascii="Times New Roman" w:cs="Times New Roman" w:eastAsia="Times New Roman" w:hAnsi="Times New Roman"/>
          <w:sz w:val="20"/>
          <w:szCs w:val="20"/>
          <w:color w:val="auto"/>
        </w:rPr>
        <w:t>(cc)There is and has been no failure on the part of the Company or any of the Company’s directors or officers, in their capacities as such, to comply with any provision of the Sarbanes-Oxley Act of 2002, as amended and the rules and regulations promulgated in connection therewith (the “Sarbanes-Oxley Act”), including Section 402 related to loans and Sections 302 and 906 related to certifications;</w:t>
      </w:r>
    </w:p>
    <w:p>
      <w:pPr>
        <w:spacing w:after="0" w:line="174"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(dd)Neither the Company nor any of its affiliates has taken or will take, directly or indirectly, any action designed to or that could reasonably be expected to cause or result in the stabilization or manipulation of the price of any security of the Company or its subsidiary in connection with the offering of the Offered Securities;</w:t>
      </w:r>
    </w:p>
    <w:p>
      <w:pPr>
        <w:spacing w:after="0" w:line="174"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(ee)The Company and its subsidiary have such permits, licenses, approvals, consents, franchises, certificates of need and other approvals or authorizations of governmental or regulatory authorities (“Permits”) as are necessary under applicable law to own their respective properties and conduct their respective businesses in the manner described in the Registration Statement, the Pricing Prospectus and the Prospectus, except for any of the foregoing that would not, individually or in the aggregate, reasonably be expected to have a Material Adverse Effect. Neither the Company nor its subsidiary has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750570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8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received notice of any proceedings related to the revocation or modification of any such Permits that, individually or in the aggregate, if the subject of an unfavorable decision, ruling or finding, would have a Material Adverse Effect;</w:t>
      </w:r>
    </w:p>
    <w:p>
      <w:pPr>
        <w:spacing w:after="0" w:line="15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(ff)The Company and its subsidiary, taken as a whole, are insured against such losses and risks and in such amounts as are prudent and customary in the businesses in which they are engaged;</w:t>
      </w:r>
    </w:p>
    <w:p>
      <w:pPr>
        <w:spacing w:after="0" w:line="159" w:lineRule="exact"/>
        <w:rPr>
          <w:sz w:val="20"/>
          <w:szCs w:val="20"/>
          <w:color w:val="auto"/>
        </w:rPr>
      </w:pPr>
    </w:p>
    <w:p>
      <w:pPr>
        <w:jc w:val="both"/>
        <w:ind w:firstLine="749"/>
        <w:spacing w:after="0"/>
        <w:rPr>
          <w:sz w:val="20"/>
          <w:szCs w:val="20"/>
          <w:color w:val="auto"/>
        </w:rPr>
      </w:pPr>
      <w:r>
        <w:rPr>
          <w:rFonts w:ascii="Times New Roman" w:cs="Times New Roman" w:eastAsia="Times New Roman" w:hAnsi="Times New Roman"/>
          <w:sz w:val="20"/>
          <w:szCs w:val="20"/>
          <w:color w:val="auto"/>
        </w:rPr>
        <w:t>(gg)The Company and its subsidiary, and to the Company’s knowledge, their respective directors, officers and employees, are, and at all times have been, in compliance with applicable Health Care Laws (defined herein) including, but not limited to, the rules and regulations of the Food and Drug Administration (“FDA”), the U.S. Department of Health and Human Services Office of Inspector General, the Centers for Medicare &amp; Medicaid Services, the Office for Civil Rights, and any other governmental agency or body having jurisdiction over the Company or any of its properties, and has not engaged in any activities which are, as applicable, cause for false claims liability, civil penalties, or mandatory or permissive exclusion from Medicare, Medicaid, or any other local, state or federal healthcare program, except for such noncompliance that would not, individually or in the aggregate, reasonably be expected to have a Material Adverse Effect. For purposes of this Agreement, “Health Care Laws” shall mean, as applicable, the federal Anti-kickback Statute (42 U.S.C. § 1320a-7b(b)), the Physician Payments Sunshine Act (42 U.S.C. § 1320a-7h), the civil False Claims Act (31 U.S.C. §§ 3729 et seq.), the criminal False Claims Act (42 U.S.C. § 1320a-7b(a)), applicable criminal laws relating to health care fraud and abuse, the exclusion laws (42 U.S.C. § 1320a-7), the civil monetary penalties law (42 U.S.C. § 1320a-7a), the health care fraud criminal provisions under the Health Insurance Portability and Accountability Act of 1996 (42 U.S.C. §§ 1320d et seq.) (“HIPAA”), the exclusion laws (42 U.S.C. § 1320a-7), the civil monetary penalties law (42 U.S.C. § 1320a-7a), HIPAA, as amended by the Health Information Technology for Economic and Clinical Health Act (42 U.S.C. §§ 17921 et seq.), the Federal Food, Drug, and Cosmetic Act (21 U.S.C. §§ 301 et seq.), the Patient Protection and Affordable Care Act of 2010 (Pub. Law 111-148), as amended by the Health Care and Education Reconciliation Act of 2010 (Pub. Law 111-152), and the regulations promulgated pursuant to the aforementioned statutes. Neither the Company nor its subsidiary is a party to or has any ongoing reporting obligations pursuant to any corporate integrity agreement, deferred prosecution agreement, monitoring agreement, consent decree, settlement order, plan of correction or similar agreement imposed by any governmental authority. Neither the Company nor its subsidiary has received any written notification, correspondence or any other written communication, including, without limitation, any Form FDA 483, notice of adverse finding, warning letter, untitled letter or other correspondence or notice from the FDA or any similar regulatory authority, or any notification of any pending or, to the Company’s knowledge, threatened claim, suit, proceeding, hearing, enforcement, investigation, arbitration or other action, from any governmental authority of alleging material non-compliance by, or material liability of, the Company or its subsidiary under any Health Care Laws;</w:t>
      </w:r>
    </w:p>
    <w:p>
      <w:pPr>
        <w:spacing w:after="0" w:line="205"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(hh)Each of the Company and its subsidiary possesses, and is in material compliance with the terms of, all applications, certificates, approvals, clearances, registrations, exemptions, franchises, licenses, permits, consents and other authorizations issued by the appropriate Governmental Authorities and necessary to conduct their respective businesses as currently conducted or as proposed to be conducted as described in the Prospectus (collectively, “Licenses”), including, without limitation, all Licenses required by the FDA, or any component thereof, and/or by any other U.S., state, local or foreign government or drug regulatory agency (collectively, the “Regulatory Agencies”), except where a failure to so possess or noncompliance would not, individually or in the aggregate, reasonably be expected to have a Material Adverse Effect. All such Licenses are in full force and effect and neither the Company nor its subsidiary is in violation of any term or conditions of any such License, except where a failure to be in full force or effect or such violation would not, individually or in the aggregate, reasonably be expected to have a Material Adverse Effect. Each of the Company and its subsidiary has fulfilled and performed all of its respective obligations with respect to such Licenses and, no event has occurred which allows, or after notice</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750570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8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or lapse of time would allow, revocation or termination thereof or results in any other impairment of the rights of the holder of any such License, except for such failure or occurrence that would not, individually or in the aggregate, reasonably be expected to have a Material Adverse Effect. Neither the Company nor its subsidiary has received any notice of proceedings from the applicable Regulatory Agency proposing to revoke or materially adversely modify any such Licenses and, to the Company’s knowledge, no Regulatory Agency has taken any action to limit, suspend or revoke any such License possessed by the Company;</w:t>
      </w:r>
    </w:p>
    <w:p>
      <w:pPr>
        <w:spacing w:after="0" w:line="185" w:lineRule="exact"/>
        <w:rPr>
          <w:sz w:val="20"/>
          <w:szCs w:val="20"/>
          <w:color w:val="auto"/>
        </w:rPr>
      </w:pPr>
    </w:p>
    <w:p>
      <w:pPr>
        <w:jc w:val="both"/>
        <w:ind w:firstLine="757"/>
        <w:spacing w:after="0" w:line="245" w:lineRule="auto"/>
        <w:tabs>
          <w:tab w:leader="none" w:pos="1018"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Company nor its subsidiary is a “covered foreign person,” as that term is defined in 31 C.F.R. § 850.209. Neither the Company nor its subsidiary currently engages, or has plans to engage, directly or indirectly, in a “covered activity,” as that term is defined in in 31 C.F.R. § 850.208 (“Covered Activity”). The Company does not have any joint ventures that engages in or plans to engage in any Covered Activity. The Company also does not, directly or indirectly, hold a board seat on, have a voting or equity interest in, or have any contractual power to direct or cause the direction of the management or policies of any person or persons that engages or plans to engage in any Covered Activity;</w:t>
      </w:r>
    </w:p>
    <w:p>
      <w:pPr>
        <w:spacing w:after="0" w:line="184" w:lineRule="exact"/>
        <w:rPr>
          <w:rFonts w:ascii="Times New Roman" w:cs="Times New Roman" w:eastAsia="Times New Roman" w:hAnsi="Times New Roman"/>
          <w:sz w:val="20"/>
          <w:szCs w:val="20"/>
          <w:color w:val="auto"/>
        </w:rPr>
      </w:pPr>
    </w:p>
    <w:p>
      <w:pPr>
        <w:jc w:val="both"/>
        <w:ind w:firstLine="757"/>
        <w:spacing w:after="0" w:line="242" w:lineRule="auto"/>
        <w:tabs>
          <w:tab w:leader="none" w:pos="1018"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 of the Company’s product candidates have received marketing approval from any Regulatory Agencies. The pre-clinical studies and clinical trials that are described in the Registration Statement, the Pricing Prospectus and the Prospectus were and, if still pending, are being, conducted in all material respects in accordance with the protocols submitted to the FDA or any foreign governmental body exercising comparable authority, and all applicable laws and regulations; the descriptions of the pre-clinical studies and clinical trials conducted by or, to the Company’s knowledge, on behalf of the Company or by a licensor, and the results thereof, contained in the Registration Statement, the Pricing Prospectus and the Prospectus are accurate and complete in all material respects; the Company is not aware of any other pre-clinical studies or clinical trials, the results of which reasonably call into question the results described in the Registration Statement, the Pricing Prospectus and the Prospectus; and the Company has not received any notices or correspondence from the FDA, any foreign, state or local governmental body exercising comparable authority or any Institutional Review Board or ethics committee or similar body requiring the termination, suspension, material modification or clinical hold of any pre-clinical studies or clinical trials conducted by or, to the Company’s knowledge, on behalf of the Company or by a licensor;</w:t>
      </w:r>
    </w:p>
    <w:p>
      <w:pPr>
        <w:spacing w:after="0" w:line="190"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(kk)Neither the Company nor its subsidiary, nor any of their respective officers, employees or directors, nor, to the Company’s knowledge, any of its or their respective agents or clinical investigators, or licensors, has, for the past three (3) years, been excluded, suspended or debarred from participation in any U.S. federal or foreign health care program or human clinical research or, to the Company’s knowledge, is subject to a governmental inquiry, investigation, proceeding, or other similar action that could reasonably be expected to result in debarment, suspension, or exclusion, or convicted of any crime or engaged in any conduct that would reasonably be expected to result in debarment under 21 U.S.C. § 335a or comparable foreign law;</w:t>
      </w:r>
    </w:p>
    <w:p>
      <w:pPr>
        <w:spacing w:after="0" w:line="184" w:lineRule="exact"/>
        <w:rPr>
          <w:sz w:val="20"/>
          <w:szCs w:val="20"/>
          <w:color w:val="auto"/>
        </w:rPr>
      </w:pPr>
    </w:p>
    <w:p>
      <w:pPr>
        <w:jc w:val="both"/>
        <w:ind w:firstLine="757"/>
        <w:spacing w:after="0" w:line="242" w:lineRule="auto"/>
        <w:tabs>
          <w:tab w:leader="none" w:pos="1018"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and each subsidiary owns or has valid and enforceable licenses or other rights to all patents and patent applications, copyrights, trademarks, trademark registrations, service marks, service mark registrations, trade names, service names and know-how (including trade secrets and other unpatented and/or unpatentable proprietary or confidential information, systems or procedures) and all other technology and intellectual property rights necessary for the conduct, or the proposed conduct, of the business of the Company in the manner described in the Pricing Prospectus and the Prospectus (collectively, the “Company Intellectual Property”); to the Company’s knowledge, there are no rights of third parties to any of the patents, trademarks and copyrights within the Company Intellectual Property disclosed in the Registration Statement and the Prospectus as being owned by the Company and its subsidiary and such patents, trademark and copyrights are owned by the Company and its subsidiary free and clear of all material liens, security interests, or encumbrances; to the Company’s knowledge, the patents, trademarks and copyrights held or licensed by the Company and its subsidiary included within the Company Intellectual</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750570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9"/>
          <w:szCs w:val="19"/>
          <w:color w:val="auto"/>
        </w:rPr>
        <w:t>Property are valid, enforceable and subsisting; and other than as disclosed in the Pricing Prospectus and the Prospectus, (i) neither the Company nor its subsidiary is obligated to pay a material royalty, grant a license, or provide other material consideration to any third party in connection with the Company Intellectual Property, (ii) no action, suit, claim or other proceeding is pending or, to the knowledge of the Company, is threatened, alleging that the conduct of the business of the Company or its subsidiary in the manner described in the Pricing Prospectus and the Prospectus is infringing, misappropriating, diluting or otherwise violating any intellectual property rights of others, (iii) no action, suit, claim or other proceeding is pending or, to the knowledge of the Company, is threatened, challenging the validity, enforceability, scope, registration, ownership or use of any of the Company Intellectual Property, (iv) no action, suit, claim or other proceeding is pending or, to the knowledge of the Company, is threatened, challenging the Company’s and its subsidiary’s rights in or to any Company Intellectual Property, and the Company is unaware of any facts which could form a reasonable basis for any such action, suit, proceeding or claim, (v) the Company has not received written notice of any claim of infringement, misappropriation or conflict with any asserted rights of others with respect to any of the Company’s or its subsidiary’s products, proposed products, processes or Company Intellectual Property, (vi) to the knowledge of the Company, the development, manufacture, sale, and any currently proposed use of any of the products, proposed products or processes of the Company and its subsidiary referred to in the Pricing Prospectus and the Prospectus, in the current or proposed conduct of the business of the Company, do not currently, and will not upon commercialization, to the knowledge of the Company, infringe any right or valid patent claim of any third party, (vii) to the Company’s knowledge, no third party has any ownership right in or to any Company Intellectual Property in any field of use that is exclusively licensed to the Company or its subsidiary, other than any licensor to the Company or its subsidiary of such Company Intellectual Property, (viii) no employee, consultant or independent contractor of the Company or its subsidiary is, to the Company’s knowledge, in violation in any material respect of any term of any employment contract, patent disclosure agreement, invention assignment agreement, non-competition agreement, non-solicitation agreement, nondisclosure agreement, or any restrictive covenant to or with a former employer or independent contractor where the basis of such violation relates to such employee’s employment or independent contractor’s engagement with the Company or actions undertaken while employed or engaged with the Company, (ix) the Company has taken reasonable measures to protect its material confidential information and material trade secrets and to maintain and safeguard the material Company Intellectual Property, including the execution of appropriate nondisclosure and confidentiality agreements and (x) the Company has complied with the material terms of each agreement pursuant to which the Company Intellectual Property has been licensed to the Company, and any such agreements are in full force and effect;</w:t>
      </w:r>
    </w:p>
    <w:p>
      <w:pPr>
        <w:spacing w:after="0" w:line="200" w:lineRule="exact"/>
        <w:rPr>
          <w:sz w:val="20"/>
          <w:szCs w:val="20"/>
          <w:color w:val="auto"/>
        </w:rPr>
      </w:pPr>
    </w:p>
    <w:p>
      <w:pPr>
        <w:spacing w:after="0" w:line="226"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(mm)All patents and patent applications owned by or licensed to the Company and its subsidiary or under which the Company and its subsidiary have rights have, to the knowledge of the Company, been duly and properly filed and maintained; to the knowledge of the Company, there are no material defects in any of the patents or patent applications disclosed in the Registration Statement and the Prospectus as being owned by the Company or its subsidiary; to the knowledge of the Company, the parties prosecuting such applications have complied with their duty of candor and disclosure to the United States Patent and Trademark Office (the “USPTO”) in connection with such applications; and the Company is not aware of any facts required to be disclosed to the USPTO that were not disclosed to the USPTO and which would preclude the grant of a patent in connection with any such application or could form the basis of a finding of invalidity with respect to any patents that have issued with respect to such applications;</w:t>
      </w:r>
    </w:p>
    <w:p>
      <w:pPr>
        <w:spacing w:after="0" w:line="189"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(nn)The Company and its subsidiary possess all licenses, certificates, permits and other authorizations issued by, and have made all declarations and filings with, the appropriate federal, state, local or foreign governmental or regulatory authorities having jurisdiction over the Company and its subsidiary that are necessary for the ownership or lease of their respective properties or the conduct of their respective businesses as described in the Registration Statement, the Pricing Disclosure Package and the Prospectus, except where the failure to possess or make the same would not, individually or in the aggregate,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750570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8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reasonably be expected to have a Material Adverse Effect; and except as described in the Registration Statement, the Pricing Disclosure Package and the Prospectus, neither the Company nor its subsidiary has received notice of any revocation or modification of any such license, certificate, permit or authorization, except where such revocation or modification would not, individually or in the aggregate, reasonably be expected to have a Material Adverse Effect;</w:t>
      </w:r>
    </w:p>
    <w:p>
      <w:pPr>
        <w:spacing w:after="0" w:line="180"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(oo)All United States federal income tax returns of the Company and its subsidiary required by law to be filed have been filed, except where the failure to file would not, individually or in the aggregate, reasonably be expected to have a Material Adverse Effect, and all taxes shown as due on such returns or that otherwise have been assessed, which are due and payable, have been paid, except assessments against which appeals have been or will be promptly taken and as to which adequate reserves have been provided. The Company and its subsidiary have filed all other tax returns that are required to have been filed by them pursuant to applicable foreign, state, local or other law except insofar as the failure to file such returns would not, individually or in the aggregate, reasonably be expected to have a Material Adverse Effect, and has paid all taxes due pursuant to such returns or pursuant to any assessment received by the Company and its subsidiary, except for such taxes, if any, as are being contested in good faith and as to which adequate reserves have been provided and except insofar as the failure to pay such taxes would not, individually or in the aggregate, reasonably be expected to have a Material Adverse Effect;</w:t>
      </w:r>
    </w:p>
    <w:p>
      <w:pPr>
        <w:spacing w:after="0" w:line="192"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(pp)Neither the Company nor its subsidiary is a party to any contract, agreement or understanding with any person (other than this Agreement) that would give rise to a valid claim against the Company or its subsidiary or any Underwriter for a brokerage commission, finder’s fee or like payment in connection with the offering and sale of the Offered Securities;</w:t>
      </w:r>
    </w:p>
    <w:p>
      <w:pPr>
        <w:spacing w:after="0" w:line="174"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(qq)No relationship, direct or indirect, exists between or among the Company or its subsidiary, on the one hand, and the directors, officers, stockholders, customers or suppliers of the Company or its subsidiary, on the other, that is required by the Act to be described in the Registration Statement and the Prospectus and that is not so described in such documents and in the Registration Statement, the Pricing Disclosure Package and the Prospectus;</w:t>
      </w:r>
    </w:p>
    <w:p>
      <w:pPr>
        <w:spacing w:after="0" w:line="180"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(rr)There are no contracts, arrangements or documents which are required to be described in the Registration Statement or to be filed as exhibits thereto which have not been so described and filed as required;</w:t>
      </w:r>
    </w:p>
    <w:p>
      <w:pPr>
        <w:spacing w:after="0" w:line="159"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(ss)No labor disturbance by or dispute with current or former employees or officers of the Company or its subsidiary exists or, to the Company’s knowledge, is contemplated or threatened, and the Company is not aware of any existing or imminent labor disturbance by, or dispute with, the employees of any of the Company’s or its subsidiary’s principal suppliers, manufacturers or contractors. Neither the Company nor its subsidiary are a party to any collective bargaining agreement; and</w:t>
      </w:r>
    </w:p>
    <w:p>
      <w:pPr>
        <w:spacing w:after="0" w:line="180" w:lineRule="exact"/>
        <w:rPr>
          <w:sz w:val="20"/>
          <w:szCs w:val="20"/>
          <w:color w:val="auto"/>
        </w:rPr>
      </w:pPr>
    </w:p>
    <w:p>
      <w:pPr>
        <w:jc w:val="both"/>
        <w:ind w:firstLine="757"/>
        <w:spacing w:after="0" w:line="295" w:lineRule="auto"/>
        <w:tabs>
          <w:tab w:leader="none" w:pos="1018" w:val="left"/>
        </w:tabs>
        <w:numPr>
          <w:ilvl w:val="1"/>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There are (and prior to the Time of Delivery, will be) no debt securities or preferred stock issued or guaranteed by the Company that are rated by a “nationally recognized statistical rating organization”, as such term is defined in Section 3(a)(62) under the Exchange Act.</w:t>
      </w:r>
    </w:p>
    <w:p>
      <w:pPr>
        <w:spacing w:after="0" w:line="137" w:lineRule="exact"/>
        <w:rPr>
          <w:rFonts w:ascii="Times New Roman" w:cs="Times New Roman" w:eastAsia="Times New Roman" w:hAnsi="Times New Roman"/>
          <w:sz w:val="19"/>
          <w:szCs w:val="19"/>
          <w:color w:val="auto"/>
        </w:rPr>
      </w:pPr>
    </w:p>
    <w:p>
      <w:pPr>
        <w:jc w:val="both"/>
        <w:ind w:firstLine="8"/>
        <w:spacing w:after="0" w:line="245" w:lineRule="auto"/>
        <w:tabs>
          <w:tab w:leader="none" w:pos="509"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terms and conditions herein set forth, (a) the Company agrees to issue and sell to each of the Underwriters, and each of the Underwriters agrees, severally and not jointly, to purchase from the Company, at a purchase price per Share of $12.69 and a purchase price per Pre-Funded Warrant of $12.689, the number of Firm Shares and Pre-Funded Warrants set forth opposite the name of such Underwriter in Schedule I hereto and (b) in the event and to the extent that the Underwriters shall exercise the election to purchase Optional Shares as provided below, the Company agrees to issue and sell to each of the Underwriters, and each of the Underwriters agrees, severally and not jointly, to purchase from the</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750570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81" w:lineRule="exact"/>
        <w:rPr>
          <w:sz w:val="20"/>
          <w:szCs w:val="20"/>
          <w:color w:val="auto"/>
        </w:rPr>
      </w:pPr>
    </w:p>
    <w:p>
      <w:pPr>
        <w:jc w:val="both"/>
        <w:ind w:firstLine="509"/>
        <w:spacing w:after="0" w:line="244" w:lineRule="auto"/>
        <w:rPr>
          <w:sz w:val="20"/>
          <w:szCs w:val="20"/>
          <w:color w:val="auto"/>
        </w:rPr>
      </w:pPr>
      <w:r>
        <w:rPr>
          <w:rFonts w:ascii="Times New Roman" w:cs="Times New Roman" w:eastAsia="Times New Roman" w:hAnsi="Times New Roman"/>
          <w:sz w:val="20"/>
          <w:szCs w:val="20"/>
          <w:color w:val="auto"/>
        </w:rPr>
        <w:t>Company, at the purchase price per share set forth in clause (a) of this Section 2 (provided that the purchase price per Optional Share shall be reduced by an amount per share equal to any dividends or distributions declared by the Company and payable on the Firm Shares but not payable on the Optional Shares), that portion of the number of Optional Shares as to which such election shall have been exercised (to be adjusted by you so as to eliminate fractional shares) determined by multiplying such number of Optional Shares by a fraction, the numerator of which is the maximum number of Optional Shares which such Underwriter is entitled to purchase as set forth opposite the name of such Underwriter in Schedule I hereto and the denominator of which is the maximum number of Optional Shares that all of the Underwriters are entitled to purchase hereunder.</w:t>
      </w:r>
    </w:p>
    <w:p>
      <w:pPr>
        <w:spacing w:after="0" w:line="18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Company hereby grants to the Underwriters the right to purchase at their election up to 1,944,456 Optional Shares, at the purchase price per share set forth in the paragraph above, provided that the purchase price per Optional Share shall be reduced by an amount per share equal to any dividends or distributions declared by the Company and payable on the Firm Shares but not payable on the Optional Shares. Any such election to purchase Optional Shares may be exercised only by written notice from you to the Company, given within a period of 30 calendar days after the date of this Agreement, setting forth the aggregate number of Optional Shares to be purchased and the date on which such Optional Shares are to be delivered, as determined by you but in no event earlier than the First Time of Delivery (as defined in Section 4 hereof) or, unless you and the Company otherwise agree in writing, earlier than one or later than ten business days after the date of such notice.</w:t>
      </w:r>
    </w:p>
    <w:p>
      <w:pPr>
        <w:spacing w:after="0" w:line="81" w:lineRule="exact"/>
        <w:rPr>
          <w:sz w:val="20"/>
          <w:szCs w:val="20"/>
          <w:color w:val="auto"/>
        </w:rPr>
      </w:pPr>
    </w:p>
    <w:p>
      <w:pPr>
        <w:ind w:firstLine="8"/>
        <w:spacing w:after="0" w:line="269" w:lineRule="auto"/>
        <w:tabs>
          <w:tab w:leader="none" w:pos="509"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authorization by you of the release of the Offered Securities, the several Underwriters propose to offer the Offered Securities for sale upon the terms and conditions set forth in the Pricing Disclosure Package and the Prospectus.</w:t>
      </w:r>
    </w:p>
    <w:p>
      <w:pPr>
        <w:spacing w:after="0" w:line="159" w:lineRule="exact"/>
        <w:rPr>
          <w:rFonts w:ascii="Times New Roman" w:cs="Times New Roman" w:eastAsia="Times New Roman" w:hAnsi="Times New Roman"/>
          <w:sz w:val="20"/>
          <w:szCs w:val="20"/>
          <w:color w:val="auto"/>
        </w:rPr>
      </w:pPr>
    </w:p>
    <w:p>
      <w:pPr>
        <w:jc w:val="both"/>
        <w:ind w:firstLine="8"/>
        <w:spacing w:after="0" w:line="242" w:lineRule="auto"/>
        <w:tabs>
          <w:tab w:leader="none" w:pos="509"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The Shares to be purchased by each Underwriter hereunder, in definitive or book-entry form, and in such authorized denominations and registered in such names as the Representatives may request upon at least twenty-four hours’ prior notice to the Company shall be delivered by or on behalf of the Company to the Representatives, through the facilities of the Depository Trust Company (“DTC”), for the account of such Underwriter, against payment by or on behalf of such Underwriter of the purchase price therefor by wire transfer of Federal (same-day) funds to the account specified by the Company to the Representatives at least twenty-four hours in advance. The time and date of such delivery and payment shall be, with respect to the Firm Securities, 9:30 a.m., New York City time, on December 11, 2025 or such other time and date as the Representatives and the Company may agree upon in writing, and, with respect to the Optional Shares, 9:30 a.m., New York time, on the date specified by the Representatives in the written notice given by the Representatives of the Underwriters’ election to purchase such Optional Shares, or such other time and date as the Representatives and the Company may agree upon in writing. Such time and date for delivery of the Firm Securities is herein called the “First Time of Delivery”, such time and date for delivery of the Optional Shares, if not the First Time of Delivery, is herein called the “Second Time of Delivery”, and each such time and date for delivery is herein called a “Time of Delivery”.</w:t>
      </w:r>
    </w:p>
    <w:p>
      <w:pPr>
        <w:spacing w:after="0" w:line="187" w:lineRule="exact"/>
        <w:rPr>
          <w:rFonts w:ascii="Times New Roman" w:cs="Times New Roman" w:eastAsia="Times New Roman" w:hAnsi="Times New Roman"/>
          <w:sz w:val="20"/>
          <w:szCs w:val="20"/>
          <w:color w:val="auto"/>
        </w:rPr>
      </w:pPr>
    </w:p>
    <w:p>
      <w:pPr>
        <w:jc w:val="both"/>
        <w:ind w:firstLine="757"/>
        <w:spacing w:after="0" w:line="243" w:lineRule="auto"/>
        <w:tabs>
          <w:tab w:leader="none" w:pos="1018" w:val="left"/>
        </w:tabs>
        <w:numPr>
          <w:ilvl w:val="1"/>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foregoing, the Company and the Representatives shall instruct purchasers of the Pre-Funded Warrants in the public offering to make payment for the Pre-Funded Warrants on the First Time of Delivery to the Company by wire transfer in immediately available funds to the account specified by the Company at a purchase price of $13.499 per Pre-Funded Warrant, and the Company shall deliver, or cause to be delivered, the Pre-Funded Warrants to such purchasers at the First Time of Delivery, in definitive form and registered in such names and in such denominations as the Representatives shall request in writing before the First Time of Delivery, against such payment, in lieu of the Company’s obligation to deliver such Pre-Funded Warrants to the Underwriters; provided, that, the Representatives shall withhold $0.81 per Pre-Funded Warrant with respect to such Pre-Funded Warrants as an offset against the payment owed by the Representatives to the Company with respect to the Firm Securities hereunder. In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750570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8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the event that the purchasers of the Pre-Funded Warrants fail to make payment to the Representatives for all or part of the Pre-Funded Warrants (the “Failed Warrants”) at the First Time of Delivery, the Representatives may elect, by written notice to the Company and payment of the purchase price by wire transfer in immediately available funds to the account specified by the Company at the location and time designated in Section 4(a) for the First Time of Delivery or the Second Time of Delivery, as the case may be, to receive shares of Common Stock at the applicable purchase price in lieu of the Failed Warrants that were otherwise to have been delivered to the purchasers thereof under this Agreement. The Pre-Funded Warrants will be made available for inspection by the Representatives on the business day prior to the First Time of Delivery.</w:t>
      </w:r>
    </w:p>
    <w:p>
      <w:pPr>
        <w:spacing w:after="0" w:line="186" w:lineRule="exact"/>
        <w:rPr>
          <w:sz w:val="20"/>
          <w:szCs w:val="20"/>
          <w:color w:val="auto"/>
        </w:rPr>
      </w:pPr>
    </w:p>
    <w:p>
      <w:pPr>
        <w:jc w:val="both"/>
        <w:ind w:firstLine="757"/>
        <w:spacing w:after="0" w:line="258" w:lineRule="auto"/>
        <w:tabs>
          <w:tab w:leader="none" w:pos="1018" w:val="left"/>
        </w:tabs>
        <w:numPr>
          <w:ilvl w:val="1"/>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documents to be delivered at each Time of Delivery by or on behalf of the parties hereto pursuant to Section 8 hereof, including the cross receipt for the Shares and any additional documents requested by the Underwriters pursuant to Section 8(k) hereof, will be delivered at the offices of Mintz, Levin, Cohn, Ferris, Glovsky and Popeo, P.C., 666 Third Avenue, New York, NY 10017 (the “Closing Location”), and the Shares will be delivered at the office of DTC or its designated custodian, all at such Time of Delivery. A meeting will be held at the Closing Location at 5:00 p.m., New York City time, on the New York Business Day next preceding such Time of Delivery, at which meeting the final drafts of the documents to be delivered pursuant to the preceding sentence will be available for review by the parties hereto. For the purposes of this Section 4, “New York Business Day” shall mean each Monday, Tuesday, Wednesday, Thursday and Friday which is not a day on which banking institutions in New York are generally authorized or obligated by law or executive order to close.</w:t>
      </w:r>
    </w:p>
    <w:p>
      <w:pPr>
        <w:spacing w:after="0" w:line="173" w:lineRule="exact"/>
        <w:rPr>
          <w:rFonts w:ascii="Times New Roman" w:cs="Times New Roman" w:eastAsia="Times New Roman" w:hAnsi="Times New Roman"/>
          <w:sz w:val="19"/>
          <w:szCs w:val="19"/>
          <w:color w:val="auto"/>
        </w:rPr>
      </w:pPr>
    </w:p>
    <w:p>
      <w:pPr>
        <w:ind w:left="520" w:hanging="512"/>
        <w:spacing w:after="0"/>
        <w:tabs>
          <w:tab w:leader="none" w:pos="5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agrees with each of the Underwriters:</w:t>
      </w:r>
    </w:p>
    <w:p>
      <w:pPr>
        <w:spacing w:after="0" w:line="215" w:lineRule="exact"/>
        <w:rPr>
          <w:rFonts w:ascii="Times New Roman" w:cs="Times New Roman" w:eastAsia="Times New Roman" w:hAnsi="Times New Roman"/>
          <w:sz w:val="20"/>
          <w:szCs w:val="20"/>
          <w:color w:val="auto"/>
        </w:rPr>
      </w:pPr>
    </w:p>
    <w:p>
      <w:pPr>
        <w:jc w:val="both"/>
        <w:ind w:firstLine="757"/>
        <w:spacing w:after="0" w:line="254" w:lineRule="auto"/>
        <w:tabs>
          <w:tab w:leader="none" w:pos="1018" w:val="left"/>
        </w:tabs>
        <w:numPr>
          <w:ilvl w:val="1"/>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prepare the Prospectus in a form approved by the Representatives and to file such Prospectus pursuant to Rule 424(b) under the Act not later than the Commission’s close of business on the second business day following the date of this Agreement or such earlier time as may be required under the Act; to make no further amendment or any supplement to the Registration Statement, the Basic Prospectus or the Prospectus prior to the last Time of Delivery, which shall be disapproved by the Representatives promptly after reasonable notice thereof; to advise the Representatives, promptly after it receives notice thereof, of the time when any amendment to the Registration Statement has been filed or becomes effective or any amendment or supplement to the Prospectus has been filed and to furnish the Representatives with copies thereof; to file promptly all material required to be filed by the Company with the Commission pursuant to Rule 433(d) under the Act; within the time required by such Rule; to file promptly all reports and any definitive proxy or information statements required to be filed by the Company with the Commission pursuant to Section 13(a), 13(c), 14 or 15(d) of the Exchange Act subsequent to the date of the Prospectus and for so long as the delivery of a prospectus (or in lieu thereof, the notice referred to in Rule 173(a) under the Act) is required in connection with the offering or sale of the Offered Securities; to advise the Representatives, promptly after it receives notice thereof, of the issuance by the Commission of any stop order or of any order preventing or suspending the use of any Preliminary Prospectus or other prospectus in respect of the Offered Securities, of the suspension of the qualification of the Offered Securities for offering or sale in any jurisdiction, of the initiation or threatening of any proceeding for any such purpose, or of any request by the Commission for the amending or supplementing of the Registration Statement or the Prospectus or for additional information; and, in the event of the issuance of any stop order or of any order preventing or suspending the use of any Preliminary Prospectus or other prospectus relating to the Offered Securities or suspending any such qualification, to promptly use its best efforts to obtain the withdrawal of such order;</w:t>
      </w:r>
    </w:p>
    <w:p>
      <w:pPr>
        <w:spacing w:after="0" w:line="186" w:lineRule="exact"/>
        <w:rPr>
          <w:rFonts w:ascii="Times New Roman" w:cs="Times New Roman" w:eastAsia="Times New Roman" w:hAnsi="Times New Roman"/>
          <w:sz w:val="19"/>
          <w:szCs w:val="19"/>
          <w:color w:val="auto"/>
        </w:rPr>
      </w:pPr>
    </w:p>
    <w:p>
      <w:pPr>
        <w:jc w:val="both"/>
        <w:ind w:firstLine="757"/>
        <w:spacing w:after="0" w:line="254" w:lineRule="auto"/>
        <w:tabs>
          <w:tab w:leader="none" w:pos="1018" w:val="left"/>
        </w:tabs>
        <w:numPr>
          <w:ilvl w:val="1"/>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from time to time to take such action as the Representatives may reasonably request to qualify the Offered Securities for offering and sale under the securities laws of such jurisdictions as the Representatives may request and to use reasonable best efforts to comply with such laws so as to</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750570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8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permit the continuance of sales and dealings therein in such jurisdictions for as long as may be necessary to complete the distribution of the Offered Securities, provided that in connection therewith the Company shall not be required to qualify as a foreign corporation or to file a general consent to service of process in any jurisdiction or subject itself to taxation in any jurisdiction in which it is not otherwise subject to taxation as of the date hereof;</w:t>
      </w:r>
    </w:p>
    <w:p>
      <w:pPr>
        <w:spacing w:after="0" w:line="180" w:lineRule="exact"/>
        <w:rPr>
          <w:sz w:val="20"/>
          <w:szCs w:val="20"/>
          <w:color w:val="auto"/>
        </w:rPr>
      </w:pPr>
    </w:p>
    <w:p>
      <w:pPr>
        <w:ind w:left="1020" w:hanging="263"/>
        <w:spacing w:after="0"/>
        <w:tabs>
          <w:tab w:leader="none" w:pos="10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jc w:val="both"/>
        <w:ind w:firstLine="757"/>
        <w:spacing w:after="0" w:line="241" w:lineRule="auto"/>
        <w:tabs>
          <w:tab w:leader="none" w:pos="1018"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Prior to 10:00 a.m., New York City time, on the New York Business Day next succeeding the date of this Agreement and from time to time, to furnish the Underwriters with written and electronic copies of the Prospectus in New York City in such quantities as the Representatives may reasonably request, and, if the delivery of a prospectus (or in lieu thereof, the notice referred to in Rule 173(a) under the Act) is required at any time prior to the expiration of nine months after the time of issue of the Prospectus in connection with the offering or sale of the Offered Securities and if at such time any event shall have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(or in lieu thereof, the notice referred to in Rule 173(a) under the Act) is delivered, not misleading, or, if for any other reason it shall be necessary during such same period to amend or supplement the Prospectus or to file under the Exchange Act any document incorporated by reference in the Prospectus in order to comply with the Act or the Exchange Act, to notify the Representatives and upon the Representatives’ request to file such document and to prepare and furnish without charge to each Underwriter and to any dealer in securities as many written and electronic copies as the Representatives may from time to time reasonably request of an amended Prospectus or a supplement to the Prospectus which will correct such statement or omission or effect such compliance; and in case any Underwriter is required to deliver a prospectus (or in lieu thereof, the notice referred to in Rule 173(a) under the Act) in connection with sales of any of the Offered Securities at any time nine months or more after the time of issue of the Prospectus, upon the Representatives’ request but at the expense of such Underwriter, to prepare and deliver to such Underwriter as many written and electronic copies as the Representatives may request of an amended or supplemented Prospectus complying with Section 10(a)(3) of the Act;</w:t>
      </w:r>
    </w:p>
    <w:p>
      <w:pPr>
        <w:spacing w:after="0" w:line="191" w:lineRule="exact"/>
        <w:rPr>
          <w:rFonts w:ascii="Times New Roman" w:cs="Times New Roman" w:eastAsia="Times New Roman" w:hAnsi="Times New Roman"/>
          <w:sz w:val="20"/>
          <w:szCs w:val="20"/>
          <w:color w:val="auto"/>
        </w:rPr>
      </w:pPr>
    </w:p>
    <w:p>
      <w:pPr>
        <w:jc w:val="both"/>
        <w:ind w:firstLine="757"/>
        <w:spacing w:after="0" w:line="246" w:lineRule="auto"/>
        <w:tabs>
          <w:tab w:leader="none" w:pos="1018"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make generally available to its security holders as soon as practicable (which may be satisfied by filing with the Commission’s Electronic Data Gathering, Analysis and Retrieval System or any successor thereto), but in any event not later than sixteen months after the effective date of the Registration Statement (as defined in Rule 158(c) under the Act), an earnings statement of the Company and its subsidiary (which need not be audited) complying with Section 11(a) of the Act and the rules and regulations of the Commission thereunder (including, at the option of the Company, Rule 158);</w:t>
      </w:r>
    </w:p>
    <w:p>
      <w:pPr>
        <w:spacing w:after="0" w:line="184" w:lineRule="exact"/>
        <w:rPr>
          <w:rFonts w:ascii="Times New Roman" w:cs="Times New Roman" w:eastAsia="Times New Roman" w:hAnsi="Times New Roman"/>
          <w:sz w:val="20"/>
          <w:szCs w:val="20"/>
          <w:color w:val="auto"/>
        </w:rPr>
      </w:pPr>
    </w:p>
    <w:p>
      <w:pPr>
        <w:jc w:val="both"/>
        <w:ind w:firstLine="757"/>
        <w:spacing w:after="0" w:line="242" w:lineRule="auto"/>
        <w:tabs>
          <w:tab w:leader="none" w:pos="1018"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period beginning from the date hereof and continuing to and including the date 60 days after the date of the Prospectus, not to (i) offer, sell, contract to sell, pledge, grant any option to purchase, make any short sale or otherwise transfer or dispose of, directly or indirectly, or file with the Commission a registration statement under the Act relating to, any securities of the Company that are substantially similar to the Offered Securities, including but not limited to any options or warrants to purchase shares of Common Stock or any securities that are convertible into or exchangeable for, or that represent the right to receive, Common Stock or any such substantially similar securities, or publicly disclose the intention to make any offer, sale, pledge, disposition or filing or (ii) enter into any swap or other agreement that transfers, in whole or in part, any of the economic consequences of ownership of the Common Stock or any such other securities, whether any such transaction described in clause (i) or (ii) above is to be settled by delivery of Common Stock or such other securities, in cash or otherwise, without the Representatives’ prior written consent; provided, however, that the restrictions in the foregoing sentence shall not apply to (a) the Offered Securities to be sold hereunder; (b) Shares or any securities (including</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750570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8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without limitation options, restricted stock or restricted stock units) convertible into, or exercisable for, shares of Common Stock pursuant to any employee stock option plan, incentive plan, stock plan, dividend reinvestment plan or otherwise in equity compensation arrangements in place as of the Applicable Time and as described in the Pricing Disclosure Package; (c) the grant of awards pursuant to employee equity-based compensation plans, incentive plans, stock plans, or other arrangements in place as of the Applicable Time and as described in the Pricing Disclosure Package; (d) the filing of a registration statement on Form S-8 in connection with the registration of Shares issuable under any employee equity-based compensation plan, incentive plan, stock plan, dividend reinvestment plan adopted and approved by the Company’s board of directors prior to the Applicable Time and as described in the Pricing Disclosure Package; and (e) the issuance of up to 5% of the outstanding shares of Common Stock immediately after the closing of the Offered Securities as contemplated hereunder in connection with the bona fide acquisition, strategic investment, licensing, commercialization, joint venture, technology transfer or development collaboration agreement with an unaffiliated third party; provided that each recipient of any Shares issued or sold pursuant to clause (b), (c) or (e) above executes and delivers to the Representatives prior to such issuance or sale (as the case may be) an agreement having substantially the same terms as the lock-up letters described in Section 8(l) of this Agreement;</w:t>
      </w:r>
    </w:p>
    <w:p>
      <w:pPr>
        <w:spacing w:after="0" w:line="187" w:lineRule="exact"/>
        <w:rPr>
          <w:sz w:val="20"/>
          <w:szCs w:val="20"/>
          <w:color w:val="auto"/>
        </w:rPr>
      </w:pPr>
    </w:p>
    <w:p>
      <w:pPr>
        <w:jc w:val="both"/>
        <w:ind w:firstLine="757"/>
        <w:spacing w:after="0" w:line="249" w:lineRule="auto"/>
        <w:tabs>
          <w:tab w:leader="none" w:pos="1018" w:val="left"/>
        </w:tabs>
        <w:numPr>
          <w:ilvl w:val="1"/>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Company elects to rely upon Rule 462(b), the Company shall file a Rule 462(b) Registration Statement with the Commission in compliance with Rule 462(b) by 10:00 p.m., Washington, D.C. time, on the date of this Agreement, and the Company shall at the time of filing either pay the Commission the filing fee for the Rule 462(b) Registration Statement or give irrevocable instructions for the payment of such fee pursuant to Rule 111(b) under the Act;</w:t>
      </w:r>
    </w:p>
    <w:p>
      <w:pPr>
        <w:spacing w:after="0" w:line="179" w:lineRule="exact"/>
        <w:rPr>
          <w:rFonts w:ascii="Times New Roman" w:cs="Times New Roman" w:eastAsia="Times New Roman" w:hAnsi="Times New Roman"/>
          <w:sz w:val="20"/>
          <w:szCs w:val="20"/>
          <w:color w:val="auto"/>
        </w:rPr>
      </w:pPr>
    </w:p>
    <w:p>
      <w:pPr>
        <w:jc w:val="both"/>
        <w:ind w:firstLine="757"/>
        <w:spacing w:after="0" w:line="249" w:lineRule="auto"/>
        <w:tabs>
          <w:tab w:leader="none" w:pos="1018" w:val="left"/>
        </w:tabs>
        <w:numPr>
          <w:ilvl w:val="1"/>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reasonable request of any Underwriter, to furnish, or cause to be furnished, to such Underwriter an electronic version of the Company’s trademarks, servicemarks and corporate logo for use on the website, if any, operated by such Underwriter for the purpose of facilitating the on-line offering of the Offered Securities (the “License”); provided, however, that the License shall be used solely for the purpose described above, is granted without any fee and may not be assigned or transferred;</w:t>
      </w:r>
    </w:p>
    <w:p>
      <w:pPr>
        <w:spacing w:after="0" w:line="179" w:lineRule="exact"/>
        <w:rPr>
          <w:rFonts w:ascii="Times New Roman" w:cs="Times New Roman" w:eastAsia="Times New Roman" w:hAnsi="Times New Roman"/>
          <w:sz w:val="20"/>
          <w:szCs w:val="20"/>
          <w:color w:val="auto"/>
        </w:rPr>
      </w:pPr>
    </w:p>
    <w:p>
      <w:pPr>
        <w:ind w:right="20" w:firstLine="757"/>
        <w:spacing w:after="0" w:line="269" w:lineRule="auto"/>
        <w:tabs>
          <w:tab w:leader="none" w:pos="1018" w:val="left"/>
        </w:tabs>
        <w:numPr>
          <w:ilvl w:val="1"/>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use the net proceeds received by it from the sale of the Offered Securities in the manner specified in the Pricing Prospectus under the caption “Use of Proceeds”;</w:t>
      </w:r>
    </w:p>
    <w:p>
      <w:pPr>
        <w:spacing w:after="0" w:line="159"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1"/>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use its best efforts to list, subject to notice of issuance, the Shares and Warrant Shares on the Exchange;</w:t>
      </w:r>
    </w:p>
    <w:p>
      <w:pPr>
        <w:spacing w:after="0" w:line="215" w:lineRule="exact"/>
        <w:rPr>
          <w:rFonts w:ascii="Times New Roman" w:cs="Times New Roman" w:eastAsia="Times New Roman" w:hAnsi="Times New Roman"/>
          <w:sz w:val="20"/>
          <w:szCs w:val="20"/>
          <w:color w:val="auto"/>
        </w:rPr>
      </w:pPr>
    </w:p>
    <w:p>
      <w:pPr>
        <w:jc w:val="both"/>
        <w:ind w:firstLine="757"/>
        <w:spacing w:after="0" w:line="249" w:lineRule="auto"/>
        <w:tabs>
          <w:tab w:leader="none" w:pos="1018" w:val="left"/>
        </w:tabs>
        <w:numPr>
          <w:ilvl w:val="1"/>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all times while any Pre-Funded Warrants are outstanding, to use its commercially reasonable efforts to maintain a registration statement covering the issue and sale of the Warrant Shares issuable upon exercise of the Pre-Funded Warrants such that the Warrant Shares, when issued, will not be subject to resale restrictions under the Securities Act except to the extent that the Warrant Shares are owned by affiliates; and</w:t>
      </w:r>
    </w:p>
    <w:p>
      <w:pPr>
        <w:spacing w:after="0" w:line="179" w:lineRule="exact"/>
        <w:rPr>
          <w:rFonts w:ascii="Times New Roman" w:cs="Times New Roman" w:eastAsia="Times New Roman" w:hAnsi="Times New Roman"/>
          <w:sz w:val="20"/>
          <w:szCs w:val="20"/>
          <w:color w:val="auto"/>
        </w:rPr>
      </w:pPr>
    </w:p>
    <w:p>
      <w:pPr>
        <w:jc w:val="both"/>
        <w:ind w:firstLine="757"/>
        <w:spacing w:after="0" w:line="249" w:lineRule="auto"/>
        <w:tabs>
          <w:tab w:leader="none" w:pos="1018" w:val="left"/>
        </w:tabs>
        <w:numPr>
          <w:ilvl w:val="1"/>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all times while any Pre-Funded Warrants are outstanding, to reserve and keep available out of the aggregate of its authorized but unissued and otherwise unreserved shares of Common Stock, solely for the purpose of enabling it to issue the Warrant Shares upon exercise of such Pre-Funded Warrants, the number of the Warrant Shares that are initially issuable and deliverable upon the exercise of the then-outstanding Pre-Funded Warrants.</w:t>
      </w:r>
    </w:p>
    <w:p>
      <w:pPr>
        <w:spacing w:after="0" w:line="179" w:lineRule="exact"/>
        <w:rPr>
          <w:rFonts w:ascii="Times New Roman" w:cs="Times New Roman" w:eastAsia="Times New Roman" w:hAnsi="Times New Roman"/>
          <w:sz w:val="20"/>
          <w:szCs w:val="20"/>
          <w:color w:val="auto"/>
        </w:rPr>
      </w:pPr>
    </w:p>
    <w:p>
      <w:pPr>
        <w:jc w:val="both"/>
        <w:ind w:firstLine="8"/>
        <w:spacing w:after="0" w:line="249" w:lineRule="auto"/>
        <w:tabs>
          <w:tab w:leader="none" w:pos="509"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The Company represents and agrees that, without the prior consent of the Representatives, it has not made and will not make any offer relating to the Securities that would constitute a “free writing prospectus” as defined in Rule 405 under the Act; each Underwriter represents and agrees that, without the prior consent of the Company and the Representatives, it has not made and will not make any offer relating</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750570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81" w:lineRule="exact"/>
        <w:rPr>
          <w:sz w:val="20"/>
          <w:szCs w:val="20"/>
          <w:color w:val="auto"/>
        </w:rPr>
      </w:pPr>
    </w:p>
    <w:p>
      <w:pPr>
        <w:ind w:right="20" w:firstLine="509"/>
        <w:spacing w:after="0" w:line="269" w:lineRule="auto"/>
        <w:rPr>
          <w:sz w:val="20"/>
          <w:szCs w:val="20"/>
          <w:color w:val="auto"/>
        </w:rPr>
      </w:pPr>
      <w:r>
        <w:rPr>
          <w:rFonts w:ascii="Times New Roman" w:cs="Times New Roman" w:eastAsia="Times New Roman" w:hAnsi="Times New Roman"/>
          <w:sz w:val="20"/>
          <w:szCs w:val="20"/>
          <w:color w:val="auto"/>
        </w:rPr>
        <w:t>to the Securities that would constitute a free writing prospectus required to be filed with the Commission; any such free writing prospectus the use of which has been consented to by the Company and the Representatives is listed on Schedule II(a) hereto;</w:t>
      </w:r>
    </w:p>
    <w:p>
      <w:pPr>
        <w:spacing w:after="0" w:line="159" w:lineRule="exact"/>
        <w:rPr>
          <w:sz w:val="20"/>
          <w:szCs w:val="20"/>
          <w:color w:val="auto"/>
        </w:rPr>
      </w:pPr>
    </w:p>
    <w:p>
      <w:pPr>
        <w:ind w:right="20" w:firstLine="757"/>
        <w:spacing w:after="0" w:line="269" w:lineRule="auto"/>
        <w:tabs>
          <w:tab w:leader="none" w:pos="1018"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has complied and will comply with the requirements of Rule 433 under the Act applicable to any Issuer Free Writing Prospectus, including timely filing with the Commission or retention where required and legending;</w:t>
      </w:r>
    </w:p>
    <w:p>
      <w:pPr>
        <w:spacing w:after="0" w:line="159" w:lineRule="exact"/>
        <w:rPr>
          <w:rFonts w:ascii="Times New Roman" w:cs="Times New Roman" w:eastAsia="Times New Roman" w:hAnsi="Times New Roman"/>
          <w:sz w:val="20"/>
          <w:szCs w:val="20"/>
          <w:color w:val="auto"/>
        </w:rPr>
      </w:pPr>
    </w:p>
    <w:p>
      <w:pPr>
        <w:jc w:val="both"/>
        <w:ind w:firstLine="757"/>
        <w:spacing w:after="0" w:line="243" w:lineRule="auto"/>
        <w:tabs>
          <w:tab w:leader="none" w:pos="1018"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agrees that if at any time following issuance of an Issuer Free Writing Prospectus or Written Testing-the-Waters Communication any event occurred or occurs as a result of which such Issuer Free Writing Prospectus or Written Testing-the-Waters Communication would conflict with the information in the Registration Statement, the Pricing Prospectus or the Prospectus or would include an untrue statement of a material fact or omit to state any material fact necessary in order to make the statements therein, in the light of the circumstances then prevailing, not misleading, the Company will give prompt notice thereof to the Representatives and, if requested by the Representatives, will prepare and furnish without charge to each Underwriter an Issuer Free Writing Prospectus, Written Testing-the-Waters Communication or other document which will correct such conflict, statement or omission; provided, however, that this representation and warranty shall not apply to any statements or omissions in an Issuer Free Writing Prospectus made in reliance upon and in conformity with the Underwriter Information;</w:t>
      </w:r>
    </w:p>
    <w:p>
      <w:pPr>
        <w:spacing w:after="0" w:line="185" w:lineRule="exact"/>
        <w:rPr>
          <w:rFonts w:ascii="Times New Roman" w:cs="Times New Roman" w:eastAsia="Times New Roman" w:hAnsi="Times New Roman"/>
          <w:sz w:val="20"/>
          <w:szCs w:val="20"/>
          <w:color w:val="auto"/>
        </w:rPr>
      </w:pPr>
    </w:p>
    <w:p>
      <w:pPr>
        <w:jc w:val="both"/>
        <w:ind w:firstLine="757"/>
        <w:spacing w:after="0" w:line="244" w:lineRule="auto"/>
        <w:tabs>
          <w:tab w:leader="none" w:pos="1018"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represents and agrees that (i) it has not engaged in, or authorized any other person to engage in, any Testing-the-Waters Communications, other than Testing-the-Waters Communications, if any, with the prior consent of the Representatives with entities that the Company reasonably believes are qualified institutional buyers as defined in Rule 144A under the Act or institutions that are accredited investors as defined Rule 501(a)(1), (a)(2), (a)(3), (a)(7) or (a)(8) under the Act; and (ii) it has not distributed, or authorized any other person to distribute, any Written Testing-the-Waters Communications, other than those distributed with the prior consent of the Representatives that are listed on Schedule II(d) hereto; and the Company reconfirms that the Underwriters have been authorized to act on its behalf in engaging in Testing-the-Waters Communications; and</w:t>
      </w:r>
    </w:p>
    <w:p>
      <w:pPr>
        <w:spacing w:after="0" w:line="185" w:lineRule="exact"/>
        <w:rPr>
          <w:rFonts w:ascii="Times New Roman" w:cs="Times New Roman" w:eastAsia="Times New Roman" w:hAnsi="Times New Roman"/>
          <w:sz w:val="20"/>
          <w:szCs w:val="20"/>
          <w:color w:val="auto"/>
        </w:rPr>
      </w:pPr>
    </w:p>
    <w:p>
      <w:pPr>
        <w:jc w:val="both"/>
        <w:ind w:right="20" w:firstLine="757"/>
        <w:spacing w:after="0" w:line="254" w:lineRule="auto"/>
        <w:tabs>
          <w:tab w:leader="none" w:pos="1018"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Underwriter represents and agrees that any Written Testing-the-Waters Communications undertaken by it were with entities that are qualified institutional buyers as defined in Rule 144A under the Act or institutions that are accredited investors as defined in Rule 501(a)(1), (a)(2), (a) (3), (a)(7) or (a)(8) under the Act.</w:t>
      </w:r>
    </w:p>
    <w:p>
      <w:pPr>
        <w:spacing w:after="0" w:line="174" w:lineRule="exact"/>
        <w:rPr>
          <w:rFonts w:ascii="Times New Roman" w:cs="Times New Roman" w:eastAsia="Times New Roman" w:hAnsi="Times New Roman"/>
          <w:sz w:val="20"/>
          <w:szCs w:val="20"/>
          <w:color w:val="auto"/>
        </w:rPr>
      </w:pPr>
    </w:p>
    <w:p>
      <w:pPr>
        <w:jc w:val="both"/>
        <w:ind w:firstLine="8"/>
        <w:spacing w:after="0" w:line="256" w:lineRule="auto"/>
        <w:tabs>
          <w:tab w:leader="none" w:pos="509" w:val="left"/>
        </w:tabs>
        <w:numPr>
          <w:ilvl w:val="0"/>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covenants and agrees with the several Underwriters that the Company will pay or cause to be paid the following: (i) the fees, disbursements and expenses of the Company’s counsel and accountants in connection with the registration of the Offered Securities under the Act and all other expenses in connection with the preparation, printing, reproduction and filing of the Registration Statement, the Basic Prospectus, any Preliminary Prospectus, any Written Testing-the-Waters Communication, any Issuer Free Writing Prospectus and the Prospectus and amendments and supplements thereto and the mailing and delivering of copies thereof to the Underwriters and dealers; (ii) the cost of printing or producing any Agreement among Underwriters, this Agreement, any Blue Sky Memorandum, closing documents (including any compilations thereof) and any other documents in connection with the offering, purchase, sale and delivery of the Offered Securities; (iii) all expenses in connection with the qualification of the Offered Securities for offering and sale under state securities laws as provided in Section 5(b) hereof, including the fees and disbursements of counsel for the Underwriters in connection with such qualification and in connection with the Blue Sky survey(s); (iv) any filing fees incident to, and the fees and disbursements of counsel for the Underwriters in connection with, any required reviews by FINRA of the terms of the sale of the Offered Securities; (v) the cost of preparing certificates for the Offered Securities; (vi) the cost and charges of any transfer agent or registrar; (vii) all fees and expenses in connection with</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750570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8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9"/>
          <w:szCs w:val="19"/>
          <w:color w:val="auto"/>
        </w:rPr>
        <w:t>listing the Shares and Warrant Shares on the Exchange; and (viii) all other costs and expenses incident to the performance of its obligations hereunder which are not otherwise specifically provided for in this Section. It is understood, however, that, except as provided in this Section, and Sections 9 and 12 hereof, the Underwriters will pay all of their own costs and expenses, including the fees of their counsel, transfer taxes on resale of any of the Offered Securities by them, and any advertising expenses connected with any offers they may make.</w:t>
      </w:r>
    </w:p>
    <w:p>
      <w:pPr>
        <w:spacing w:after="0" w:line="165" w:lineRule="exact"/>
        <w:rPr>
          <w:sz w:val="20"/>
          <w:szCs w:val="20"/>
          <w:color w:val="auto"/>
        </w:rPr>
      </w:pPr>
    </w:p>
    <w:p>
      <w:pPr>
        <w:jc w:val="both"/>
        <w:ind w:firstLine="8"/>
        <w:spacing w:after="0" w:line="249" w:lineRule="auto"/>
        <w:tabs>
          <w:tab w:leader="none" w:pos="509"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obligations of the Underwriters hereunder, as to the Offered Securities to be delivered at each Time of Delivery, shall be subject, in their discretion, to the condition that all representations and warranties and other statements of the Company herein are, at and as of the Applicable Time and such Time of Delivery, true and correct, the condition that the Company shall have performed all of its obligations hereunder theretofore to be performed, and the following additional conditions:</w:t>
      </w:r>
    </w:p>
    <w:p>
      <w:pPr>
        <w:spacing w:after="0" w:line="179" w:lineRule="exact"/>
        <w:rPr>
          <w:rFonts w:ascii="Times New Roman" w:cs="Times New Roman" w:eastAsia="Times New Roman" w:hAnsi="Times New Roman"/>
          <w:sz w:val="20"/>
          <w:szCs w:val="20"/>
          <w:color w:val="auto"/>
        </w:rPr>
      </w:pPr>
    </w:p>
    <w:p>
      <w:pPr>
        <w:jc w:val="both"/>
        <w:ind w:firstLine="757"/>
        <w:spacing w:after="0" w:line="242" w:lineRule="auto"/>
        <w:tabs>
          <w:tab w:leader="none" w:pos="1018"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Prospectus shall have been filed with the Commission pursuant to Rule 424(b) under the Act within the applicable time period prescribed for such filing by the rules and regulations under the Act and in accordance with Section 5(a) hereof; all material required to be filed by the Company pursuant to Rule 433(d) under the Act shall have been filed with the Commission within the applicable time period prescribed for such filings by Rule 433; if the Company has elected to rely upon Rule 462(b) under the Act, the Rule 462(b) Registration Statement shall have become effective by 10:00 p.m., Washington, D.C. time, on the date of this Agreement; no stop order suspending the effectiveness of the Registration Statement or any part thereof shall have been issued and no proceeding for that purpose or pursuant to Section 8A of the Act shall have been initiated or threatened by the Commission; no stop order suspending or preventing the use of the Pricing Prospectus, Prospectus or any Issuer Free Writing Prospectus shall have been initiated or threatened by the Commission; and all requests for additional information on the part of the Commission shall have been complied with to the Representatives’ reasonable satisfaction;</w:t>
      </w:r>
    </w:p>
    <w:p>
      <w:pPr>
        <w:spacing w:after="0" w:line="192" w:lineRule="exact"/>
        <w:rPr>
          <w:rFonts w:ascii="Times New Roman" w:cs="Times New Roman" w:eastAsia="Times New Roman" w:hAnsi="Times New Roman"/>
          <w:sz w:val="20"/>
          <w:szCs w:val="20"/>
          <w:color w:val="auto"/>
        </w:rPr>
      </w:pPr>
    </w:p>
    <w:p>
      <w:pPr>
        <w:jc w:val="both"/>
        <w:ind w:firstLine="757"/>
        <w:spacing w:after="0" w:line="254" w:lineRule="auto"/>
        <w:tabs>
          <w:tab w:leader="none" w:pos="1018"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Mintz, Levin, Cohn, Ferris, Glovsky and Popeo, P.C., counsel for the Underwriters, shall have furnished to the Representatives such written opinion and negative assurance letter, dated such Time of Delivery, in form and substance satisfactory to the Representatives, and such counsel shall have received such papers and information as they may reasonably request to enable them to pass upon such matters;</w:t>
      </w:r>
    </w:p>
    <w:p>
      <w:pPr>
        <w:spacing w:after="0" w:line="174" w:lineRule="exact"/>
        <w:rPr>
          <w:rFonts w:ascii="Times New Roman" w:cs="Times New Roman" w:eastAsia="Times New Roman" w:hAnsi="Times New Roman"/>
          <w:sz w:val="20"/>
          <w:szCs w:val="20"/>
          <w:color w:val="auto"/>
        </w:rPr>
      </w:pPr>
    </w:p>
    <w:p>
      <w:pPr>
        <w:ind w:firstLine="757"/>
        <w:spacing w:after="0" w:line="269" w:lineRule="auto"/>
        <w:tabs>
          <w:tab w:leader="none" w:pos="1018"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Goodwin Procter LLP, counsel for the Company, shall have furnished to the Representatives their written opinion and negative assurance letter, dated such Time of Delivery, in form and substance satisfactory to the Representatives;</w:t>
      </w:r>
    </w:p>
    <w:p>
      <w:pPr>
        <w:spacing w:after="0" w:line="159" w:lineRule="exact"/>
        <w:rPr>
          <w:rFonts w:ascii="Times New Roman" w:cs="Times New Roman" w:eastAsia="Times New Roman" w:hAnsi="Times New Roman"/>
          <w:sz w:val="20"/>
          <w:szCs w:val="20"/>
          <w:color w:val="auto"/>
        </w:rPr>
      </w:pPr>
    </w:p>
    <w:p>
      <w:pPr>
        <w:ind w:firstLine="757"/>
        <w:spacing w:after="0" w:line="269" w:lineRule="auto"/>
        <w:tabs>
          <w:tab w:leader="none" w:pos="1018"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Goodwin Procter LLP, intellectual property counsel for the Company, shall have furnished to the Representatives their written opinion, dated such Time of Delivery, in form and substance satisfactory to the Representatives;</w:t>
      </w:r>
    </w:p>
    <w:p>
      <w:pPr>
        <w:spacing w:after="0" w:line="159" w:lineRule="exact"/>
        <w:rPr>
          <w:rFonts w:ascii="Times New Roman" w:cs="Times New Roman" w:eastAsia="Times New Roman" w:hAnsi="Times New Roman"/>
          <w:sz w:val="20"/>
          <w:szCs w:val="20"/>
          <w:color w:val="auto"/>
        </w:rPr>
      </w:pPr>
    </w:p>
    <w:p>
      <w:pPr>
        <w:jc w:val="both"/>
        <w:ind w:firstLine="757"/>
        <w:spacing w:after="0" w:line="249" w:lineRule="auto"/>
        <w:tabs>
          <w:tab w:leader="none" w:pos="1018"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the date of the Prospectus at a time prior to the execution of this Agreement, at 9:30 a.m., New York City time, on the effective date of any post-effective amendment to the Registration Statement filed subsequent to the date of this Agreement and also at each Time of Delivery, Ernst &amp; Young LLP shall have furnished to the Representatives a letter or letters, dated the respective dates of delivery thereof, in form and substance satisfactory to the Representatives;</w:t>
      </w:r>
    </w:p>
    <w:p>
      <w:pPr>
        <w:spacing w:after="0" w:line="179" w:lineRule="exact"/>
        <w:rPr>
          <w:rFonts w:ascii="Times New Roman" w:cs="Times New Roman" w:eastAsia="Times New Roman" w:hAnsi="Times New Roman"/>
          <w:sz w:val="20"/>
          <w:szCs w:val="20"/>
          <w:color w:val="auto"/>
        </w:rPr>
      </w:pPr>
    </w:p>
    <w:p>
      <w:pPr>
        <w:jc w:val="both"/>
        <w:ind w:firstLine="757"/>
        <w:spacing w:after="0" w:line="254" w:lineRule="auto"/>
        <w:tabs>
          <w:tab w:leader="none" w:pos="1018"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the date of the Prospectus at a time prior to the execution of this Agreement and also at each Time of Delivery, the Chief Financial Officer of the Company shall have furnished to the Representatives a certificate, dated the respective dates of delivery thereof, in form and substance satisfactory to the Representatives;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750570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81" w:lineRule="exact"/>
        <w:rPr>
          <w:sz w:val="20"/>
          <w:szCs w:val="20"/>
          <w:color w:val="auto"/>
        </w:rPr>
      </w:pPr>
    </w:p>
    <w:p>
      <w:pPr>
        <w:jc w:val="both"/>
        <w:ind w:firstLine="757"/>
        <w:spacing w:after="0" w:line="241" w:lineRule="auto"/>
        <w:tabs>
          <w:tab w:leader="none" w:pos="1018"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Neither the Company nor its subsidiary shall have sustained since the date of the latest audited financial statements included or incorporated by reference in the Pricing Prospectus any loss or interference with its business from fire, explosion, flood or other calamity, whether or not covered by insurance, or from any labor dispute or court or governmental action, order or decree, otherwise than as set forth or contemplated in the Pricing Prospectus, and (ii) since the respective dates as of which information is given in the Pricing Prospectus there shall not have been any change in the capital stock (other than as a result of the exercise of stock options or the award of stock options or other equity awards in the ordinary course of business pursuant to the Company’s equity plans that are described in the Pricing Prospectus) or long term debt of the Company or its subsidiary or any change or effect, or any development involving a prospective change or effect, in or affecting (x) the business, properties, general affairs, management, financial position, stockholders’ equity or results of operations of the Company and its subsidiary, taken as a whole, except as set forth or contemplated in the Pricing Prospectus, or (y) the ability of the Company to perform its obligations under this Agreement, including the issuance and sale of the Offered Securities, or to consummate the transactions contemplated in the Pricing Prospectus and the Prospectus, the effect of which, in any such case described in clause (i) or (ii), is in the Representatives’ judgment so material and adverse as to make it impracticable or inadvisable to proceed with the public offering or the delivery of the Offered Securities being delivered at such Time of Delivery on the terms and in the manner contemplated in the Pricing Prospectus and the Prospectus;</w:t>
      </w:r>
    </w:p>
    <w:p>
      <w:pPr>
        <w:spacing w:after="0" w:line="195" w:lineRule="exact"/>
        <w:rPr>
          <w:rFonts w:ascii="Times New Roman" w:cs="Times New Roman" w:eastAsia="Times New Roman" w:hAnsi="Times New Roman"/>
          <w:sz w:val="20"/>
          <w:szCs w:val="20"/>
          <w:color w:val="auto"/>
        </w:rPr>
      </w:pPr>
    </w:p>
    <w:p>
      <w:pPr>
        <w:jc w:val="both"/>
        <w:ind w:firstLine="757"/>
        <w:spacing w:after="0" w:line="243" w:lineRule="auto"/>
        <w:tabs>
          <w:tab w:leader="none" w:pos="1018"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or after the Applicable Time there shall not have occurred any of the following: (i) a suspension or material limitation in trading in securities generally on the New York Stock Exchange or on the Exchange; (ii) a suspension or material limitation in trading in the Company’s securities on the Exchange; (iii) a general moratorium on commercial banking activities declared by either Federal, Commonwealth of Massachusetts or New York State authorities or a material disruption in commercial banking or securities settlement or clearance services in the United States; (iv) the outbreak or escalation of hostilities involving the United States or the declaration by the United States of a national emergency or war; or (v) the occurrence of any other calamity or crisis or any change in financial, political or economic conditions in the United States or elsewhere; if the effect of any such event specified in clause (iv) or (v) in the Representatives’ judgment makes it impracticable or inadvisable to proceed with the public offering or the delivery of the Offered Securities being delivered at such Time of Delivery on the terms and in the manner contemplated in the Pricing Prospectus and the Prospectus;</w:t>
      </w:r>
    </w:p>
    <w:p>
      <w:pPr>
        <w:spacing w:after="0" w:line="185" w:lineRule="exact"/>
        <w:rPr>
          <w:rFonts w:ascii="Times New Roman" w:cs="Times New Roman" w:eastAsia="Times New Roman" w:hAnsi="Times New Roman"/>
          <w:sz w:val="20"/>
          <w:szCs w:val="20"/>
          <w:color w:val="auto"/>
        </w:rPr>
      </w:pPr>
    </w:p>
    <w:p>
      <w:pPr>
        <w:ind w:firstLine="757"/>
        <w:spacing w:after="0" w:line="269" w:lineRule="auto"/>
        <w:tabs>
          <w:tab w:leader="none" w:pos="1018"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Shares and Warrant Shares to be delivered upon exercise of the Pre-Funded Warrants at each Time of Delivery shall have been duly listed, subject to notice of issuance, on the Exchange;</w:t>
      </w:r>
    </w:p>
    <w:p>
      <w:pPr>
        <w:spacing w:after="0" w:line="159" w:lineRule="exact"/>
        <w:rPr>
          <w:rFonts w:ascii="Times New Roman" w:cs="Times New Roman" w:eastAsia="Times New Roman" w:hAnsi="Times New Roman"/>
          <w:sz w:val="20"/>
          <w:szCs w:val="20"/>
          <w:color w:val="auto"/>
        </w:rPr>
      </w:pPr>
    </w:p>
    <w:p>
      <w:pPr>
        <w:ind w:firstLine="757"/>
        <w:spacing w:after="0" w:line="269" w:lineRule="auto"/>
        <w:tabs>
          <w:tab w:leader="none" w:pos="1018"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have complied with the provisions of Section 5(c) hereof with respect to the furnishing of prospectuses on the New York Business Day next succeeding the date of this Agreement;</w:t>
      </w:r>
    </w:p>
    <w:p>
      <w:pPr>
        <w:spacing w:after="0" w:line="159" w:lineRule="exact"/>
        <w:rPr>
          <w:rFonts w:ascii="Times New Roman" w:cs="Times New Roman" w:eastAsia="Times New Roman" w:hAnsi="Times New Roman"/>
          <w:sz w:val="20"/>
          <w:szCs w:val="20"/>
          <w:color w:val="auto"/>
        </w:rPr>
      </w:pPr>
    </w:p>
    <w:p>
      <w:pPr>
        <w:ind w:firstLine="757"/>
        <w:spacing w:after="0" w:line="269" w:lineRule="auto"/>
        <w:tabs>
          <w:tab w:leader="none" w:pos="1018"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Representatives shall have received a form of Pre-Funded Warrant in form and substance reasonably acceptable to the Representatives;</w:t>
      </w:r>
    </w:p>
    <w:p>
      <w:pPr>
        <w:spacing w:after="0" w:line="159" w:lineRule="exact"/>
        <w:rPr>
          <w:rFonts w:ascii="Times New Roman" w:cs="Times New Roman" w:eastAsia="Times New Roman" w:hAnsi="Times New Roman"/>
          <w:sz w:val="20"/>
          <w:szCs w:val="20"/>
          <w:color w:val="auto"/>
        </w:rPr>
      </w:pPr>
    </w:p>
    <w:p>
      <w:pPr>
        <w:jc w:val="both"/>
        <w:ind w:firstLine="757"/>
        <w:spacing w:after="0" w:line="246" w:lineRule="auto"/>
        <w:tabs>
          <w:tab w:leader="none" w:pos="1018"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have furnished or caused to be furnished to the Representatives at such Time of Delivery certificates of officers of the Company satisfactory to the Representatives as to the accuracy of the representations and warranties of the Company herein at and as of such Time of Delivery, as to the performance by the Company of all of its obligations hereunder to be performed at or prior to such Time of Delivery, as to the matters set forth in subsections (a) and (e) of this Section and as to such other matters as the Representatives may reasonably request; and</w:t>
      </w:r>
    </w:p>
    <w:p>
      <w:pPr>
        <w:spacing w:after="0" w:line="185"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(m)The Company shall have obtained and delivered to the Underwriters executed copies of an agreement from each executive officer and director of the Company listed on Schedule III hereto,</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750570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substantially to the effect set forth in Annex II hereto in form and substance satisfactory to the Representatives.</w:t>
      </w:r>
    </w:p>
    <w:p>
      <w:pPr>
        <w:spacing w:after="0" w:line="216" w:lineRule="exact"/>
        <w:rPr>
          <w:sz w:val="20"/>
          <w:szCs w:val="20"/>
          <w:color w:val="auto"/>
        </w:rPr>
      </w:pPr>
    </w:p>
    <w:p>
      <w:pPr>
        <w:jc w:val="both"/>
        <w:ind w:firstLine="8"/>
        <w:spacing w:after="0" w:line="241" w:lineRule="auto"/>
        <w:tabs>
          <w:tab w:leader="none" w:pos="509"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The Company will indemnify and hold harmless each Underwriter against any losses, claims, damages or liabilities, joint or several, to which such Underwriter may become subject, under the Act or otherwise, insofar as such losses, claims, damages or liabilities (or actions in respect thereof) arise out of or are based upon an untrue statement or alleged untrue statement of a material fact contained in the Registration Statement, the Basic Prospectus, any Preliminary Prospectus, the Pricing Prospectus or the Prospectus, or any amendment or supplement thereto, any Issuer Free Writing Prospectus, any “roadshow” as defined in Rule 433(h) under the Act (a “roadshow”), any “issuer information” filed or required to be filed pursuant to Rule 433(d) under the Act or any Testing-the-Waters Communication, or arise out of or are based upon the omission or alleged omission to state therein a material fact required to be stated therein or necessary to make the statements therein not misleading, and will reimburse each Underwriter for any legal or other expenses reasonably incurred by such Underwriter in connection with investigating or defending any such action or claim as such expenses are incurred; provided, however, that the Company shall not be liable in any such case to the extent that any such loss, claim, damage or liability arises out of or is based upon an untrue statement or alleged untrue statement or omission or alleged omission made in the Registration Statement, the Basic Prospectus, any Preliminary Prospectus, the Pricing Prospectus or the Prospectus, or any amendment or supplement thereto, or any Issuer Free Writing Prospectus or any Testing-the-Waters Communication, in reliance upon and in conformity with the Underwriter Information.</w:t>
      </w:r>
    </w:p>
    <w:p>
      <w:pPr>
        <w:spacing w:after="0" w:line="197" w:lineRule="exact"/>
        <w:rPr>
          <w:rFonts w:ascii="Times New Roman" w:cs="Times New Roman" w:eastAsia="Times New Roman" w:hAnsi="Times New Roman"/>
          <w:sz w:val="20"/>
          <w:szCs w:val="20"/>
          <w:color w:val="auto"/>
        </w:rPr>
      </w:pPr>
    </w:p>
    <w:p>
      <w:pPr>
        <w:jc w:val="both"/>
        <w:ind w:firstLine="757"/>
        <w:spacing w:after="0" w:line="241" w:lineRule="auto"/>
        <w:tabs>
          <w:tab w:leader="none" w:pos="1018" w:val="left"/>
        </w:tabs>
        <w:numPr>
          <w:ilvl w:val="1"/>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Underwriter, severally and not jointly, will indemnify and hold harmless the Company against any losses, claims, damages or liabilities to which the Company may become subject, under the Act or otherwise, insofar as such losses, claims, damages or liabilities (or actions in respect thereof) arise out of or are based upon an untrue statement or alleged untrue statement of a material fact contained in the Registration Statement, the Basic Prospectus, any Preliminary Prospectus, the Pricing Prospectus or the Prospectus, or any amendment or supplement thereto, or any Issuer Free Writing Prospectus, or any roadshow or any Testing-the-Waters Communication,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the Registration Statement, the Basic Prospectus, any Preliminary Prospectus, the Pricing Prospectus or the Prospectus, or any amendment or supplement thereto, or any Issuer Free Writing Prospectus, or any roadshow or any Testing-the-Waters Communication, in reliance upon and in conformity with the Underwriter Information; and will reimburse the Company for any legal or other expenses reasonably incurred by the Company in connection with investigating or defending any such action or claim as such expenses are incurred. As used in this Agreement with respect to an Underwriter and an applicable document, “Underwriter Information” shall mean the written information furnished to the Company by such Underwriter through the Representatives expressly for use therein; it being understood and agreed upon that the only such information furnished by any Underwriter consists of the following information in the Prospectus furnished on behalf of each Underwriter: the concession figure appearing in the third paragraph under the caption “Underwriting”, and the information contained in the paragraphs under the caption “Underwriting—Stabilization”.</w:t>
      </w:r>
    </w:p>
    <w:p>
      <w:pPr>
        <w:spacing w:after="0" w:line="193" w:lineRule="exact"/>
        <w:rPr>
          <w:rFonts w:ascii="Times New Roman" w:cs="Times New Roman" w:eastAsia="Times New Roman" w:hAnsi="Times New Roman"/>
          <w:sz w:val="20"/>
          <w:szCs w:val="20"/>
          <w:color w:val="auto"/>
        </w:rPr>
      </w:pPr>
    </w:p>
    <w:p>
      <w:pPr>
        <w:jc w:val="both"/>
        <w:ind w:firstLine="757"/>
        <w:spacing w:after="0" w:line="245" w:lineRule="auto"/>
        <w:tabs>
          <w:tab w:leader="none" w:pos="1018" w:val="left"/>
        </w:tabs>
        <w:numPr>
          <w:ilvl w:val="1"/>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after receipt by an indemnified party under subsection (a) or (b) above of notice of the commencement of any action, such indemnified party shall, if a claim in respect thereof is to be made against the indemnifying party under such subsection, notify the indemnifying party in writing of the commencement thereof; provided that the failure to notify the indemnifying party shall not relieve it from any liability that it may have under the preceding paragraphs of this Section 9 except to the extent that it has been materially prejudiced (through the forfeiture of substantive rights or defenses) by such failure; and provided further that the failure to notify the indemnifying party shall not relieve it from any liability that</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750570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8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it may have to an indemnified party otherwise than under the preceding paragraphs of this Section 9. In case any such action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counsel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shall not be liable to such indemnified party under such subsection for any legal expenses of other counsel or any other expenses, in each case subsequently incurred by such indemnified party, in connection with the defense thereof other than reasonable costs of investigation. No indemnifying party shall, without the written consent of the 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 or judgment (i) includes an unconditional release of the indemnified party from all liability arising out of such action or claim and (ii) does not include any statement as to or an admission of fault, culpability or a failure to act, by or on behalf of any indemnified party.</w:t>
      </w:r>
    </w:p>
    <w:p>
      <w:pPr>
        <w:spacing w:after="0" w:line="197" w:lineRule="exact"/>
        <w:rPr>
          <w:sz w:val="20"/>
          <w:szCs w:val="20"/>
          <w:color w:val="auto"/>
        </w:rPr>
      </w:pPr>
    </w:p>
    <w:p>
      <w:pPr>
        <w:jc w:val="both"/>
        <w:ind w:firstLine="757"/>
        <w:spacing w:after="0"/>
        <w:tabs>
          <w:tab w:leader="none" w:pos="1018"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indemnification provided for in this Section 9 is unavailable to or insufficient to hold harmless an indemnified party under subsection (a) or (b) above in respect 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 such proportion as is appropriate to reflect the relative benefits received by the Company on the one hand and the Underwriters on the other from the offering of the Offered Securities. If, however, the allocation provided by the immediately preceding sentence is not permitted by applicable law, then each indemnifying party shall contribute to such amount paid or payable by such indemnified party in such proportion as is appropriate to reflect not only such relative benefits but also the relative fault of the Company on the one hand and the Underwriters on the other in connection with the statements or omissions which resulted in such losses, claims, damages or liabilities (or actions in respect thereof), as well as any other relevant equitable considerations. The relative benefits received by the Company on the one hand and the Underwriters on the other shall be deemed to be in the same proportion as the total net proceeds from the offering (before deducting expenses) received by the Company bear to the total underwriting discounts and commissions received by the Underwriters, in each case as set forth in the table on the cover page of the Prospectus. The relative fault shall be determined by reference to, among other things, whether the untrue or alleged untrue statement of a material fact or the omission or alleged omission to state a material fact relates to information supplied by the Company on the one hand or the Underwriters on the other and the parties’ relative intent, knowledge, access to information and opportunity to correct or prevent such statement or omission. The Company and the Underwriters agree that it would not be just and equitable if contribution pursuant to this subsection (d) were determined </w:t>
      </w:r>
      <w:r>
        <w:rPr>
          <w:rFonts w:ascii="Times New Roman" w:cs="Times New Roman" w:eastAsia="Times New Roman" w:hAnsi="Times New Roman"/>
          <w:sz w:val="20"/>
          <w:szCs w:val="20"/>
          <w:i w:val="1"/>
          <w:iCs w:val="1"/>
          <w:color w:val="auto"/>
        </w:rPr>
        <w:t>by pro rata</w:t>
      </w:r>
      <w:r>
        <w:rPr>
          <w:rFonts w:ascii="Times New Roman" w:cs="Times New Roman" w:eastAsia="Times New Roman" w:hAnsi="Times New Roman"/>
          <w:sz w:val="20"/>
          <w:szCs w:val="20"/>
          <w:color w:val="auto"/>
        </w:rPr>
        <w:t xml:space="preserve"> allocation (even if the Underwriters were treated as one entity for such purpose) or by any other method of allocation which does not take account of the equitable considerations referred to above in this subsection (d). The amount paid or payable by an indemnified party as a result of the losses, claims, damages or liabilities (or actions in respect thereof) referred to above in this subsection (d) shall be deemed to include any legal or other expenses reasonably incurred by such indemnified party in connection with investigating or defending any such action or claim. Notwithstanding the provisions of this subsection (d), no Underwriter shall be required to contribute any amount in excess of the amount by which the total price at which the Offered Securities underwritten by it and distributed to the public ware offered to the public exceeds the amount of any damages which such Underwriter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The Underwriters’ obligations in this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750570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subsection (d) to contribute are several in proportion to their respective underwriting obligations and not joint.</w:t>
      </w:r>
    </w:p>
    <w:p>
      <w:pPr>
        <w:spacing w:after="0" w:line="216" w:lineRule="exact"/>
        <w:rPr>
          <w:sz w:val="20"/>
          <w:szCs w:val="20"/>
          <w:color w:val="auto"/>
        </w:rPr>
      </w:pPr>
    </w:p>
    <w:p>
      <w:pPr>
        <w:jc w:val="both"/>
        <w:ind w:firstLine="757"/>
        <w:spacing w:after="0" w:line="245" w:lineRule="auto"/>
        <w:tabs>
          <w:tab w:leader="none" w:pos="1018" w:val="left"/>
        </w:tabs>
        <w:numPr>
          <w:ilvl w:val="1"/>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obligations of the Company under this Section 9 shall be in addition to any liability which the Company may otherwise have and shall extend, upon the same terms and conditions, to each employee, officer and director of each Underwriter, each person, if any, who controls any Underwriter within the meaning of the Act and each broker-dealer or other affiliate of any Underwriter; and the obligations of the Underwriters under this Section 9 shall be in addition to any liability which the respective Underwriters may otherwise have and shall extend, upon the same terms and conditions, to each officer and director of the Company and to each person, if any, who controls the Company within the meaning of the Act.</w:t>
      </w:r>
    </w:p>
    <w:p>
      <w:pPr>
        <w:spacing w:after="0" w:line="184" w:lineRule="exact"/>
        <w:rPr>
          <w:rFonts w:ascii="Times New Roman" w:cs="Times New Roman" w:eastAsia="Times New Roman" w:hAnsi="Times New Roman"/>
          <w:sz w:val="20"/>
          <w:szCs w:val="20"/>
          <w:color w:val="auto"/>
        </w:rPr>
      </w:pPr>
    </w:p>
    <w:p>
      <w:pPr>
        <w:jc w:val="both"/>
        <w:ind w:firstLine="8"/>
        <w:spacing w:after="0" w:line="241" w:lineRule="auto"/>
        <w:tabs>
          <w:tab w:leader="none" w:pos="509"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If any Underwriter shall default in its obligation to purchase the Offered Securities which it has agreed to purchase hereunder at a Time of Delivery, the Representatives may in the Representatives’ discretion arrange for the Representatives or another party or other parties to purchase such Offered Securities on the terms contained herein. If within thirty-six hours after such default by any Underwriter the Representatives do not arrange for the purchase of such Offered Securities, then the Company shall be entitled to a further period of thirty-six hours within which to procure another party or other parties satisfactory to the Representatives to purchase such Offered Securities on such terms. In the event that, within the respective prescribed periods, the Representatives notify the Company that the Representatives have so arranged for the purchase of such Offered Securities, or the Company notifies the Representatives that it has so arranged for the purchase of such Offered Securities, the Representatives or the Company shall have the right to postpone such Time of Delivery for a period of not more than seven days, in order to effect whatever changes may thereby be made necessary in the Registration Statement or the Prospectus, or in any other documents or arrangements, and the Company agrees to file promptly any amendments or supplements to the Registration Statement or the Prospectus which in the Representatives’ opinion may thereby be made necessary. The term “Underwriter” as used in this Agreement shall include any person substituted under this Section with like effect as if such person had originally been a party to this Agreement with respect to such Offered Securities.</w:t>
      </w:r>
    </w:p>
    <w:p>
      <w:pPr>
        <w:spacing w:after="0" w:line="197" w:lineRule="exact"/>
        <w:rPr>
          <w:rFonts w:ascii="Times New Roman" w:cs="Times New Roman" w:eastAsia="Times New Roman" w:hAnsi="Times New Roman"/>
          <w:sz w:val="20"/>
          <w:szCs w:val="20"/>
          <w:color w:val="auto"/>
        </w:rPr>
      </w:pPr>
    </w:p>
    <w:p>
      <w:pPr>
        <w:jc w:val="both"/>
        <w:ind w:firstLine="757"/>
        <w:spacing w:after="0" w:line="243" w:lineRule="auto"/>
        <w:tabs>
          <w:tab w:leader="none" w:pos="1018"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after giving effect to any arrangements for the purchase of the Offered Securities of a defaulting Underwriter or Underwriters by the Representatives and the Company as provided in subsection (a) above, the aggregate number of such Shares which remains unpurchased does not exceed one-eleventh of the aggregate number of all the Shares to be purchased at such Time of Delivery, then the Company shall have the right to require each non-defaulting Underwriter to purchase the number of shares which such Underwriter agreed to purchase hereunder at such Time of Delivery and, in addition, to require each non-defaulting Underwriter to purchase its pro rata share (based on the number of Offered Securities which such Underwriter agreed to purchase hereunder) of the Offered Securities of such defaulting Underwriter or Underwriters for which such arrangements have not been made; but nothing herein shall relieve a defaulting Underwriter from liability for its default.</w:t>
      </w:r>
    </w:p>
    <w:p>
      <w:pPr>
        <w:spacing w:after="0" w:line="189" w:lineRule="exact"/>
        <w:rPr>
          <w:rFonts w:ascii="Times New Roman" w:cs="Times New Roman" w:eastAsia="Times New Roman" w:hAnsi="Times New Roman"/>
          <w:sz w:val="20"/>
          <w:szCs w:val="20"/>
          <w:color w:val="auto"/>
        </w:rPr>
      </w:pPr>
    </w:p>
    <w:p>
      <w:pPr>
        <w:jc w:val="both"/>
        <w:ind w:firstLine="757"/>
        <w:spacing w:after="0" w:line="244" w:lineRule="auto"/>
        <w:tabs>
          <w:tab w:leader="none" w:pos="1018"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after giving effect to any arrangements for the purchase of the Offered Securities of a defaulting Underwriter or Underwriters by the Representatives and the Company as provided in subsection (a) above, the aggregate number of such Offered Securities which remains unpurchased exceeds one-eleventh of the aggregate number of all the Offered Securities to be purchased at such Time of Delivery, or if the Company shall not exercise the right described in subsection (b) above to require non-defaulting Underwriters to purchase Shares of a defaulting Underwriter or Underwriters, then this Agreement (or, with respect to the Second Time of Delivery, the obligations of the Underwriters to purchase and of the Company to sell the Optional Shares) shall thereupon terminate, without liability on the part of any non-defaulting Underwriter or the Company, except for the expenses to be borne by the Company and the Underwriters as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750570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81"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provided in Section 7 hereof and the indemnity and contribution agreements in Section 9 hereof; but nothing herein shall relieve a defaulting Underwriter from liability for its default.</w:t>
      </w:r>
    </w:p>
    <w:p>
      <w:pPr>
        <w:spacing w:after="0" w:line="159" w:lineRule="exact"/>
        <w:rPr>
          <w:sz w:val="20"/>
          <w:szCs w:val="20"/>
          <w:color w:val="auto"/>
        </w:rPr>
      </w:pPr>
    </w:p>
    <w:p>
      <w:pPr>
        <w:jc w:val="both"/>
        <w:ind w:firstLine="8"/>
        <w:spacing w:after="0" w:line="246" w:lineRule="auto"/>
        <w:tabs>
          <w:tab w:leader="none" w:pos="509"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respective indemnities, rights of contribution, agreements, representations, warranties and other statements of the Company and the several Underwriters, as set forth in this Agreement or made by or on behalf of them, respectively, pursuant to this Agreement, shall remain in full force and effect, regardless of any investigation (or any statement as to the results thereof) made by or on behalf of any Underwriter or any director, officer, employee, affiliate or controlling person of any Underwriter, or the Company, or any officer or director or controlling person of the Company, and shall survive delivery of and payment for the Offered Securities.</w:t>
      </w:r>
    </w:p>
    <w:p>
      <w:pPr>
        <w:spacing w:after="0" w:line="184" w:lineRule="exact"/>
        <w:rPr>
          <w:rFonts w:ascii="Times New Roman" w:cs="Times New Roman" w:eastAsia="Times New Roman" w:hAnsi="Times New Roman"/>
          <w:sz w:val="20"/>
          <w:szCs w:val="20"/>
          <w:color w:val="auto"/>
        </w:rPr>
      </w:pPr>
    </w:p>
    <w:p>
      <w:pPr>
        <w:jc w:val="both"/>
        <w:ind w:firstLine="8"/>
        <w:spacing w:after="0" w:line="245" w:lineRule="auto"/>
        <w:tabs>
          <w:tab w:leader="none" w:pos="509"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this Agreement shall be terminated pursuant to Section 10 hereof, the Company shall not then be under any liability to any Underwriter except as provided in Sections 7 and 9 hereof; but, if for any other reason, any Offered Securities are not delivered by or on behalf of the Company as provided herein, the Company will reimburse the Underwriters through the Representatives for all out-of-pocket expenses approved in writing by the Representatives, including fees and disbursements of counsel, reasonably incurred by the Underwriters in making preparations for the purchase, sale and delivery of the Offered Securities not so delivered, but the Company shall then be under no further liability to any Underwriter except as provided in Sections 7 and 9 hereof.</w:t>
      </w:r>
    </w:p>
    <w:p>
      <w:pPr>
        <w:spacing w:after="0" w:line="184" w:lineRule="exact"/>
        <w:rPr>
          <w:rFonts w:ascii="Times New Roman" w:cs="Times New Roman" w:eastAsia="Times New Roman" w:hAnsi="Times New Roman"/>
          <w:sz w:val="20"/>
          <w:szCs w:val="20"/>
          <w:color w:val="auto"/>
        </w:rPr>
      </w:pPr>
    </w:p>
    <w:p>
      <w:pPr>
        <w:jc w:val="both"/>
        <w:ind w:firstLine="8"/>
        <w:spacing w:after="0" w:line="254" w:lineRule="auto"/>
        <w:tabs>
          <w:tab w:leader="none" w:pos="509"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all dealings hereunder, the Representatives shall act on behalf of each of the Underwriters, and the parties hereto shall be entitled to act and rely upon any statement, request, notice or agreement on behalf of any Underwriter made or given by you jointly or by J.P. Morgan Securities LLC, Leerink Partners LLC and Cantor Fitzgerald &amp; Co. on behalf of you as the Representatives.</w:t>
      </w:r>
    </w:p>
    <w:p>
      <w:pPr>
        <w:spacing w:after="0" w:line="174"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20"/>
          <w:szCs w:val="20"/>
          <w:color w:val="auto"/>
        </w:rPr>
        <w:t>All statements, requests, notices and agreements hereunder shall be in writing, and if to the Underwriters shall be delivered or sent by mail, telex or facsimile transmission to c/o J.P. Morgan Securities LLC, 270 Park Avenue, New York, New York 10017, Fascimile: (212) 622-8358, Attention: Equity Syndicate Desk; c/o Leerink Partners LLC, 1301 Avenue of the Americas, 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xml:space="preserve"> Floor, New York, New York 10019, attention of Stuart R. Nayman; and c/o Cantor Fitzgerald &amp; Co., 110 East 59</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xml:space="preserve"> Street, New York, New York 10022 Attention: General Counsel; and if to the Company shall be delivered or sent by mail, telex or facsimile transmission to the address of the Company set forth in the Registration Statement, Attention: Secretary; provided, however, that any notice to an Underwriter pursuant to Section 9(c) hereof shall be delivered or sent by mail, telex or facsimile transmission to such Underwriter at its address set forth in its Underwriters’ Questionnaire, or telex constituting such Questionnaire, which address will be supplied to the Company by you upon request. Any such statements, requests, notices or agreements shall take effect upon receipt thereof.</w:t>
      </w:r>
    </w:p>
    <w:p>
      <w:pPr>
        <w:spacing w:after="0" w:line="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In accordance with the requirements of the USA Patriot Act (Title III of Pub. L. 107-56 (signed into law October 26, 2001)), 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w:t>
      </w:r>
    </w:p>
    <w:p>
      <w:pPr>
        <w:spacing w:after="0" w:line="80" w:lineRule="exact"/>
        <w:rPr>
          <w:sz w:val="20"/>
          <w:szCs w:val="20"/>
          <w:color w:val="auto"/>
        </w:rPr>
      </w:pPr>
    </w:p>
    <w:p>
      <w:pPr>
        <w:jc w:val="both"/>
        <w:ind w:firstLine="8"/>
        <w:spacing w:after="0" w:line="246" w:lineRule="auto"/>
        <w:tabs>
          <w:tab w:leader="none" w:pos="509"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shall be binding upon, and inure solely to the benefit of, the Underwriters, the Company and, to the extent provided in Sections 8 and 10 hereof, the officers and directors of the Company and each person who controls the Company or any Underwriter, or any director, officer, employee, or affiliate of any Underwriter, and their respective heirs, executors, administrators, successors and assigns, and no other person shall acquire or have any right under or by virtue of this Agreement. No purchaser of any of the Offered Securities from any Underwriter shall be deemed a successor or assign by reason merely of such purchase.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750570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81" w:lineRule="exact"/>
        <w:rPr>
          <w:sz w:val="20"/>
          <w:szCs w:val="20"/>
          <w:color w:val="auto"/>
        </w:rPr>
      </w:pPr>
    </w:p>
    <w:p>
      <w:pPr>
        <w:ind w:firstLine="8"/>
        <w:spacing w:after="0" w:line="269" w:lineRule="auto"/>
        <w:tabs>
          <w:tab w:leader="none" w:pos="509"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Time shall be of the essence of this Agreement. As used herein, the term “business day” shall mean any day when the Commission’s office in Washington, D.C. is open for business.</w:t>
      </w:r>
    </w:p>
    <w:p>
      <w:pPr>
        <w:spacing w:after="0" w:line="159" w:lineRule="exact"/>
        <w:rPr>
          <w:rFonts w:ascii="Times New Roman" w:cs="Times New Roman" w:eastAsia="Times New Roman" w:hAnsi="Times New Roman"/>
          <w:sz w:val="20"/>
          <w:szCs w:val="20"/>
          <w:color w:val="auto"/>
        </w:rPr>
      </w:pPr>
    </w:p>
    <w:p>
      <w:pPr>
        <w:jc w:val="both"/>
        <w:ind w:firstLine="8"/>
        <w:spacing w:after="0" w:line="242" w:lineRule="auto"/>
        <w:tabs>
          <w:tab w:leader="none" w:pos="509"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acknowledges and agrees that (i) the purchase and sale of the Offered Securities pursuant to this Agreement is an arm’s-length commercial transaction between the Company, on the one hand, and the several Underwriters, on the other, (ii) in connection therewith and with the process leading to such transaction each Underwriter is acting solely as a principal and not the agent or fiduciary of the Company, (iii) no Underwriter has assumed an advisory or fiduciary responsibility in favor of the Company with respect to the offering contemplated hereby or the process leading thereto (irrespective of whether such Underwriter has advised or is currently advising the Company on other matters) or any other obligation to the Company except the obligations expressly set forth in this Agreement, (iv) the Company has consulted its own legal and financial advisors to the extent it deemed appropriate, and (v) none of the activities of the Underwriters in connection with the transactions contemplated herein constitutes a recommendation, investment advice, or solicitation of any action by the Underwriters with respect to any entity or natural person. The Company agrees that it will not claim that the Underwriters, or any of them, has rendered advisory services of any nature or respect, or owes a fiduciary or similar duty to the Company, in connection with such transaction or the process leading thereto.</w:t>
      </w:r>
    </w:p>
    <w:p>
      <w:pPr>
        <w:spacing w:after="0" w:line="189" w:lineRule="exact"/>
        <w:rPr>
          <w:rFonts w:ascii="Times New Roman" w:cs="Times New Roman" w:eastAsia="Times New Roman" w:hAnsi="Times New Roman"/>
          <w:sz w:val="20"/>
          <w:szCs w:val="20"/>
          <w:color w:val="auto"/>
        </w:rPr>
      </w:pPr>
    </w:p>
    <w:p>
      <w:pPr>
        <w:ind w:right="20" w:firstLine="8"/>
        <w:spacing w:after="0" w:line="269" w:lineRule="auto"/>
        <w:tabs>
          <w:tab w:leader="none" w:pos="509"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supersedes all prior agreements and understandings (whether written or oral) between the Company and the Underwriters, or any of them, with respect to the subject matter hereof.</w:t>
      </w:r>
    </w:p>
    <w:p>
      <w:pPr>
        <w:spacing w:after="0" w:line="159" w:lineRule="exact"/>
        <w:rPr>
          <w:rFonts w:ascii="Times New Roman" w:cs="Times New Roman" w:eastAsia="Times New Roman" w:hAnsi="Times New Roman"/>
          <w:sz w:val="20"/>
          <w:szCs w:val="20"/>
          <w:color w:val="auto"/>
        </w:rPr>
      </w:pPr>
    </w:p>
    <w:p>
      <w:pPr>
        <w:jc w:val="both"/>
        <w:ind w:firstLine="8"/>
        <w:spacing w:after="0" w:line="245" w:lineRule="auto"/>
        <w:tabs>
          <w:tab w:leader="none" w:pos="509"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and any transaction contemplated by this Agreement shall be governed by and construed in accordance with the laws of the State of New York without regard to principles of conflict of laws that would results in the application of any other law than the laws of the State of New York. The Company agrees that any suit or proceeding arising in respect of this Agreement or any transaction contemplated by this Agreement will be tried exclusively in the U.S. District Court for the Southern District of New York or, if that court does not have subject matter jurisdiction, in any state court located in The City and County of New York and the Company agrees to submit to the jurisdiction of, and to venue in, such courts.</w:t>
      </w:r>
    </w:p>
    <w:p>
      <w:pPr>
        <w:spacing w:after="0" w:line="184" w:lineRule="exact"/>
        <w:rPr>
          <w:rFonts w:ascii="Times New Roman" w:cs="Times New Roman" w:eastAsia="Times New Roman" w:hAnsi="Times New Roman"/>
          <w:sz w:val="20"/>
          <w:szCs w:val="20"/>
          <w:color w:val="auto"/>
        </w:rPr>
      </w:pPr>
    </w:p>
    <w:p>
      <w:pPr>
        <w:ind w:firstLine="8"/>
        <w:spacing w:after="0" w:line="269" w:lineRule="auto"/>
        <w:tabs>
          <w:tab w:leader="none" w:pos="509"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and each of the Underwriters hereby irrevocably waives, to the fullest extent permitted by applicable law, any and all right to trial by jury in any legal proceeding arising out of or relating to this Agreement or the transactions contemplated hereby.</w:t>
      </w:r>
    </w:p>
    <w:p>
      <w:pPr>
        <w:spacing w:after="0" w:line="159" w:lineRule="exact"/>
        <w:rPr>
          <w:rFonts w:ascii="Times New Roman" w:cs="Times New Roman" w:eastAsia="Times New Roman" w:hAnsi="Times New Roman"/>
          <w:sz w:val="20"/>
          <w:szCs w:val="20"/>
          <w:color w:val="auto"/>
        </w:rPr>
      </w:pPr>
    </w:p>
    <w:p>
      <w:pPr>
        <w:jc w:val="both"/>
        <w:ind w:firstLine="8"/>
        <w:spacing w:after="0" w:line="245" w:lineRule="auto"/>
        <w:tabs>
          <w:tab w:leader="none" w:pos="509"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herein to the contrary, the Company is authorized to disclose to any persons U.S. federal and state tax treatment and tax structure of the potential transaction and all materials of any kind (including tax opinions and other tax analyses) provided to the Company relating to that treatment and structure, without the Underwriters imposing any limitation of any kind. However, any information relating to the tax treatment and tax structure shall remain confidential (and the foregoing sentence shall not apply) to the extent necessary to enable any person to comply with securities laws. For this purpose, “tax structure” is limited to any facts that may be relevant to that treatment.</w:t>
      </w:r>
    </w:p>
    <w:p>
      <w:pPr>
        <w:spacing w:after="0" w:line="184" w:lineRule="exact"/>
        <w:rPr>
          <w:rFonts w:ascii="Times New Roman" w:cs="Times New Roman" w:eastAsia="Times New Roman" w:hAnsi="Times New Roman"/>
          <w:sz w:val="20"/>
          <w:szCs w:val="20"/>
          <w:color w:val="auto"/>
        </w:rPr>
      </w:pPr>
    </w:p>
    <w:p>
      <w:pPr>
        <w:jc w:val="both"/>
        <w:ind w:firstLine="8"/>
        <w:spacing w:after="0" w:line="263" w:lineRule="auto"/>
        <w:tabs>
          <w:tab w:leader="none" w:pos="509" w:val="left"/>
        </w:tabs>
        <w:numPr>
          <w:ilvl w:val="0"/>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This Agreement may be executed by any one or more of the parties hereto in any number of counterparts, each of which shall be deemed to be an original, but all such counterparts shall together constitute one and the same instrument. Counterparts may be delivered via facsimile, electronic mail (including any electronic signature covered by the U.S. federal ESIGN Act of 2000, Uniform Electronic Transactions Act, the Electronic Signatures and Records Act or other applicable law, e.g., </w:t>
      </w:r>
      <w:r>
        <w:rPr>
          <w:rFonts w:ascii="Times New Roman" w:cs="Times New Roman" w:eastAsia="Times New Roman" w:hAnsi="Times New Roman"/>
          <w:sz w:val="19"/>
          <w:szCs w:val="19"/>
          <w:u w:val="single" w:color="auto"/>
          <w:color w:val="0000FF"/>
        </w:rPr>
        <w:t>www.docusign.com</w:t>
      </w:r>
      <w:r>
        <w:rPr>
          <w:rFonts w:ascii="Times New Roman" w:cs="Times New Roman" w:eastAsia="Times New Roman" w:hAnsi="Times New Roman"/>
          <w:sz w:val="19"/>
          <w:szCs w:val="19"/>
          <w:color w:val="auto"/>
        </w:rPr>
        <w:t>) or other transmission method and any counterpart so delivered shall be deemed to have been duly and validly delivered and be valid and effective for all purposes.</w:t>
      </w:r>
    </w:p>
    <w:p>
      <w:pPr>
        <w:spacing w:after="0" w:line="166" w:lineRule="exact"/>
        <w:rPr>
          <w:rFonts w:ascii="Times New Roman" w:cs="Times New Roman" w:eastAsia="Times New Roman" w:hAnsi="Times New Roman"/>
          <w:sz w:val="19"/>
          <w:szCs w:val="19"/>
          <w:color w:val="auto"/>
        </w:rPr>
      </w:pPr>
    </w:p>
    <w:p>
      <w:pPr>
        <w:ind w:left="520" w:hanging="512"/>
        <w:spacing w:after="0"/>
        <w:tabs>
          <w:tab w:leader="none" w:pos="52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Recognition of the U.S. Special Resolution Regimes.</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750570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81" w:lineRule="exact"/>
        <w:rPr>
          <w:sz w:val="20"/>
          <w:szCs w:val="20"/>
          <w:color w:val="auto"/>
        </w:rPr>
      </w:pPr>
    </w:p>
    <w:p>
      <w:pPr>
        <w:jc w:val="both"/>
        <w:ind w:firstLine="757"/>
        <w:spacing w:after="0" w:line="249" w:lineRule="auto"/>
        <w:tabs>
          <w:tab w:leader="none" w:pos="1018"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79" w:lineRule="exact"/>
        <w:rPr>
          <w:rFonts w:ascii="Times New Roman" w:cs="Times New Roman" w:eastAsia="Times New Roman" w:hAnsi="Times New Roman"/>
          <w:sz w:val="20"/>
          <w:szCs w:val="20"/>
          <w:color w:val="auto"/>
        </w:rPr>
      </w:pPr>
    </w:p>
    <w:p>
      <w:pPr>
        <w:jc w:val="both"/>
        <w:ind w:firstLine="757"/>
        <w:spacing w:after="0" w:line="249" w:lineRule="auto"/>
        <w:tabs>
          <w:tab w:leader="none" w:pos="1018"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79"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used in this section:</w:t>
      </w:r>
    </w:p>
    <w:p>
      <w:pPr>
        <w:spacing w:after="0" w:line="216" w:lineRule="exact"/>
        <w:rPr>
          <w:sz w:val="20"/>
          <w:szCs w:val="20"/>
          <w:color w:val="auto"/>
        </w:rPr>
      </w:pPr>
    </w:p>
    <w:p>
      <w:pPr>
        <w:ind w:left="1500"/>
        <w:spacing w:after="0" w:line="269" w:lineRule="auto"/>
        <w:rPr>
          <w:sz w:val="20"/>
          <w:szCs w:val="20"/>
          <w:color w:val="auto"/>
        </w:rPr>
      </w:pPr>
      <w:r>
        <w:rPr>
          <w:rFonts w:ascii="Times New Roman" w:cs="Times New Roman" w:eastAsia="Times New Roman" w:hAnsi="Times New Roman"/>
          <w:sz w:val="20"/>
          <w:szCs w:val="20"/>
          <w:color w:val="auto"/>
        </w:rPr>
        <w:t>“BHC Act Affiliate” has the meaning assigned to the term “affiliate” in, and shall be interpreted in accordance with, 12 U.S.C. § 1841(k).</w:t>
      </w:r>
    </w:p>
    <w:p>
      <w:pPr>
        <w:spacing w:after="0" w:line="5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“Covered Entity” means any of the following:</w:t>
      </w:r>
    </w:p>
    <w:p>
      <w:pPr>
        <w:spacing w:after="0" w:line="108" w:lineRule="exact"/>
        <w:rPr>
          <w:sz w:val="20"/>
          <w:szCs w:val="20"/>
          <w:color w:val="auto"/>
        </w:rPr>
      </w:pPr>
    </w:p>
    <w:p>
      <w:pPr>
        <w:ind w:left="2260" w:hanging="755"/>
        <w:spacing w:after="0"/>
        <w:tabs>
          <w:tab w:leader="none" w:pos="22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entity” as that term is defined in, and interpreted in accordance with, 12 C.F.R</w:t>
      </w:r>
      <w:r>
        <w:rPr>
          <w:rFonts w:ascii="Times New Roman" w:cs="Times New Roman" w:eastAsia="Times New Roman" w:hAnsi="Times New Roman"/>
          <w:sz w:val="19"/>
          <w:szCs w:val="19"/>
          <w:color w:val="auto"/>
        </w:rPr>
        <w:t>. § 252.82(b);</w:t>
      </w:r>
    </w:p>
    <w:p>
      <w:pPr>
        <w:spacing w:after="0" w:line="227" w:lineRule="exact"/>
        <w:rPr>
          <w:rFonts w:ascii="Times New Roman" w:cs="Times New Roman" w:eastAsia="Times New Roman" w:hAnsi="Times New Roman"/>
          <w:sz w:val="18"/>
          <w:szCs w:val="18"/>
          <w:color w:val="auto"/>
        </w:rPr>
      </w:pPr>
    </w:p>
    <w:p>
      <w:pPr>
        <w:ind w:left="2260" w:hanging="755"/>
        <w:spacing w:after="0"/>
        <w:tabs>
          <w:tab w:leader="none" w:pos="22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bank” as that term is defined in, and interpreted in accordance with, 12 C.F.R</w:t>
      </w:r>
      <w:r>
        <w:rPr>
          <w:rFonts w:ascii="Times New Roman" w:cs="Times New Roman" w:eastAsia="Times New Roman" w:hAnsi="Times New Roman"/>
          <w:sz w:val="19"/>
          <w:szCs w:val="19"/>
          <w:color w:val="auto"/>
        </w:rPr>
        <w:t>. § 47.3(b); or</w:t>
      </w:r>
    </w:p>
    <w:p>
      <w:pPr>
        <w:spacing w:after="0" w:line="227" w:lineRule="exact"/>
        <w:rPr>
          <w:rFonts w:ascii="Times New Roman" w:cs="Times New Roman" w:eastAsia="Times New Roman" w:hAnsi="Times New Roman"/>
          <w:sz w:val="18"/>
          <w:szCs w:val="18"/>
          <w:color w:val="auto"/>
        </w:rPr>
      </w:pPr>
    </w:p>
    <w:p>
      <w:pPr>
        <w:ind w:left="2260" w:hanging="755"/>
        <w:spacing w:after="0"/>
        <w:tabs>
          <w:tab w:leader="none" w:pos="22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FSI” as that term is defined in, and interpreted in accordance with, 12 C.F.R</w:t>
      </w:r>
      <w:r>
        <w:rPr>
          <w:rFonts w:ascii="Times New Roman" w:cs="Times New Roman" w:eastAsia="Times New Roman" w:hAnsi="Times New Roman"/>
          <w:sz w:val="19"/>
          <w:szCs w:val="19"/>
          <w:color w:val="auto"/>
        </w:rPr>
        <w:t>. § 382.2(b).</w:t>
      </w:r>
    </w:p>
    <w:p>
      <w:pPr>
        <w:spacing w:after="0" w:line="227" w:lineRule="exact"/>
        <w:rPr>
          <w:sz w:val="20"/>
          <w:szCs w:val="20"/>
          <w:color w:val="auto"/>
        </w:rPr>
      </w:pPr>
    </w:p>
    <w:p>
      <w:pPr>
        <w:ind w:left="760"/>
        <w:spacing w:after="0" w:line="269" w:lineRule="auto"/>
        <w:rPr>
          <w:sz w:val="20"/>
          <w:szCs w:val="20"/>
          <w:color w:val="auto"/>
        </w:rPr>
      </w:pPr>
      <w:r>
        <w:rPr>
          <w:rFonts w:ascii="Times New Roman" w:cs="Times New Roman" w:eastAsia="Times New Roman" w:hAnsi="Times New Roman"/>
          <w:sz w:val="20"/>
          <w:szCs w:val="20"/>
          <w:color w:val="auto"/>
        </w:rPr>
        <w:t>“Default Right” has the meaning assigned to that term in, and shall be interpreted in accordance with, 12 C.F.R. §§ 252.81, 47.2 or 382.1, as applicable.</w:t>
      </w:r>
    </w:p>
    <w:p>
      <w:pPr>
        <w:spacing w:after="0" w:line="159" w:lineRule="exact"/>
        <w:rPr>
          <w:sz w:val="20"/>
          <w:szCs w:val="20"/>
          <w:color w:val="auto"/>
        </w:rPr>
      </w:pPr>
    </w:p>
    <w:p>
      <w:pPr>
        <w:ind w:left="760"/>
        <w:spacing w:after="0" w:line="295" w:lineRule="auto"/>
        <w:rPr>
          <w:sz w:val="20"/>
          <w:szCs w:val="20"/>
          <w:color w:val="auto"/>
        </w:rPr>
      </w:pPr>
      <w:r>
        <w:rPr>
          <w:rFonts w:ascii="Times New Roman" w:cs="Times New Roman" w:eastAsia="Times New Roman" w:hAnsi="Times New Roman"/>
          <w:sz w:val="19"/>
          <w:szCs w:val="19"/>
          <w:color w:val="auto"/>
        </w:rPr>
        <w:t>“U.S. Special Resolution Regime” means each of (i) the Federal Deposit Insurance Act and the regulations promulgated thereunder and (ii) Title II of the Dodd-Frank Wall Street Reform and Consumer Protection Act and the regulations promulgated thereunder.</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750570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81" w:lineRule="exact"/>
        <w:rPr>
          <w:sz w:val="20"/>
          <w:szCs w:val="20"/>
          <w:color w:val="auto"/>
        </w:rPr>
      </w:pPr>
    </w:p>
    <w:p>
      <w:pPr>
        <w:jc w:val="both"/>
        <w:ind w:firstLine="374"/>
        <w:spacing w:after="0" w:line="245" w:lineRule="auto"/>
        <w:rPr>
          <w:sz w:val="20"/>
          <w:szCs w:val="20"/>
          <w:color w:val="auto"/>
        </w:rPr>
      </w:pPr>
      <w:r>
        <w:rPr>
          <w:rFonts w:ascii="Times New Roman" w:cs="Times New Roman" w:eastAsia="Times New Roman" w:hAnsi="Times New Roman"/>
          <w:sz w:val="20"/>
          <w:szCs w:val="20"/>
          <w:color w:val="auto"/>
        </w:rPr>
        <w:t>If the foregoing is in accordance with the Representatives’ understanding, please sign and return to us counterparts hereof, and upon the acceptance hereof by the Representatives, on behalf of each of the Underwriters, this letter and such acceptance hereof shall constitute a binding agreement between each of the Underwriters and the Company. It is understood that the Representatives’ acceptance of this letter on behalf of each of the Underwriters is pursuant to the authority set forth in a form of Agreement among Underwriters, the form of which shall be submitted to the Company for examination upon request, but without warranty on the Representatives’ part as to the authority of the signers thereof.</w:t>
      </w:r>
    </w:p>
    <w:p>
      <w:pPr>
        <w:spacing w:after="0" w:line="18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color w:val="auto"/>
        </w:rPr>
        <w:t>Very truly yours,</w:t>
      </w:r>
    </w:p>
    <w:p>
      <w:pPr>
        <w:spacing w:after="0" w:line="21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b w:val="1"/>
          <w:bCs w:val="1"/>
          <w:color w:val="auto"/>
        </w:rPr>
        <w:t>Fulcrum Therapeutics, Inc.</w:t>
      </w:r>
    </w:p>
    <w:p>
      <w:pPr>
        <w:spacing w:after="0" w:line="200" w:lineRule="exact"/>
        <w:rPr>
          <w:sz w:val="20"/>
          <w:szCs w:val="20"/>
          <w:color w:val="auto"/>
        </w:rPr>
      </w:pPr>
    </w:p>
    <w:p>
      <w:pPr>
        <w:spacing w:after="0" w:line="23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color w:val="auto"/>
        </w:rPr>
        <w:t>By</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xml:space="preserve"> /s/ Alan Musso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3577590</wp:posOffset>
            </wp:positionH>
            <wp:positionV relativeFrom="paragraph">
              <wp:posOffset>-10795</wp:posOffset>
            </wp:positionV>
            <wp:extent cx="151447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514475" cy="8255"/>
                    </a:xfrm>
                    <a:prstGeom prst="rect">
                      <a:avLst/>
                    </a:prstGeom>
                    <a:noFill/>
                  </pic:spPr>
                </pic:pic>
              </a:graphicData>
            </a:graphic>
          </wp:anchor>
        </w:drawing>
      </w:r>
    </w:p>
    <w:p>
      <w:pPr>
        <w:spacing w:after="0" w:line="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color w:val="auto"/>
        </w:rPr>
        <w:t>Name: Alan Musso</w:t>
      </w:r>
    </w:p>
    <w:p>
      <w:pPr>
        <w:ind w:left="5240"/>
        <w:spacing w:after="0"/>
        <w:rPr>
          <w:sz w:val="20"/>
          <w:szCs w:val="20"/>
          <w:color w:val="auto"/>
        </w:rPr>
      </w:pPr>
      <w:r>
        <w:rPr>
          <w:rFonts w:ascii="Times New Roman" w:cs="Times New Roman" w:eastAsia="Times New Roman" w:hAnsi="Times New Roman"/>
          <w:sz w:val="20"/>
          <w:szCs w:val="20"/>
          <w:color w:val="auto"/>
        </w:rPr>
        <w:t>Title: Chief Financial Officer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Accepted as of the date hereof:</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J.P. Morgan Securities LLC</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xml:space="preserve"> /s/ David 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-10795</wp:posOffset>
            </wp:positionV>
            <wp:extent cx="129413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94130" cy="825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David Ke</w:t>
      </w:r>
    </w:p>
    <w:p>
      <w:pPr>
        <w:spacing w:after="0"/>
        <w:rPr>
          <w:sz w:val="20"/>
          <w:szCs w:val="20"/>
          <w:color w:val="auto"/>
        </w:rPr>
      </w:pPr>
      <w:r>
        <w:rPr>
          <w:rFonts w:ascii="Times New Roman" w:cs="Times New Roman" w:eastAsia="Times New Roman" w:hAnsi="Times New Roman"/>
          <w:sz w:val="20"/>
          <w:szCs w:val="20"/>
          <w:color w:val="auto"/>
        </w:rPr>
        <w:t>Title: Managing Director</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Leerink Partners LLC</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/s/ Sean Pitt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-10795</wp:posOffset>
            </wp:positionV>
            <wp:extent cx="126301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63015"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Sean Pitt</w:t>
      </w:r>
    </w:p>
    <w:p>
      <w:pPr>
        <w:spacing w:after="0"/>
        <w:rPr>
          <w:sz w:val="20"/>
          <w:szCs w:val="20"/>
          <w:color w:val="auto"/>
        </w:rPr>
      </w:pPr>
      <w:r>
        <w:rPr>
          <w:rFonts w:ascii="Times New Roman" w:cs="Times New Roman" w:eastAsia="Times New Roman" w:hAnsi="Times New Roman"/>
          <w:sz w:val="20"/>
          <w:szCs w:val="20"/>
          <w:color w:val="auto"/>
        </w:rPr>
        <w:t>Title: Senior Managing Director</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Cantor Fitzgerald &amp; Co.</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/s/ Dustin Tyner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-10795</wp:posOffset>
            </wp:positionV>
            <wp:extent cx="154559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545590" cy="825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Dustin Tyner</w:t>
      </w:r>
    </w:p>
    <w:p>
      <w:pPr>
        <w:spacing w:after="0"/>
        <w:rPr>
          <w:sz w:val="20"/>
          <w:szCs w:val="20"/>
          <w:color w:val="auto"/>
        </w:rPr>
      </w:pPr>
      <w:r>
        <w:rPr>
          <w:rFonts w:ascii="Times New Roman" w:cs="Times New Roman" w:eastAsia="Times New Roman" w:hAnsi="Times New Roman"/>
          <w:sz w:val="20"/>
          <w:szCs w:val="20"/>
          <w:color w:val="auto"/>
        </w:rPr>
        <w:t>Title: Co-Head of Healthcare Investment Banking</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743585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1080" w:type="dxa"/>
            <w:vAlign w:val="bottom"/>
          </w:tcPr>
          <w:p>
            <w:pPr>
              <w:spacing w:after="0"/>
              <w:rPr>
                <w:sz w:val="22"/>
                <w:szCs w:val="22"/>
                <w:color w:val="auto"/>
              </w:rPr>
            </w:pPr>
          </w:p>
        </w:tc>
        <w:tc>
          <w:tcPr>
            <w:tcW w:w="3360" w:type="dxa"/>
            <w:vAlign w:val="bottom"/>
          </w:tcPr>
          <w:p>
            <w:pPr>
              <w:spacing w:after="0"/>
              <w:rPr>
                <w:sz w:val="22"/>
                <w:szCs w:val="22"/>
                <w:color w:val="auto"/>
              </w:rPr>
            </w:pPr>
          </w:p>
        </w:tc>
        <w:tc>
          <w:tcPr>
            <w:tcW w:w="3040" w:type="dxa"/>
            <w:vAlign w:val="bottom"/>
          </w:tcPr>
          <w:p>
            <w:pPr>
              <w:jc w:val="right"/>
              <w:ind w:right="1241"/>
              <w:spacing w:after="0"/>
              <w:rPr>
                <w:sz w:val="20"/>
                <w:szCs w:val="20"/>
                <w:color w:val="auto"/>
              </w:rPr>
            </w:pPr>
            <w:r>
              <w:rPr>
                <w:rFonts w:ascii="Times New Roman" w:cs="Times New Roman" w:eastAsia="Times New Roman" w:hAnsi="Times New Roman"/>
                <w:sz w:val="20"/>
                <w:szCs w:val="20"/>
                <w:b w:val="1"/>
                <w:bCs w:val="1"/>
                <w:color w:val="auto"/>
              </w:rPr>
              <w:t>SCHEDULE I</w:t>
            </w:r>
          </w:p>
        </w:tc>
        <w:tc>
          <w:tcPr>
            <w:tcW w:w="280" w:type="dxa"/>
            <w:vAlign w:val="bottom"/>
          </w:tcPr>
          <w:p>
            <w:pPr>
              <w:spacing w:after="0"/>
              <w:rPr>
                <w:sz w:val="22"/>
                <w:szCs w:val="22"/>
                <w:color w:val="auto"/>
              </w:rPr>
            </w:pPr>
          </w:p>
        </w:tc>
        <w:tc>
          <w:tcPr>
            <w:tcW w:w="3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58"/>
        </w:trPr>
        <w:tc>
          <w:tcPr>
            <w:tcW w:w="10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380" w:type="dxa"/>
            <w:vAlign w:val="bottom"/>
          </w:tcPr>
          <w:p>
            <w:pPr>
              <w:ind w:left="8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0" w:type="dxa"/>
            <w:vAlign w:val="bottom"/>
          </w:tcPr>
          <w:p>
            <w:pPr>
              <w:spacing w:after="0"/>
              <w:rPr>
                <w:sz w:val="1"/>
                <w:szCs w:val="1"/>
                <w:color w:val="auto"/>
              </w:rPr>
            </w:pPr>
          </w:p>
        </w:tc>
      </w:tr>
      <w:tr>
        <w:trPr>
          <w:trHeight w:val="229"/>
        </w:trPr>
        <w:tc>
          <w:tcPr>
            <w:tcW w:w="108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380" w:type="dxa"/>
            <w:vAlign w:val="bottom"/>
          </w:tcPr>
          <w:p>
            <w:pPr>
              <w:ind w:left="80"/>
              <w:spacing w:after="0"/>
              <w:rPr>
                <w:sz w:val="20"/>
                <w:szCs w:val="20"/>
                <w:color w:val="auto"/>
              </w:rPr>
            </w:pPr>
            <w:r>
              <w:rPr>
                <w:rFonts w:ascii="Times New Roman" w:cs="Times New Roman" w:eastAsia="Times New Roman" w:hAnsi="Times New Roman"/>
                <w:sz w:val="20"/>
                <w:szCs w:val="20"/>
                <w:b w:val="1"/>
                <w:bCs w:val="1"/>
                <w:color w:val="auto"/>
              </w:rPr>
              <w:t>Number of</w:t>
            </w:r>
          </w:p>
        </w:tc>
        <w:tc>
          <w:tcPr>
            <w:tcW w:w="0" w:type="dxa"/>
            <w:vAlign w:val="bottom"/>
          </w:tcPr>
          <w:p>
            <w:pPr>
              <w:spacing w:after="0"/>
              <w:rPr>
                <w:sz w:val="1"/>
                <w:szCs w:val="1"/>
                <w:color w:val="auto"/>
              </w:rPr>
            </w:pPr>
          </w:p>
        </w:tc>
      </w:tr>
      <w:tr>
        <w:trPr>
          <w:trHeight w:val="230"/>
        </w:trPr>
        <w:tc>
          <w:tcPr>
            <w:tcW w:w="108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380" w:type="dxa"/>
            <w:vAlign w:val="bottom"/>
          </w:tcPr>
          <w:p>
            <w:pPr>
              <w:ind w:left="80"/>
              <w:spacing w:after="0"/>
              <w:rPr>
                <w:sz w:val="20"/>
                <w:szCs w:val="20"/>
                <w:color w:val="auto"/>
              </w:rPr>
            </w:pPr>
            <w:r>
              <w:rPr>
                <w:rFonts w:ascii="Times New Roman" w:cs="Times New Roman" w:eastAsia="Times New Roman" w:hAnsi="Times New Roman"/>
                <w:sz w:val="20"/>
                <w:szCs w:val="20"/>
                <w:b w:val="1"/>
                <w:bCs w:val="1"/>
                <w:color w:val="auto"/>
              </w:rPr>
              <w:t>Pre-Funded</w:t>
            </w:r>
          </w:p>
        </w:tc>
        <w:tc>
          <w:tcPr>
            <w:tcW w:w="0" w:type="dxa"/>
            <w:vAlign w:val="bottom"/>
          </w:tcPr>
          <w:p>
            <w:pPr>
              <w:spacing w:after="0"/>
              <w:rPr>
                <w:sz w:val="1"/>
                <w:szCs w:val="1"/>
                <w:color w:val="auto"/>
              </w:rPr>
            </w:pPr>
          </w:p>
        </w:tc>
      </w:tr>
      <w:tr>
        <w:trPr>
          <w:trHeight w:val="229"/>
        </w:trPr>
        <w:tc>
          <w:tcPr>
            <w:tcW w:w="108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380" w:type="dxa"/>
            <w:vAlign w:val="bottom"/>
          </w:tcPr>
          <w:p>
            <w:pPr>
              <w:ind w:left="80"/>
              <w:spacing w:after="0"/>
              <w:rPr>
                <w:sz w:val="20"/>
                <w:szCs w:val="20"/>
                <w:color w:val="auto"/>
              </w:rPr>
            </w:pPr>
            <w:r>
              <w:rPr>
                <w:rFonts w:ascii="Times New Roman" w:cs="Times New Roman" w:eastAsia="Times New Roman" w:hAnsi="Times New Roman"/>
                <w:sz w:val="20"/>
                <w:szCs w:val="20"/>
                <w:b w:val="1"/>
                <w:bCs w:val="1"/>
                <w:color w:val="auto"/>
              </w:rPr>
              <w:t>Warrants to</w:t>
            </w:r>
          </w:p>
        </w:tc>
        <w:tc>
          <w:tcPr>
            <w:tcW w:w="0" w:type="dxa"/>
            <w:vAlign w:val="bottom"/>
          </w:tcPr>
          <w:p>
            <w:pPr>
              <w:spacing w:after="0"/>
              <w:rPr>
                <w:sz w:val="1"/>
                <w:szCs w:val="1"/>
                <w:color w:val="auto"/>
              </w:rPr>
            </w:pPr>
          </w:p>
        </w:tc>
      </w:tr>
      <w:tr>
        <w:trPr>
          <w:trHeight w:val="229"/>
        </w:trPr>
        <w:tc>
          <w:tcPr>
            <w:tcW w:w="108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3040" w:type="dxa"/>
            <w:vAlign w:val="bottom"/>
          </w:tcPr>
          <w:p>
            <w:pPr>
              <w:jc w:val="right"/>
              <w:ind w:right="201"/>
              <w:spacing w:after="0"/>
              <w:rPr>
                <w:sz w:val="20"/>
                <w:szCs w:val="20"/>
                <w:color w:val="auto"/>
              </w:rPr>
            </w:pPr>
            <w:r>
              <w:rPr>
                <w:rFonts w:ascii="Times New Roman" w:cs="Times New Roman" w:eastAsia="Times New Roman" w:hAnsi="Times New Roman"/>
                <w:sz w:val="20"/>
                <w:szCs w:val="20"/>
                <w:b w:val="1"/>
                <w:bCs w:val="1"/>
                <w:color w:val="auto"/>
              </w:rPr>
              <w:t>Number of Firm Shares to be</w:t>
            </w:r>
          </w:p>
        </w:tc>
        <w:tc>
          <w:tcPr>
            <w:tcW w:w="280" w:type="dxa"/>
            <w:vAlign w:val="bottom"/>
          </w:tcPr>
          <w:p>
            <w:pPr>
              <w:spacing w:after="0"/>
              <w:rPr>
                <w:sz w:val="19"/>
                <w:szCs w:val="19"/>
                <w:color w:val="auto"/>
              </w:rPr>
            </w:pPr>
          </w:p>
        </w:tc>
        <w:tc>
          <w:tcPr>
            <w:tcW w:w="3380" w:type="dxa"/>
            <w:vAlign w:val="bottom"/>
          </w:tcPr>
          <w:p>
            <w:pPr>
              <w:ind w:left="80"/>
              <w:spacing w:after="0"/>
              <w:rPr>
                <w:sz w:val="20"/>
                <w:szCs w:val="20"/>
                <w:color w:val="auto"/>
              </w:rPr>
            </w:pPr>
            <w:r>
              <w:rPr>
                <w:rFonts w:ascii="Times New Roman" w:cs="Times New Roman" w:eastAsia="Times New Roman" w:hAnsi="Times New Roman"/>
                <w:sz w:val="20"/>
                <w:szCs w:val="20"/>
                <w:b w:val="1"/>
                <w:bCs w:val="1"/>
                <w:color w:val="auto"/>
              </w:rPr>
              <w:t>be</w:t>
            </w:r>
          </w:p>
        </w:tc>
        <w:tc>
          <w:tcPr>
            <w:tcW w:w="0" w:type="dxa"/>
            <w:vAlign w:val="bottom"/>
          </w:tcPr>
          <w:p>
            <w:pPr>
              <w:spacing w:after="0"/>
              <w:rPr>
                <w:sz w:val="1"/>
                <w:szCs w:val="1"/>
                <w:color w:val="auto"/>
              </w:rPr>
            </w:pPr>
          </w:p>
        </w:tc>
      </w:tr>
      <w:tr>
        <w:trPr>
          <w:trHeight w:val="229"/>
        </w:trPr>
        <w:tc>
          <w:tcPr>
            <w:tcW w:w="1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w w:val="98"/>
              </w:rPr>
              <w:t>Underwriter</w:t>
            </w:r>
          </w:p>
        </w:tc>
        <w:tc>
          <w:tcPr>
            <w:tcW w:w="3360" w:type="dxa"/>
            <w:vAlign w:val="bottom"/>
          </w:tcPr>
          <w:p>
            <w:pPr>
              <w:spacing w:after="0"/>
              <w:rPr>
                <w:sz w:val="19"/>
                <w:szCs w:val="19"/>
                <w:color w:val="auto"/>
              </w:rPr>
            </w:pPr>
          </w:p>
        </w:tc>
        <w:tc>
          <w:tcPr>
            <w:tcW w:w="3040" w:type="dxa"/>
            <w:vAlign w:val="bottom"/>
          </w:tcPr>
          <w:p>
            <w:pPr>
              <w:jc w:val="right"/>
              <w:ind w:right="981"/>
              <w:spacing w:after="0"/>
              <w:rPr>
                <w:sz w:val="20"/>
                <w:szCs w:val="20"/>
                <w:color w:val="auto"/>
              </w:rPr>
            </w:pPr>
            <w:r>
              <w:rPr>
                <w:rFonts w:ascii="Times New Roman" w:cs="Times New Roman" w:eastAsia="Times New Roman" w:hAnsi="Times New Roman"/>
                <w:sz w:val="20"/>
                <w:szCs w:val="20"/>
                <w:b w:val="1"/>
                <w:bCs w:val="1"/>
                <w:color w:val="auto"/>
              </w:rPr>
              <w:t>Purchased</w:t>
            </w:r>
          </w:p>
        </w:tc>
        <w:tc>
          <w:tcPr>
            <w:tcW w:w="280" w:type="dxa"/>
            <w:vAlign w:val="bottom"/>
          </w:tcPr>
          <w:p>
            <w:pPr>
              <w:spacing w:after="0"/>
              <w:rPr>
                <w:sz w:val="19"/>
                <w:szCs w:val="19"/>
                <w:color w:val="auto"/>
              </w:rPr>
            </w:pPr>
          </w:p>
        </w:tc>
        <w:tc>
          <w:tcPr>
            <w:tcW w:w="3380" w:type="dxa"/>
            <w:vAlign w:val="bottom"/>
          </w:tcPr>
          <w:p>
            <w:pPr>
              <w:ind w:left="80"/>
              <w:spacing w:after="0"/>
              <w:rPr>
                <w:sz w:val="20"/>
                <w:szCs w:val="20"/>
                <w:color w:val="auto"/>
              </w:rPr>
            </w:pPr>
            <w:r>
              <w:rPr>
                <w:rFonts w:ascii="Times New Roman" w:cs="Times New Roman" w:eastAsia="Times New Roman" w:hAnsi="Times New Roman"/>
                <w:sz w:val="20"/>
                <w:szCs w:val="20"/>
                <w:b w:val="1"/>
                <w:bCs w:val="1"/>
                <w:color w:val="auto"/>
              </w:rPr>
              <w:t>Purchased</w:t>
            </w:r>
          </w:p>
        </w:tc>
        <w:tc>
          <w:tcPr>
            <w:tcW w:w="0" w:type="dxa"/>
            <w:vAlign w:val="bottom"/>
          </w:tcPr>
          <w:p>
            <w:pPr>
              <w:spacing w:after="0"/>
              <w:rPr>
                <w:sz w:val="1"/>
                <w:szCs w:val="1"/>
                <w:color w:val="auto"/>
              </w:rPr>
            </w:pPr>
          </w:p>
        </w:tc>
      </w:tr>
      <w:tr>
        <w:trPr>
          <w:trHeight w:val="20"/>
        </w:trPr>
        <w:tc>
          <w:tcPr>
            <w:tcW w:w="4440" w:type="dxa"/>
            <w:vAlign w:val="bottom"/>
            <w:gridSpan w:val="2"/>
            <w:vMerge w:val="restart"/>
          </w:tcPr>
          <w:p>
            <w:pPr>
              <w:spacing w:after="0" w:line="228" w:lineRule="exact"/>
              <w:rPr>
                <w:sz w:val="20"/>
                <w:szCs w:val="20"/>
                <w:color w:val="auto"/>
              </w:rPr>
            </w:pPr>
            <w:r>
              <w:rPr>
                <w:rFonts w:ascii="Times New Roman" w:cs="Times New Roman" w:eastAsia="Times New Roman" w:hAnsi="Times New Roman"/>
                <w:sz w:val="20"/>
                <w:szCs w:val="20"/>
                <w:color w:val="auto"/>
              </w:rPr>
              <w:t>J.P. Morgan Securities LLC</w:t>
            </w:r>
          </w:p>
        </w:tc>
        <w:tc>
          <w:tcPr>
            <w:tcW w:w="304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440" w:type="dxa"/>
            <w:vAlign w:val="bottom"/>
            <w:gridSpan w:val="2"/>
            <w:vMerge w:val="continue"/>
          </w:tcPr>
          <w:p>
            <w:pPr>
              <w:spacing w:after="0"/>
              <w:rPr>
                <w:sz w:val="16"/>
                <w:szCs w:val="16"/>
                <w:color w:val="auto"/>
              </w:rPr>
            </w:pPr>
          </w:p>
        </w:tc>
        <w:tc>
          <w:tcPr>
            <w:tcW w:w="3040" w:type="dxa"/>
            <w:vAlign w:val="bottom"/>
          </w:tcPr>
          <w:p>
            <w:pPr>
              <w:jc w:val="right"/>
              <w:ind w:right="41"/>
              <w:spacing w:after="0" w:line="187" w:lineRule="exact"/>
              <w:rPr>
                <w:sz w:val="20"/>
                <w:szCs w:val="20"/>
                <w:color w:val="auto"/>
              </w:rPr>
            </w:pPr>
            <w:r>
              <w:rPr>
                <w:rFonts w:ascii="Times New Roman" w:cs="Times New Roman" w:eastAsia="Times New Roman" w:hAnsi="Times New Roman"/>
                <w:sz w:val="20"/>
                <w:szCs w:val="20"/>
                <w:color w:val="auto"/>
              </w:rPr>
              <w:t>4,029,631</w:t>
            </w:r>
          </w:p>
        </w:tc>
        <w:tc>
          <w:tcPr>
            <w:tcW w:w="280" w:type="dxa"/>
            <w:vAlign w:val="bottom"/>
            <w:vMerge w:val="continue"/>
          </w:tcPr>
          <w:p>
            <w:pPr>
              <w:spacing w:after="0"/>
              <w:rPr>
                <w:sz w:val="16"/>
                <w:szCs w:val="16"/>
                <w:color w:val="auto"/>
              </w:rPr>
            </w:pPr>
          </w:p>
        </w:tc>
        <w:tc>
          <w:tcPr>
            <w:tcW w:w="3380" w:type="dxa"/>
            <w:vAlign w:val="bottom"/>
          </w:tcPr>
          <w:p>
            <w:pPr>
              <w:jc w:val="right"/>
              <w:ind w:right="41"/>
              <w:spacing w:after="0" w:line="187" w:lineRule="exact"/>
              <w:rPr>
                <w:sz w:val="20"/>
                <w:szCs w:val="20"/>
                <w:color w:val="auto"/>
              </w:rPr>
            </w:pPr>
            <w:r>
              <w:rPr>
                <w:rFonts w:ascii="Times New Roman" w:cs="Times New Roman" w:eastAsia="Times New Roman" w:hAnsi="Times New Roman"/>
                <w:sz w:val="20"/>
                <w:szCs w:val="20"/>
                <w:color w:val="auto"/>
              </w:rPr>
              <w:t>377,806</w:t>
            </w:r>
          </w:p>
        </w:tc>
        <w:tc>
          <w:tcPr>
            <w:tcW w:w="0" w:type="dxa"/>
            <w:vAlign w:val="bottom"/>
          </w:tcPr>
          <w:p>
            <w:pPr>
              <w:spacing w:after="0"/>
              <w:rPr>
                <w:sz w:val="1"/>
                <w:szCs w:val="1"/>
                <w:color w:val="auto"/>
              </w:rPr>
            </w:pPr>
          </w:p>
        </w:tc>
      </w:tr>
      <w:tr>
        <w:trPr>
          <w:trHeight w:val="230"/>
        </w:trPr>
        <w:tc>
          <w:tcPr>
            <w:tcW w:w="44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Leerink Partners LLC</w:t>
            </w:r>
          </w:p>
        </w:tc>
        <w:tc>
          <w:tcPr>
            <w:tcW w:w="30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3,437,037</w:t>
            </w:r>
          </w:p>
        </w:tc>
        <w:tc>
          <w:tcPr>
            <w:tcW w:w="3660" w:type="dxa"/>
            <w:vAlign w:val="bottom"/>
            <w:gridSpan w:val="2"/>
          </w:tcPr>
          <w:p>
            <w:pPr>
              <w:jc w:val="right"/>
              <w:ind w:right="41"/>
              <w:spacing w:after="0"/>
              <w:rPr>
                <w:sz w:val="20"/>
                <w:szCs w:val="20"/>
                <w:color w:val="auto"/>
              </w:rPr>
            </w:pPr>
            <w:r>
              <w:rPr>
                <w:rFonts w:ascii="Times New Roman" w:cs="Times New Roman" w:eastAsia="Times New Roman" w:hAnsi="Times New Roman"/>
                <w:sz w:val="20"/>
                <w:szCs w:val="20"/>
                <w:color w:val="auto"/>
              </w:rPr>
              <w:t>322,246</w:t>
            </w:r>
          </w:p>
        </w:tc>
        <w:tc>
          <w:tcPr>
            <w:tcW w:w="0" w:type="dxa"/>
            <w:vAlign w:val="bottom"/>
          </w:tcPr>
          <w:p>
            <w:pPr>
              <w:spacing w:after="0"/>
              <w:rPr>
                <w:sz w:val="1"/>
                <w:szCs w:val="1"/>
                <w:color w:val="auto"/>
              </w:rPr>
            </w:pPr>
          </w:p>
        </w:tc>
      </w:tr>
      <w:tr>
        <w:trPr>
          <w:trHeight w:val="229"/>
        </w:trPr>
        <w:tc>
          <w:tcPr>
            <w:tcW w:w="44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Cantor Fitzgerald &amp; Co.</w:t>
            </w:r>
          </w:p>
        </w:tc>
        <w:tc>
          <w:tcPr>
            <w:tcW w:w="30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2,607,408</w:t>
            </w:r>
          </w:p>
        </w:tc>
        <w:tc>
          <w:tcPr>
            <w:tcW w:w="3660" w:type="dxa"/>
            <w:vAlign w:val="bottom"/>
            <w:gridSpan w:val="2"/>
          </w:tcPr>
          <w:p>
            <w:pPr>
              <w:jc w:val="right"/>
              <w:ind w:right="41"/>
              <w:spacing w:after="0"/>
              <w:rPr>
                <w:sz w:val="20"/>
                <w:szCs w:val="20"/>
                <w:color w:val="auto"/>
              </w:rPr>
            </w:pPr>
            <w:r>
              <w:rPr>
                <w:rFonts w:ascii="Times New Roman" w:cs="Times New Roman" w:eastAsia="Times New Roman" w:hAnsi="Times New Roman"/>
                <w:sz w:val="20"/>
                <w:szCs w:val="20"/>
                <w:color w:val="auto"/>
              </w:rPr>
              <w:t>244,462</w:t>
            </w:r>
          </w:p>
        </w:tc>
        <w:tc>
          <w:tcPr>
            <w:tcW w:w="0" w:type="dxa"/>
            <w:vAlign w:val="bottom"/>
          </w:tcPr>
          <w:p>
            <w:pPr>
              <w:spacing w:after="0"/>
              <w:rPr>
                <w:sz w:val="1"/>
                <w:szCs w:val="1"/>
                <w:color w:val="auto"/>
              </w:rPr>
            </w:pPr>
          </w:p>
        </w:tc>
      </w:tr>
      <w:tr>
        <w:trPr>
          <w:trHeight w:val="229"/>
        </w:trPr>
        <w:tc>
          <w:tcPr>
            <w:tcW w:w="44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Oppenheimer &amp; Co. Inc.</w:t>
            </w:r>
          </w:p>
        </w:tc>
        <w:tc>
          <w:tcPr>
            <w:tcW w:w="30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1,066,666</w:t>
            </w:r>
          </w:p>
        </w:tc>
        <w:tc>
          <w:tcPr>
            <w:tcW w:w="3660" w:type="dxa"/>
            <w:vAlign w:val="bottom"/>
            <w:gridSpan w:val="2"/>
          </w:tcPr>
          <w:p>
            <w:pPr>
              <w:jc w:val="right"/>
              <w:ind w:right="41"/>
              <w:spacing w:after="0"/>
              <w:rPr>
                <w:sz w:val="20"/>
                <w:szCs w:val="20"/>
                <w:color w:val="auto"/>
              </w:rPr>
            </w:pPr>
            <w:r>
              <w:rPr>
                <w:rFonts w:ascii="Times New Roman" w:cs="Times New Roman" w:eastAsia="Times New Roman" w:hAnsi="Times New Roman"/>
                <w:sz w:val="20"/>
                <w:szCs w:val="20"/>
                <w:color w:val="auto"/>
              </w:rPr>
              <w:t>100,007</w:t>
            </w:r>
          </w:p>
        </w:tc>
        <w:tc>
          <w:tcPr>
            <w:tcW w:w="0" w:type="dxa"/>
            <w:vAlign w:val="bottom"/>
          </w:tcPr>
          <w:p>
            <w:pPr>
              <w:spacing w:after="0"/>
              <w:rPr>
                <w:sz w:val="1"/>
                <w:szCs w:val="1"/>
                <w:color w:val="auto"/>
              </w:rPr>
            </w:pPr>
          </w:p>
        </w:tc>
      </w:tr>
      <w:tr>
        <w:trPr>
          <w:trHeight w:val="252"/>
        </w:trPr>
        <w:tc>
          <w:tcPr>
            <w:tcW w:w="44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Truist Securities, Inc.</w:t>
            </w:r>
          </w:p>
        </w:tc>
        <w:tc>
          <w:tcPr>
            <w:tcW w:w="30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711,111</w:t>
            </w:r>
          </w:p>
        </w:tc>
        <w:tc>
          <w:tcPr>
            <w:tcW w:w="3660" w:type="dxa"/>
            <w:vAlign w:val="bottom"/>
            <w:gridSpan w:val="2"/>
          </w:tcPr>
          <w:p>
            <w:pPr>
              <w:jc w:val="right"/>
              <w:ind w:right="41"/>
              <w:spacing w:after="0"/>
              <w:rPr>
                <w:sz w:val="20"/>
                <w:szCs w:val="20"/>
                <w:color w:val="auto"/>
              </w:rPr>
            </w:pPr>
            <w:r>
              <w:rPr>
                <w:rFonts w:ascii="Times New Roman" w:cs="Times New Roman" w:eastAsia="Times New Roman" w:hAnsi="Times New Roman"/>
                <w:sz w:val="20"/>
                <w:szCs w:val="20"/>
                <w:color w:val="auto"/>
              </w:rPr>
              <w:t>66,672</w:t>
            </w:r>
          </w:p>
        </w:tc>
        <w:tc>
          <w:tcPr>
            <w:tcW w:w="0" w:type="dxa"/>
            <w:vAlign w:val="bottom"/>
          </w:tcPr>
          <w:p>
            <w:pPr>
              <w:spacing w:after="0"/>
              <w:rPr>
                <w:sz w:val="1"/>
                <w:szCs w:val="1"/>
                <w:color w:val="auto"/>
              </w:rPr>
            </w:pPr>
          </w:p>
        </w:tc>
      </w:tr>
      <w:tr>
        <w:trPr>
          <w:trHeight w:val="252"/>
        </w:trPr>
        <w:tc>
          <w:tcPr>
            <w:tcW w:w="444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Total</w:t>
            </w:r>
          </w:p>
        </w:tc>
        <w:tc>
          <w:tcPr>
            <w:tcW w:w="304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11,851,853</w:t>
            </w:r>
          </w:p>
        </w:tc>
        <w:tc>
          <w:tcPr>
            <w:tcW w:w="280" w:type="dxa"/>
            <w:vAlign w:val="bottom"/>
          </w:tcPr>
          <w:p>
            <w:pPr>
              <w:spacing w:after="0"/>
              <w:rPr>
                <w:sz w:val="21"/>
                <w:szCs w:val="21"/>
                <w:color w:val="auto"/>
              </w:rPr>
            </w:pPr>
          </w:p>
        </w:tc>
        <w:tc>
          <w:tcPr>
            <w:tcW w:w="338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1,111,193</w:t>
            </w:r>
          </w:p>
        </w:tc>
        <w:tc>
          <w:tcPr>
            <w:tcW w:w="0" w:type="dxa"/>
            <w:vAlign w:val="bottom"/>
          </w:tcPr>
          <w:p>
            <w:pPr>
              <w:spacing w:after="0"/>
              <w:rPr>
                <w:sz w:val="1"/>
                <w:szCs w:val="1"/>
                <w:color w:val="auto"/>
              </w:rPr>
            </w:pPr>
          </w:p>
        </w:tc>
      </w:tr>
    </w:tbl>
    <w:p>
      <w:pPr>
        <w:spacing w:after="0" w:line="18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Schedule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750570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420" w:top="1440" w:right="339" w:bottom="1440" w:gutter="0" w:footer="0" w:header="0"/>
        </w:sectPr>
      </w:pPr>
    </w:p>
    <w:bookmarkStart w:id="31" w:name="page32"/>
    <w:bookmarkEnd w:id="31"/>
    <w:p>
      <w:pPr>
        <w:spacing w:after="0" w:line="77" w:lineRule="exact"/>
        <w:rPr>
          <w:sz w:val="20"/>
          <w:szCs w:val="20"/>
          <w:color w:val="auto"/>
        </w:rPr>
      </w:pPr>
    </w:p>
    <w:p>
      <w:pPr>
        <w:ind w:left="4972"/>
        <w:spacing w:after="0"/>
        <w:rPr>
          <w:sz w:val="20"/>
          <w:szCs w:val="20"/>
          <w:color w:val="auto"/>
        </w:rPr>
      </w:pPr>
      <w:r>
        <w:rPr>
          <w:rFonts w:ascii="Times New Roman" w:cs="Times New Roman" w:eastAsia="Times New Roman" w:hAnsi="Times New Roman"/>
          <w:sz w:val="20"/>
          <w:szCs w:val="20"/>
          <w:b w:val="1"/>
          <w:bCs w:val="1"/>
          <w:color w:val="auto"/>
        </w:rPr>
        <w:t>SCHEDULE II</w:t>
      </w:r>
    </w:p>
    <w:p>
      <w:pPr>
        <w:spacing w:after="0" w:line="220" w:lineRule="exact"/>
        <w:rPr>
          <w:sz w:val="20"/>
          <w:szCs w:val="20"/>
          <w:color w:val="auto"/>
        </w:rPr>
      </w:pPr>
    </w:p>
    <w:p>
      <w:pPr>
        <w:ind w:left="752" w:right="3319" w:hanging="752"/>
        <w:spacing w:after="0" w:line="464" w:lineRule="auto"/>
        <w:tabs>
          <w:tab w:leader="none" w:pos="399"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Issuer Free Writing Prospectuses not included in the Pricing Disclosure Package: Issuer Free Writing Prospectus, dated December 10, 2025.</w:t>
      </w:r>
    </w:p>
    <w:p>
      <w:pPr>
        <w:spacing w:after="0" w:line="1" w:lineRule="exact"/>
        <w:rPr>
          <w:rFonts w:ascii="Times New Roman" w:cs="Times New Roman" w:eastAsia="Times New Roman" w:hAnsi="Times New Roman"/>
          <w:sz w:val="20"/>
          <w:szCs w:val="20"/>
          <w:color w:val="auto"/>
        </w:rPr>
      </w:pPr>
    </w:p>
    <w:p>
      <w:pPr>
        <w:ind w:left="392" w:hanging="392"/>
        <w:spacing w:after="0"/>
        <w:tabs>
          <w:tab w:leader="none" w:pos="392"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Additional Documents Incorporated by Reference: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752" w:right="2359" w:hanging="752"/>
        <w:spacing w:after="0" w:line="464" w:lineRule="auto"/>
        <w:tabs>
          <w:tab w:leader="none" w:pos="399"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Information other than the Pricing Prospectus that comprises the Pricing Disclosure Package: The public offering price per share for the Shares is $13.50.</w:t>
      </w:r>
    </w:p>
    <w:p>
      <w:pPr>
        <w:spacing w:after="0" w:line="1" w:lineRule="exact"/>
        <w:rPr>
          <w:rFonts w:ascii="Times New Roman" w:cs="Times New Roman" w:eastAsia="Times New Roman" w:hAnsi="Times New Roman"/>
          <w:sz w:val="20"/>
          <w:szCs w:val="20"/>
          <w:color w:val="auto"/>
        </w:rPr>
      </w:pPr>
    </w:p>
    <w:p>
      <w:pPr>
        <w:ind w:left="752"/>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public offering price per Pre-Funded Warrant is $13.499.</w:t>
      </w:r>
    </w:p>
    <w:p>
      <w:pPr>
        <w:spacing w:after="0" w:line="215" w:lineRule="exact"/>
        <w:rPr>
          <w:rFonts w:ascii="Times New Roman" w:cs="Times New Roman" w:eastAsia="Times New Roman" w:hAnsi="Times New Roman"/>
          <w:sz w:val="20"/>
          <w:szCs w:val="20"/>
          <w:color w:val="auto"/>
        </w:rPr>
      </w:pPr>
    </w:p>
    <w:p>
      <w:pPr>
        <w:ind w:left="752" w:right="2899"/>
        <w:spacing w:after="0" w:line="464"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number of Firm Shares to be purchased by the Underwriters is 11,851,853. The number of Optional Shares to be purchased by the Underwriters is 1,944,456. The number of Pre-Funded Warrants is 1,111,193.</w:t>
      </w:r>
    </w:p>
    <w:p>
      <w:pPr>
        <w:spacing w:after="0" w:line="2" w:lineRule="exact"/>
        <w:rPr>
          <w:rFonts w:ascii="Times New Roman" w:cs="Times New Roman" w:eastAsia="Times New Roman" w:hAnsi="Times New Roman"/>
          <w:sz w:val="20"/>
          <w:szCs w:val="20"/>
          <w:color w:val="auto"/>
        </w:rPr>
      </w:pPr>
    </w:p>
    <w:p>
      <w:pPr>
        <w:ind w:left="512" w:hanging="512"/>
        <w:spacing w:after="0"/>
        <w:tabs>
          <w:tab w:leader="none" w:pos="512"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Written Testing-the-Waters Communications:</w:t>
      </w:r>
    </w:p>
    <w:p>
      <w:pPr>
        <w:spacing w:after="0" w:line="216" w:lineRule="exact"/>
        <w:rPr>
          <w:sz w:val="20"/>
          <w:szCs w:val="20"/>
          <w:color w:val="auto"/>
        </w:rPr>
      </w:pPr>
    </w:p>
    <w:p>
      <w:pPr>
        <w:ind w:left="752"/>
        <w:spacing w:after="0"/>
        <w:rPr>
          <w:sz w:val="20"/>
          <w:szCs w:val="20"/>
          <w:color w:val="auto"/>
        </w:rPr>
      </w:pPr>
      <w:r>
        <w:rPr>
          <w:rFonts w:ascii="Times New Roman" w:cs="Times New Roman" w:eastAsia="Times New Roman" w:hAnsi="Times New Roman"/>
          <w:sz w:val="20"/>
          <w:szCs w:val="20"/>
          <w:color w:val="auto"/>
        </w:rPr>
        <w:t>None.</w:t>
      </w:r>
    </w:p>
    <w:p>
      <w:pPr>
        <w:spacing w:after="0" w:line="211" w:lineRule="exact"/>
        <w:rPr>
          <w:sz w:val="20"/>
          <w:szCs w:val="20"/>
          <w:color w:val="auto"/>
        </w:rPr>
      </w:pPr>
    </w:p>
    <w:p>
      <w:pPr>
        <w:ind w:left="5112"/>
        <w:spacing w:after="0"/>
        <w:rPr>
          <w:sz w:val="20"/>
          <w:szCs w:val="20"/>
          <w:color w:val="auto"/>
        </w:rPr>
      </w:pPr>
      <w:r>
        <w:rPr>
          <w:rFonts w:ascii="Times New Roman" w:cs="Times New Roman" w:eastAsia="Times New Roman" w:hAnsi="Times New Roman"/>
          <w:sz w:val="22"/>
          <w:szCs w:val="22"/>
          <w:color w:val="auto"/>
        </w:rPr>
        <w:t>Schedule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744220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1"/>
          </w:cols>
          <w:pgMar w:left="328" w:top="1440" w:right="1440" w:bottom="1440" w:gutter="0" w:footer="0" w:header="0"/>
        </w:sectPr>
      </w:pPr>
    </w:p>
    <w:bookmarkStart w:id="32" w:name="page33"/>
    <w:bookmarkEnd w:id="32"/>
    <w:p>
      <w:pPr>
        <w:spacing w:after="0" w:line="77" w:lineRule="exact"/>
        <w:rPr>
          <w:sz w:val="20"/>
          <w:szCs w:val="20"/>
          <w:color w:val="auto"/>
        </w:rPr>
      </w:pPr>
    </w:p>
    <w:p>
      <w:pPr>
        <w:jc w:val="right"/>
        <w:ind w:right="3839"/>
        <w:spacing w:after="0"/>
        <w:rPr>
          <w:sz w:val="20"/>
          <w:szCs w:val="20"/>
          <w:color w:val="auto"/>
        </w:rPr>
      </w:pPr>
      <w:r>
        <w:rPr>
          <w:rFonts w:ascii="Times New Roman" w:cs="Times New Roman" w:eastAsia="Times New Roman" w:hAnsi="Times New Roman"/>
          <w:sz w:val="20"/>
          <w:szCs w:val="20"/>
          <w:b w:val="1"/>
          <w:bCs w:val="1"/>
          <w:color w:val="auto"/>
        </w:rPr>
        <w:t>SCHEDULE III</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Alex C. Sapir</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Alan Musso</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Curtis Oltmans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Robert J. Gould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Kate Haviland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Sonja L. Banks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Katina Dorton, JD, MBA</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Alan Ezekowitz</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James Geraghty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Colin Hill</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Rachel King</w:t>
      </w:r>
    </w:p>
    <w:p>
      <w:pPr>
        <w:spacing w:after="0" w:line="211"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2"/>
          <w:szCs w:val="22"/>
          <w:color w:val="auto"/>
        </w:rPr>
        <w:t>Schedule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744220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33" w:name="page34"/>
    <w:bookmarkEnd w:id="33"/>
    <w:p>
      <w:pPr>
        <w:spacing w:after="0" w:line="81" w:lineRule="exact"/>
        <w:rPr>
          <w:sz w:val="20"/>
          <w:szCs w:val="20"/>
          <w:color w:val="auto"/>
        </w:rPr>
      </w:pPr>
    </w:p>
    <w:p>
      <w:pPr>
        <w:ind w:left="10440"/>
        <w:spacing w:after="0"/>
        <w:rPr>
          <w:sz w:val="20"/>
          <w:szCs w:val="20"/>
          <w:color w:val="auto"/>
        </w:rPr>
      </w:pPr>
      <w:r>
        <w:rPr>
          <w:rFonts w:ascii="Times New Roman" w:cs="Times New Roman" w:eastAsia="Times New Roman" w:hAnsi="Times New Roman"/>
          <w:sz w:val="19"/>
          <w:szCs w:val="19"/>
          <w:color w:val="auto"/>
        </w:rPr>
        <w:t>ANNEX I</w:t>
      </w:r>
    </w:p>
    <w:p>
      <w:pPr>
        <w:spacing w:after="0" w:line="22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FORM OF PRE-FUNDED WARRANT TO PURCHASE COMMON STOCK</w:t>
      </w:r>
    </w:p>
    <w:p>
      <w:pPr>
        <w:sectPr>
          <w:pgSz w:w="11900" w:h="16838" w:orient="portrait"/>
          <w:cols w:equalWidth="0" w:num="1">
            <w:col w:w="11240"/>
          </w:cols>
          <w:pgMar w:left="320" w:top="1440" w:right="339" w:bottom="1440" w:gutter="0" w:footer="0" w:header="0"/>
        </w:sectPr>
      </w:pPr>
    </w:p>
    <w:p>
      <w:pPr>
        <w:spacing w:after="0" w:line="121"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 xml:space="preserve">Number of Shares: _____ (subject to adjustment) </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4"/>
          <w:szCs w:val="4"/>
          <w:color w:val="auto"/>
        </w:rPr>
        <w:t> </w:t>
      </w:r>
    </w:p>
    <w:p>
      <w:pPr>
        <w:spacing w:after="0" w:line="360" w:lineRule="exact"/>
        <w:rPr>
          <w:sz w:val="20"/>
          <w:szCs w:val="20"/>
          <w:color w:val="auto"/>
        </w:rPr>
      </w:pPr>
    </w:p>
    <w:p>
      <w:pPr>
        <w:sectPr>
          <w:pgSz w:w="11900" w:h="16838" w:orient="portrait"/>
          <w:cols w:equalWidth="0" w:num="2">
            <w:col w:w="10880" w:space="140"/>
            <w:col w:w="220"/>
          </w:cols>
          <w:pgMar w:left="320" w:top="1440" w:right="339" w:bottom="1440" w:gutter="0" w:footer="0" w:header="0"/>
          <w:type w:val="continuous"/>
        </w:sect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 No. _____</w:t>
      </w:r>
    </w:p>
    <w:p>
      <w:pPr>
        <w:spacing w:after="0" w:line="20" w:lineRule="exact"/>
        <w:rPr>
          <w:sz w:val="20"/>
          <w:szCs w:val="20"/>
          <w:color w:val="auto"/>
        </w:rPr>
      </w:pPr>
      <w:r>
        <w:rPr>
          <w:sz w:val="20"/>
          <w:szCs w:val="20"/>
          <w:color w:val="auto"/>
        </w:rPr>
        <w:br w:type="column"/>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Original Issue Date: _____, 2025</w:t>
      </w:r>
    </w:p>
    <w:p>
      <w:pPr>
        <w:spacing w:after="0" w:line="200" w:lineRule="exact"/>
        <w:rPr>
          <w:sz w:val="20"/>
          <w:szCs w:val="20"/>
          <w:color w:val="auto"/>
        </w:rPr>
      </w:pPr>
    </w:p>
    <w:p>
      <w:pPr>
        <w:sectPr>
          <w:pgSz w:w="11900" w:h="16838" w:orient="portrait"/>
          <w:cols w:equalWidth="0" w:num="2">
            <w:col w:w="8120" w:space="720"/>
            <w:col w:w="2400"/>
          </w:cols>
          <w:pgMar w:left="320" w:top="1440" w:right="339" w:bottom="1440" w:gutter="0" w:footer="0" w:header="0"/>
          <w:type w:val="continuous"/>
        </w:sectPr>
      </w:pPr>
    </w:p>
    <w:p>
      <w:pPr>
        <w:spacing w:after="0" w:line="129" w:lineRule="exact"/>
        <w:rPr>
          <w:sz w:val="20"/>
          <w:szCs w:val="20"/>
          <w:color w:val="auto"/>
        </w:rPr>
      </w:pPr>
    </w:p>
    <w:p>
      <w:pPr>
        <w:ind w:right="140" w:firstLine="509"/>
        <w:spacing w:after="0" w:line="263" w:lineRule="auto"/>
        <w:rPr>
          <w:sz w:val="20"/>
          <w:szCs w:val="20"/>
          <w:color w:val="auto"/>
        </w:rPr>
      </w:pPr>
      <w:r>
        <w:rPr>
          <w:rFonts w:ascii="Times New Roman" w:cs="Times New Roman" w:eastAsia="Times New Roman" w:hAnsi="Times New Roman"/>
          <w:sz w:val="18"/>
          <w:szCs w:val="18"/>
          <w:color w:val="auto"/>
        </w:rPr>
        <w:t>Fulcrum Therapeutics,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hereby certifies that, for good and valuable consideration, the receipt and sufficiency of which are hereby acknowledged, _____ or its registered assigns (the “</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is entitled, subject to the terms set forth below, to purchase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from the Company up to a total of _____ shares of common stock, $0.001 par value per share (the “</w:t>
      </w:r>
      <w:r>
        <w:rPr>
          <w:rFonts w:ascii="Times New Roman" w:cs="Times New Roman" w:eastAsia="Times New Roman" w:hAnsi="Times New Roman"/>
          <w:sz w:val="17"/>
          <w:szCs w:val="17"/>
          <w:b w:val="1"/>
          <w:bCs w:val="1"/>
          <w:color w:val="auto"/>
        </w:rPr>
        <w:t>Common Stock</w:t>
      </w:r>
      <w:r>
        <w:rPr>
          <w:rFonts w:ascii="Times New Roman" w:cs="Times New Roman" w:eastAsia="Times New Roman" w:hAnsi="Times New Roman"/>
          <w:sz w:val="17"/>
          <w:szCs w:val="17"/>
          <w:color w:val="auto"/>
        </w:rPr>
        <w:t>”), of the Company (each such share, a</w:t>
      </w:r>
    </w:p>
    <w:p>
      <w:pPr>
        <w:spacing w:after="0" w:line="21"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Warrant Share</w:t>
      </w:r>
      <w:r>
        <w:rPr>
          <w:rFonts w:ascii="Times New Roman" w:cs="Times New Roman" w:eastAsia="Times New Roman" w:hAnsi="Times New Roman"/>
          <w:sz w:val="18"/>
          <w:szCs w:val="18"/>
          <w:color w:val="auto"/>
        </w:rPr>
        <w:t>” and all such shares, the “</w:t>
      </w:r>
      <w:r>
        <w:rPr>
          <w:rFonts w:ascii="Times New Roman" w:cs="Times New Roman" w:eastAsia="Times New Roman" w:hAnsi="Times New Roman"/>
          <w:sz w:val="18"/>
          <w:szCs w:val="18"/>
          <w:b w:val="1"/>
          <w:bCs w:val="1"/>
          <w:color w:val="auto"/>
        </w:rPr>
        <w:t>Warrant Shares</w:t>
      </w:r>
      <w:r>
        <w:rPr>
          <w:rFonts w:ascii="Times New Roman" w:cs="Times New Roman" w:eastAsia="Times New Roman" w:hAnsi="Times New Roman"/>
          <w:sz w:val="18"/>
          <w:szCs w:val="18"/>
          <w:color w:val="auto"/>
        </w:rPr>
        <w:t>”) at an exercise price per share equal to $0.001 (the “</w:t>
      </w:r>
      <w:r>
        <w:rPr>
          <w:rFonts w:ascii="Times New Roman" w:cs="Times New Roman" w:eastAsia="Times New Roman" w:hAnsi="Times New Roman"/>
          <w:sz w:val="18"/>
          <w:szCs w:val="18"/>
          <w:b w:val="1"/>
          <w:bCs w:val="1"/>
          <w:color w:val="auto"/>
        </w:rPr>
        <w:t>Exercise Price</w:t>
      </w:r>
      <w:r>
        <w:rPr>
          <w:rFonts w:ascii="Times New Roman" w:cs="Times New Roman" w:eastAsia="Times New Roman" w:hAnsi="Times New Roman"/>
          <w:sz w:val="18"/>
          <w:szCs w:val="18"/>
          <w:color w:val="auto"/>
        </w:rPr>
        <w:t xml:space="preserve">”), in each case as adjusted from time to time as provided in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upon surrender of this Pre-Funded Warrant to Purchase Common Stock (including any Warrants to Purchase Common Stock issued in exchange, transfer or replacement hereof, the “</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at any time and from time to time on or after the date hereof (the “</w:t>
      </w:r>
      <w:r>
        <w:rPr>
          <w:rFonts w:ascii="Times New Roman" w:cs="Times New Roman" w:eastAsia="Times New Roman" w:hAnsi="Times New Roman"/>
          <w:sz w:val="18"/>
          <w:szCs w:val="18"/>
          <w:b w:val="1"/>
          <w:bCs w:val="1"/>
          <w:color w:val="auto"/>
        </w:rPr>
        <w:t>Original Issue Date</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Definitions</w:t>
      </w:r>
      <w:r>
        <w:rPr>
          <w:rFonts w:ascii="Times New Roman" w:cs="Times New Roman" w:eastAsia="Times New Roman" w:hAnsi="Times New Roman"/>
          <w:sz w:val="18"/>
          <w:szCs w:val="18"/>
          <w:color w:val="auto"/>
        </w:rPr>
        <w:t>. For purposes of this Warrant, the following terms shall have the following meanings:</w:t>
      </w:r>
    </w:p>
    <w:p>
      <w:pPr>
        <w:spacing w:after="0" w:line="117" w:lineRule="exact"/>
        <w:rPr>
          <w:sz w:val="20"/>
          <w:szCs w:val="20"/>
          <w:color w:val="auto"/>
        </w:rPr>
      </w:pPr>
    </w:p>
    <w:p>
      <w:pPr>
        <w:ind w:right="80" w:firstLine="50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with respect to any Person, any other Person that, directly or indirectly through one or more intermediates, controls, is controlled by or is under common control with such Person.</w:t>
      </w:r>
    </w:p>
    <w:p>
      <w:pPr>
        <w:spacing w:after="0" w:line="47" w:lineRule="exact"/>
        <w:rPr>
          <w:sz w:val="20"/>
          <w:szCs w:val="20"/>
          <w:color w:val="auto"/>
        </w:rPr>
      </w:pPr>
    </w:p>
    <w:p>
      <w:pPr>
        <w:ind w:right="160" w:firstLine="509"/>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Attribution Parties</w:t>
      </w:r>
      <w:r>
        <w:rPr>
          <w:rFonts w:ascii="Times New Roman" w:cs="Times New Roman" w:eastAsia="Times New Roman" w:hAnsi="Times New Roman"/>
          <w:sz w:val="18"/>
          <w:szCs w:val="18"/>
          <w:color w:val="auto"/>
        </w:rPr>
        <w:t>” means, collectively, the following Persons and entities: (i) any direct or indirect Affiliates of the Holder, (ii) any Person acting or who could be deemed to be acting as a Group together with the Holder or any Attribution Parties and (iii) any other Persons whose beneficial ownership of the Company’s Common Stock would or could be aggregated with the Holder’s and/or any other Attribution Parties for purposes of Section 13(d) or Section 16 of the Exchange Act. For clarity, the purpose of the foregoing is to subject collectively the Holder and all other Attribution Parties to the Beneficial Ownership Limitation and the HSR Threshold (each as defined below).</w:t>
      </w:r>
    </w:p>
    <w:p>
      <w:pPr>
        <w:spacing w:after="0" w:line="7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Sale Price</w:t>
      </w:r>
      <w:r>
        <w:rPr>
          <w:rFonts w:ascii="Times New Roman" w:cs="Times New Roman" w:eastAsia="Times New Roman" w:hAnsi="Times New Roman"/>
          <w:sz w:val="18"/>
          <w:szCs w:val="18"/>
          <w:color w:val="auto"/>
        </w:rPr>
        <w:t>” means, for any security as of any date, the last trade price for such security on the Principal Trading Market for such security, as reported by Bloomberg Financial Markets, or, if such Principal Trading Market begins to operate on an extended hours basis and does not designate the last trade price, then the last trade price of such security prior to 4:00 P.M., New York City time, as reported by Bloomberg Financial Markets, or if the foregoing do not apply, the last trade price of such security in the over-the-counter market on the electronic bulletin board for such security as reported by Bloomberg Financial Markets. If the Closing Sale Price cannot be calculated for a security on a particular date on any of the foregoing bases, the Closing Sale Price of such security on such date shall be the fair market value as mutually determined by the Company and the Holder. All such determinations shall be appropriately adjusted for any stock dividend, stock split, stock combination or other similar transaction during the applicable calculation period.</w:t>
      </w:r>
    </w:p>
    <w:p>
      <w:pPr>
        <w:spacing w:after="0" w:line="200" w:lineRule="exact"/>
        <w:rPr>
          <w:sz w:val="20"/>
          <w:szCs w:val="20"/>
          <w:color w:val="auto"/>
        </w:rPr>
      </w:pPr>
    </w:p>
    <w:p>
      <w:pPr>
        <w:spacing w:after="0" w:line="22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means the U.S. Securities and Exchange Commission.</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U.S. Securities Exchange Act of 1934, as amended, and all of the rules and regulations promulgated thereunder.</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Group</w:t>
      </w:r>
      <w:r>
        <w:rPr>
          <w:rFonts w:ascii="Times New Roman" w:cs="Times New Roman" w:eastAsia="Times New Roman" w:hAnsi="Times New Roman"/>
          <w:sz w:val="18"/>
          <w:szCs w:val="18"/>
          <w:color w:val="auto"/>
        </w:rPr>
        <w:t>” shall have the meaning ascribed to it in Section 13(d) of the Exchange Act, and all related rules, regulations and jurisprudence.</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HSR Act</w:t>
      </w:r>
      <w:r>
        <w:rPr>
          <w:rFonts w:ascii="Times New Roman" w:cs="Times New Roman" w:eastAsia="Times New Roman" w:hAnsi="Times New Roman"/>
          <w:sz w:val="18"/>
          <w:szCs w:val="18"/>
          <w:color w:val="auto"/>
        </w:rPr>
        <w:t>” means the Hart-Scott-Rodino Antitrust Improvements Act of 1976,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967105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4" w:name="page35"/>
    <w:bookmarkEnd w:id="34"/>
    <w:p>
      <w:pPr>
        <w:spacing w:after="0" w:line="190" w:lineRule="exact"/>
        <w:rPr>
          <w:sz w:val="20"/>
          <w:szCs w:val="20"/>
          <w:color w:val="auto"/>
        </w:rPr>
      </w:pPr>
    </w:p>
    <w:p>
      <w:pPr>
        <w:ind w:right="580" w:firstLine="50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partnership, corporation, limited liability company, business trust, joint stock company, trust, unincorporated association, joint venture or any other entity or organization.</w:t>
      </w:r>
    </w:p>
    <w:p>
      <w:pPr>
        <w:spacing w:after="0" w:line="47" w:lineRule="exact"/>
        <w:rPr>
          <w:sz w:val="20"/>
          <w:szCs w:val="20"/>
          <w:color w:val="auto"/>
        </w:rPr>
      </w:pPr>
    </w:p>
    <w:p>
      <w:pPr>
        <w:ind w:firstLine="50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Principal Trading Market</w:t>
      </w:r>
      <w:r>
        <w:rPr>
          <w:rFonts w:ascii="Times New Roman" w:cs="Times New Roman" w:eastAsia="Times New Roman" w:hAnsi="Times New Roman"/>
          <w:sz w:val="18"/>
          <w:szCs w:val="18"/>
          <w:color w:val="auto"/>
        </w:rPr>
        <w:t>” means the national securities exchange or other trading market on which the Common Stock is primarily listed on and quoted for trading, which, as of the Original Issue Date, shall be The Nasdaq Global Market.</w:t>
      </w:r>
    </w:p>
    <w:p>
      <w:pPr>
        <w:spacing w:after="0" w:line="4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means the Company’s Registration Statement on Form S-3 (File No. 333-277419), declared effective on April 25, 2024.</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U.S. Securities Act of 1933, as amended, and all of the rules and regulations promulgated thereunder.</w:t>
      </w:r>
    </w:p>
    <w:p>
      <w:pPr>
        <w:spacing w:after="0" w:line="117" w:lineRule="exact"/>
        <w:rPr>
          <w:sz w:val="20"/>
          <w:szCs w:val="20"/>
          <w:color w:val="auto"/>
        </w:rPr>
      </w:pPr>
    </w:p>
    <w:p>
      <w:pPr>
        <w:ind w:right="40" w:firstLine="50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Standard Settlement Period</w:t>
      </w:r>
      <w:r>
        <w:rPr>
          <w:rFonts w:ascii="Times New Roman" w:cs="Times New Roman" w:eastAsia="Times New Roman" w:hAnsi="Times New Roman"/>
          <w:sz w:val="18"/>
          <w:szCs w:val="18"/>
          <w:color w:val="auto"/>
        </w:rPr>
        <w:t>” means the standard settlement period, expressed in a number of Trading Days, for the Principal Trading Market with respect to the Common Stock that is in effect on the date of delivery of an applicable Exercise Notice, which as of the Original Issue Date was “T+1.”</w:t>
      </w:r>
    </w:p>
    <w:p>
      <w:pPr>
        <w:spacing w:after="0" w:line="4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any weekday on which the Principal Trading Market is normally open for trading.</w:t>
      </w:r>
    </w:p>
    <w:p>
      <w:pPr>
        <w:spacing w:after="0" w:line="117" w:lineRule="exact"/>
        <w:rPr>
          <w:sz w:val="20"/>
          <w:szCs w:val="20"/>
          <w:color w:val="auto"/>
        </w:rPr>
      </w:pPr>
    </w:p>
    <w:p>
      <w:pPr>
        <w:ind w:right="600" w:firstLine="50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 Agent</w:t>
      </w:r>
      <w:r>
        <w:rPr>
          <w:rFonts w:ascii="Times New Roman" w:cs="Times New Roman" w:eastAsia="Times New Roman" w:hAnsi="Times New Roman"/>
          <w:sz w:val="18"/>
          <w:szCs w:val="18"/>
          <w:color w:val="auto"/>
        </w:rPr>
        <w:t>” means Computershare Trust Company, N.A., the Company’s transfer agent and registrar for the Common Stock, and any successor appointed in such capacity.</w:t>
      </w:r>
    </w:p>
    <w:p>
      <w:pPr>
        <w:spacing w:after="0" w:line="47" w:lineRule="exact"/>
        <w:rPr>
          <w:sz w:val="20"/>
          <w:szCs w:val="20"/>
          <w:color w:val="auto"/>
        </w:rPr>
      </w:pPr>
    </w:p>
    <w:p>
      <w:pPr>
        <w:ind w:right="200" w:firstLine="509"/>
        <w:spacing w:after="0" w:line="255" w:lineRule="auto"/>
        <w:rPr>
          <w:sz w:val="20"/>
          <w:szCs w:val="20"/>
          <w:color w:val="auto"/>
        </w:rPr>
      </w:pPr>
      <w:r>
        <w:rPr>
          <w:rFonts w:ascii="Times New Roman" w:cs="Times New Roman" w:eastAsia="Times New Roman" w:hAnsi="Times New Roman"/>
          <w:sz w:val="18"/>
          <w:szCs w:val="18"/>
          <w:b w:val="1"/>
          <w:bCs w:val="1"/>
          <w:color w:val="auto"/>
        </w:rPr>
        <w:t>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Issuance of Securities; Registration of Warrants</w:t>
      </w:r>
      <w:r>
        <w:rPr>
          <w:rFonts w:ascii="Times New Roman" w:cs="Times New Roman" w:eastAsia="Times New Roman" w:hAnsi="Times New Roman"/>
          <w:sz w:val="18"/>
          <w:szCs w:val="18"/>
          <w:color w:val="auto"/>
        </w:rPr>
        <w:t>. This Warrant, as initially issued by the Company, is offered and sold pursuant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Registration Statement. As of the Original Issue Date, the Warrant Shares are issuable under the Registration Statement. Accordingly, the Warrant and, assuming issuance pursuant to the Registration Statement or an exchange meeting the requirements of Section 3(a)(9) of the Securities Act, the Warrant Shares are not “restricted securities” under Rule 144 promulgated under the Securities Act as in effect on the Original Issue Date. The Company shall register ownership of this Warrant, upon records to be maintained by the Company for that purpose (the “</w:t>
      </w:r>
      <w:r>
        <w:rPr>
          <w:rFonts w:ascii="Times New Roman" w:cs="Times New Roman" w:eastAsia="Times New Roman" w:hAnsi="Times New Roman"/>
          <w:sz w:val="18"/>
          <w:szCs w:val="18"/>
          <w:b w:val="1"/>
          <w:bCs w:val="1"/>
          <w:color w:val="auto"/>
        </w:rPr>
        <w:t>Warrant Register</w:t>
      </w:r>
      <w:r>
        <w:rPr>
          <w:rFonts w:ascii="Times New Roman" w:cs="Times New Roman" w:eastAsia="Times New Roman" w:hAnsi="Times New Roman"/>
          <w:sz w:val="18"/>
          <w:szCs w:val="18"/>
          <w:color w:val="auto"/>
        </w:rPr>
        <w:t>”), in the name of the record Holder (which shall include the initial Holder or, as the case may be, any assignee to which this Warrant is permissibly assigned hereunder)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77"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b w:val="1"/>
          <w:bCs w:val="1"/>
          <w:color w:val="auto"/>
        </w:rPr>
        <w:t>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Registration of Transfers</w:t>
      </w:r>
      <w:r>
        <w:rPr>
          <w:rFonts w:ascii="Times New Roman" w:cs="Times New Roman" w:eastAsia="Times New Roman" w:hAnsi="Times New Roman"/>
          <w:sz w:val="18"/>
          <w:szCs w:val="18"/>
          <w:color w:val="auto"/>
        </w:rPr>
        <w:t>. Subject to compliance with all applicable securities laws, the Company shall, or will cause its Transfer Agent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register the transfer of all or any portion of this Warrant in the Warrant Register, upon surrender of this Warrant, together with a written assignment of this Warrant substantially in the form attached hereto as Schedule 2 duly executed by the Holder, and payment for all applicable transfer taxes accompanied by reasonable evidence of authority of the party making such request that may be required by the Warrant Agent including, but not limited to, the signature guarantee of a guarantor institution which is a participant in a signature guarantee program approved by the Securities Transfer Association . Upon any such registration or transfer, a new warrant to purchase Common Stock in substantially the form of this Warrant (any such new warrant, a “</w:t>
      </w:r>
      <w:r>
        <w:rPr>
          <w:rFonts w:ascii="Times New Roman" w:cs="Times New Roman" w:eastAsia="Times New Roman" w:hAnsi="Times New Roman"/>
          <w:sz w:val="18"/>
          <w:szCs w:val="18"/>
          <w:b w:val="1"/>
          <w:bCs w:val="1"/>
          <w:color w:val="auto"/>
        </w:rPr>
        <w:t>New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evidencing the portion of this Warrant so transferred shall be issued to the transferee, and a New Warrant evidencing the remaining portion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this Warrant not so transferred, if any, shall be issued to the transferring Holder. The acceptance of the New Warrant by the transferee thereof shall be deemed the acceptance by such transferee of all of the rights and obligations in respect of the New Warrant that the Holder has in respect of this Warrant. The Company shall, or will cause its Transfer Agent to, prepare, issue and deliver at the Company’s own expense any New Warrant under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Until due presentment for registration of transfer, the Company may treat the registered Holder hereof as the owner and holder for all purposes, and the Company shall not be affected by any notice to the contrary.</w:t>
      </w:r>
    </w:p>
    <w:p>
      <w:pPr>
        <w:spacing w:after="0" w:line="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Exercise of Warrants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967105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5" w:name="page36"/>
    <w:bookmarkEnd w:id="35"/>
    <w:p>
      <w:pPr>
        <w:spacing w:after="0" w:line="194" w:lineRule="exact"/>
        <w:rPr>
          <w:sz w:val="20"/>
          <w:szCs w:val="20"/>
          <w:color w:val="auto"/>
        </w:rPr>
      </w:pPr>
    </w:p>
    <w:p>
      <w:pPr>
        <w:ind w:right="160" w:firstLine="891"/>
        <w:spacing w:after="0" w:line="282" w:lineRule="auto"/>
        <w:rPr>
          <w:sz w:val="20"/>
          <w:szCs w:val="20"/>
          <w:color w:val="auto"/>
        </w:rPr>
      </w:pPr>
      <w:r>
        <w:rPr>
          <w:rFonts w:ascii="Times New Roman" w:cs="Times New Roman" w:eastAsia="Times New Roman" w:hAnsi="Times New Roman"/>
          <w:sz w:val="18"/>
          <w:szCs w:val="18"/>
          <w:color w:val="auto"/>
        </w:rPr>
        <w:t xml:space="preserve">(a)  All or any part of this Warrant shall be exercisable by the registered Holder in any manner permitted by this Warrant (including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w:t>
      </w:r>
      <w:r>
        <w:rPr>
          <w:rFonts w:ascii="Times New Roman" w:cs="Times New Roman" w:eastAsia="Times New Roman" w:hAnsi="Times New Roman"/>
          <w:sz w:val="18"/>
          <w:szCs w:val="18"/>
          <w:color w:val="auto"/>
        </w:rPr>
        <w:t>) at any time and from time to time on or after the Original Issue Date, and such rights shall not expire.</w:t>
      </w:r>
    </w:p>
    <w:p>
      <w:pPr>
        <w:spacing w:after="0" w:line="5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 xml:space="preserve">(b)   The Holder may exercise this Warrant by delivering to the Company (i) an exercise notice, in the form attached as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Exercise Notice</w:t>
      </w:r>
      <w:r>
        <w:rPr>
          <w:rFonts w:ascii="Times New Roman" w:cs="Times New Roman" w:eastAsia="Times New Roman" w:hAnsi="Times New Roman"/>
          <w:sz w:val="18"/>
          <w:szCs w:val="18"/>
          <w:color w:val="auto"/>
        </w:rPr>
        <w:t>”), completed and duly signed, and (ii) payment of the Exercise Price for the number of Warrant Shares as to which this Warrant is being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exercised (which may take the form of a “cashless exercise” if so indicated in the Exercise Notice pursuant to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below), and the date on which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last of such items is delivered to the Company (as determined in accordance with the notice provisions hereof) is an </w:t>
      </w:r>
      <w:r>
        <w:rPr>
          <w:rFonts w:ascii="Times New Roman" w:cs="Times New Roman" w:eastAsia="Times New Roman" w:hAnsi="Times New Roman"/>
          <w:sz w:val="18"/>
          <w:szCs w:val="18"/>
          <w:b w:val="1"/>
          <w:bCs w:val="1"/>
          <w:color w:val="auto"/>
        </w:rPr>
        <w:t>“Exercise Date</w:t>
      </w:r>
      <w:r>
        <w:rPr>
          <w:rFonts w:ascii="Times New Roman" w:cs="Times New Roman" w:eastAsia="Times New Roman" w:hAnsi="Times New Roman"/>
          <w:sz w:val="18"/>
          <w:szCs w:val="18"/>
          <w:color w:val="auto"/>
        </w:rPr>
        <w:t>.” The Holder shall not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 required to deliver the original Warrant in order to effect an exercise hereunder. Execution and delivery of the Exercise Notice shall have the same effect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cancellation of the original Warrant and issuance of a New Warrant evidencing the right to purchase the remaining number of Warrant Shares, if any.</w:t>
      </w:r>
    </w:p>
    <w:p>
      <w:pPr>
        <w:spacing w:after="0" w:line="99" w:lineRule="exact"/>
        <w:rPr>
          <w:sz w:val="20"/>
          <w:szCs w:val="20"/>
          <w:color w:val="auto"/>
        </w:rPr>
      </w:pPr>
    </w:p>
    <w:p>
      <w:pPr>
        <w:ind w:right="100" w:firstLine="891"/>
        <w:spacing w:after="0" w:line="261" w:lineRule="auto"/>
        <w:rPr>
          <w:sz w:val="20"/>
          <w:szCs w:val="20"/>
          <w:color w:val="auto"/>
        </w:rPr>
      </w:pPr>
      <w:r>
        <w:rPr>
          <w:rFonts w:ascii="Times New Roman" w:cs="Times New Roman" w:eastAsia="Times New Roman" w:hAnsi="Times New Roman"/>
          <w:sz w:val="18"/>
          <w:szCs w:val="18"/>
          <w:color w:val="auto"/>
        </w:rPr>
        <w:t>(c)  The aggregate exercise price of this Warrant, except for the Exercise Price, was pre-funded to the Company on or before the Original Issue Date, and consequently no additional consideration other than the Exercise Price) shall be required by to be paid by the Holder to effect any exercise of this Warrant. The Holder shall not be entitled to the return or refund of all, or any portion, of such pre-funded exercise price under any circumstance or for any reason whatsoever.</w:t>
      </w:r>
    </w:p>
    <w:p>
      <w:pPr>
        <w:spacing w:after="0" w:line="72" w:lineRule="exact"/>
        <w:rPr>
          <w:sz w:val="20"/>
          <w:szCs w:val="20"/>
          <w:color w:val="auto"/>
        </w:rPr>
      </w:pPr>
    </w:p>
    <w:p>
      <w:pPr>
        <w:ind w:firstLine="899"/>
        <w:spacing w:after="0" w:line="266" w:lineRule="auto"/>
        <w:tabs>
          <w:tab w:leader="none" w:pos="1251"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and any assignee, by acceptance of this Warrant, acknowledge and agree that, by reason of the provisions of this section, following the purchase of a portion of the Warrant Shares hereunder, the number of Warrant Shares available for purchase hereunder at any given time may be less than the amount stated on the face hereof.</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Delivery of Warrant Shares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20" w:firstLine="891"/>
        <w:spacing w:after="0" w:line="252" w:lineRule="auto"/>
        <w:rPr>
          <w:sz w:val="20"/>
          <w:szCs w:val="20"/>
          <w:color w:val="auto"/>
        </w:rPr>
      </w:pPr>
      <w:r>
        <w:rPr>
          <w:rFonts w:ascii="Times New Roman" w:cs="Times New Roman" w:eastAsia="Times New Roman" w:hAnsi="Times New Roman"/>
          <w:sz w:val="18"/>
          <w:szCs w:val="18"/>
          <w:color w:val="auto"/>
        </w:rPr>
        <w:t>(a)  Upon exercise of this Warrant, the Company shall promptly (but in no event later than the number of Trading Days comprising the Standard Settlement Period following the Exercise Date), upon the request of the Holder, cause the Transfer Agent to credit such aggregate number of shares of Common Stock specified by the Holder in the Exercise Notice and to which the Holder is entitled pursuant to such exercise (the “</w:t>
      </w:r>
      <w:r>
        <w:rPr>
          <w:rFonts w:ascii="Times New Roman" w:cs="Times New Roman" w:eastAsia="Times New Roman" w:hAnsi="Times New Roman"/>
          <w:sz w:val="18"/>
          <w:szCs w:val="18"/>
          <w:b w:val="1"/>
          <w:bCs w:val="1"/>
          <w:color w:val="auto"/>
        </w:rPr>
        <w:t>Exercise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to (i) the Holder’s or its designee’s balance account with The Depository Trust Company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through its Deposit Withdrawal At Custodian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system or (ii) in book-entry form via a direct registration system (“</w:t>
      </w:r>
      <w:r>
        <w:rPr>
          <w:rFonts w:ascii="Times New Roman" w:cs="Times New Roman" w:eastAsia="Times New Roman" w:hAnsi="Times New Roman"/>
          <w:sz w:val="18"/>
          <w:szCs w:val="18"/>
          <w:b w:val="1"/>
          <w:bCs w:val="1"/>
          <w:color w:val="auto"/>
        </w:rPr>
        <w:t>DRS</w:t>
      </w:r>
      <w:r>
        <w:rPr>
          <w:rFonts w:ascii="Times New Roman" w:cs="Times New Roman" w:eastAsia="Times New Roman" w:hAnsi="Times New Roman"/>
          <w:sz w:val="18"/>
          <w:szCs w:val="18"/>
          <w:color w:val="auto"/>
        </w:rPr>
        <w:t>”) maintained by or on behalf of the Transfer Agent or if the Transfer Agent is then a participant in the DTC Fast Automated Securities Transfer Program (the “</w:t>
      </w:r>
      <w:r>
        <w:rPr>
          <w:rFonts w:ascii="Times New Roman" w:cs="Times New Roman" w:eastAsia="Times New Roman" w:hAnsi="Times New Roman"/>
          <w:sz w:val="18"/>
          <w:szCs w:val="18"/>
          <w:b w:val="1"/>
          <w:bCs w:val="1"/>
          <w:color w:val="auto"/>
        </w:rPr>
        <w:t>FAST Program</w:t>
      </w:r>
      <w:r>
        <w:rPr>
          <w:rFonts w:ascii="Times New Roman" w:cs="Times New Roman" w:eastAsia="Times New Roman" w:hAnsi="Times New Roman"/>
          <w:sz w:val="18"/>
          <w:szCs w:val="18"/>
          <w:color w:val="auto"/>
        </w:rPr>
        <w:t>”) and either (A) there is an effective registration statement permitting the issuance of the Warrant Shares to or the resale of such Warrant Shares by the Holder or (B) the Exercise Shares are eligible for resale by the Holder without volume or manner-of-sale restrictions pursuant to Rule 144 promulgated under the Securities Act (assuming cashless exercise of this Warrant). If the Transfer Agent is not a member of the FAST Program or if (A) and (B) above are not true, the Transfer Agent will either (i) record the Exercise Shares in the name of the Holder or its designee on the certificates reflecting the Exercise Shares with an appropriate legend regarding restriction on transferability, which shall be issued and dispatched by overnight courier to the address as specified in the Exercise Notice, and on the Company’s share register or (ii) issue such Exercise Shares in restricted book-entry form in the Company’s share register. The Holder, or any Person so designated by the Holder to receive Warrant Shares, shall be deemed to have become the holder of record of such Warrant Shares as of the Exercise Date, irrespective of the date such Warrant Shares are credited to the Holder’s DTC account, the date of the book entry positions or the date of delivery of the certificates evidencing such Exercise Shares, as the case may be.</w:t>
      </w:r>
    </w:p>
    <w:p>
      <w:pPr>
        <w:spacing w:after="0" w:line="88" w:lineRule="exact"/>
        <w:rPr>
          <w:sz w:val="20"/>
          <w:szCs w:val="20"/>
          <w:color w:val="auto"/>
        </w:rPr>
      </w:pPr>
    </w:p>
    <w:p>
      <w:pPr>
        <w:ind w:right="140" w:firstLine="891"/>
        <w:spacing w:after="0" w:line="255" w:lineRule="auto"/>
        <w:rPr>
          <w:sz w:val="20"/>
          <w:szCs w:val="20"/>
          <w:color w:val="auto"/>
        </w:rPr>
      </w:pPr>
      <w:r>
        <w:rPr>
          <w:rFonts w:ascii="Times New Roman" w:cs="Times New Roman" w:eastAsia="Times New Roman" w:hAnsi="Times New Roman"/>
          <w:sz w:val="18"/>
          <w:szCs w:val="18"/>
          <w:color w:val="auto"/>
        </w:rPr>
        <w:t xml:space="preserve">(b)  In addition to any other rights available to the Holder, if the Company fails to cause the Transfer Agent to deliver to the Holder or its designee Exercise Shares in the manner required pursuant to </w:t>
      </w:r>
      <w:r>
        <w:rPr>
          <w:rFonts w:ascii="Times New Roman" w:cs="Times New Roman" w:eastAsia="Times New Roman" w:hAnsi="Times New Roman"/>
          <w:sz w:val="18"/>
          <w:szCs w:val="18"/>
          <w:u w:val="single" w:color="auto"/>
          <w:color w:val="auto"/>
        </w:rPr>
        <w:t>Section 5(a)</w:t>
      </w:r>
      <w:r>
        <w:rPr>
          <w:rFonts w:ascii="Times New Roman" w:cs="Times New Roman" w:eastAsia="Times New Roman" w:hAnsi="Times New Roman"/>
          <w:sz w:val="18"/>
          <w:szCs w:val="18"/>
          <w:color w:val="auto"/>
        </w:rPr>
        <w:t xml:space="preserve"> within the Standard Settlement Period following the Exercise Date (other than a failure caused by incorrect or incomplete information provided by Holder to the Company) and the Holder or the Holder’s broker on its behalf purchases (in an open market transaction or otherwise) shares of Common Stock to deliver in satisfaction of a sale by the Holder of the Warrant Shares which the Holder anticipated receiving upon such exercise (a “</w:t>
      </w:r>
      <w:r>
        <w:rPr>
          <w:rFonts w:ascii="Times New Roman" w:cs="Times New Roman" w:eastAsia="Times New Roman" w:hAnsi="Times New Roman"/>
          <w:sz w:val="18"/>
          <w:szCs w:val="18"/>
          <w:b w:val="1"/>
          <w:bCs w:val="1"/>
          <w:color w:val="auto"/>
        </w:rPr>
        <w:t>Buy-In</w:t>
      </w:r>
      <w:r>
        <w:rPr>
          <w:rFonts w:ascii="Times New Roman" w:cs="Times New Roman" w:eastAsia="Times New Roman" w:hAnsi="Times New Roman"/>
          <w:sz w:val="18"/>
          <w:szCs w:val="18"/>
          <w:color w:val="auto"/>
        </w:rPr>
        <w:t>”) but did not receive within the Standard Settlement Period, then the Company shall, within two Trading Days after the Holder’s request and in the Holder’s sole discretion, promptly honor its obligation to deliver to the Holder or its designee the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941705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6" w:name="page37"/>
    <w:bookmarkEnd w:id="36"/>
    <w:p>
      <w:pPr>
        <w:spacing w:after="0" w:line="19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Shares pursuant to </w:t>
      </w:r>
      <w:r>
        <w:rPr>
          <w:rFonts w:ascii="Times New Roman" w:cs="Times New Roman" w:eastAsia="Times New Roman" w:hAnsi="Times New Roman"/>
          <w:sz w:val="18"/>
          <w:szCs w:val="18"/>
          <w:u w:val="single" w:color="auto"/>
          <w:color w:val="auto"/>
        </w:rPr>
        <w:t>Section 5(a)</w:t>
      </w:r>
      <w:r>
        <w:rPr>
          <w:rFonts w:ascii="Times New Roman" w:cs="Times New Roman" w:eastAsia="Times New Roman" w:hAnsi="Times New Roman"/>
          <w:sz w:val="18"/>
          <w:szCs w:val="18"/>
          <w:color w:val="auto"/>
        </w:rPr>
        <w:t xml:space="preserve"> and pay cash to the Holder in an amount equal to the excess (if any) of the Holder’s total purchase price (including brokerage commissions, if any) for the shares of Common Stock so purchased in the Buy-In, less the product of (A) the number of shares of Common Stock purchased in the Buy-In, times (B) the Closing Sale Price of a share of Common Stock on the Exercise Date. The Holder shall provide the Company written notice promptly after the occurrence of a Buy-In, indicating the amounts payable to the Holder in respect of the Buy-In together with applicable confirmations and other evidence reasonably requested by the Company.</w:t>
      </w:r>
    </w:p>
    <w:p>
      <w:pPr>
        <w:spacing w:after="0" w:line="75" w:lineRule="exact"/>
        <w:rPr>
          <w:sz w:val="20"/>
          <w:szCs w:val="20"/>
          <w:color w:val="auto"/>
        </w:rPr>
      </w:pPr>
    </w:p>
    <w:p>
      <w:pPr>
        <w:ind w:right="20" w:firstLine="891"/>
        <w:spacing w:after="0" w:line="253" w:lineRule="auto"/>
        <w:rPr>
          <w:sz w:val="20"/>
          <w:szCs w:val="20"/>
          <w:color w:val="auto"/>
        </w:rPr>
      </w:pPr>
      <w:r>
        <w:rPr>
          <w:rFonts w:ascii="Times New Roman" w:cs="Times New Roman" w:eastAsia="Times New Roman" w:hAnsi="Times New Roman"/>
          <w:sz w:val="18"/>
          <w:szCs w:val="18"/>
          <w:color w:val="auto"/>
        </w:rPr>
        <w:t xml:space="preserve">(c)  To the extent permitted by law and subject to </w:t>
      </w:r>
      <w:r>
        <w:rPr>
          <w:rFonts w:ascii="Times New Roman" w:cs="Times New Roman" w:eastAsia="Times New Roman" w:hAnsi="Times New Roman"/>
          <w:sz w:val="18"/>
          <w:szCs w:val="18"/>
          <w:u w:val="single" w:color="auto"/>
          <w:color w:val="auto"/>
        </w:rPr>
        <w:t>Section 5(b)</w:t>
      </w:r>
      <w:r>
        <w:rPr>
          <w:rFonts w:ascii="Times New Roman" w:cs="Times New Roman" w:eastAsia="Times New Roman" w:hAnsi="Times New Roman"/>
          <w:sz w:val="18"/>
          <w:szCs w:val="18"/>
          <w:color w:val="auto"/>
        </w:rPr>
        <w:t xml:space="preserve">, the Company’s obligations to issue and deliver Warrant Shares in accordance with and subject to the terms hereof (including the limitations set forth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below)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 or any breach or alleged breach by the Holder or any other Person of any obligation to the Company or any violation or alleged violation of law by the Holder or any other Person, and irrespective of any other circumstance that might otherwise limit such obligation of the Company to the Holder in connection with the issuance of Warrant Shares. Subject to </w:t>
      </w:r>
      <w:r>
        <w:rPr>
          <w:rFonts w:ascii="Times New Roman" w:cs="Times New Roman" w:eastAsia="Times New Roman" w:hAnsi="Times New Roman"/>
          <w:sz w:val="18"/>
          <w:szCs w:val="18"/>
          <w:u w:val="single" w:color="auto"/>
          <w:color w:val="auto"/>
        </w:rPr>
        <w:t>Section 5(b)</w:t>
      </w:r>
      <w:r>
        <w:rPr>
          <w:rFonts w:ascii="Times New Roman" w:cs="Times New Roman" w:eastAsia="Times New Roman" w:hAnsi="Times New Roman"/>
          <w:sz w:val="18"/>
          <w:szCs w:val="18"/>
          <w:color w:val="auto"/>
        </w:rPr>
        <w:t>, nothing herein shall limit the Holder’s right to pursue any other remedies available to it hereunder, at law or in equity including, without limitation, a decree of specific performance and/or injunctive relief with respect to the Company’s failure to timely deliver Exercise Shares; provided, however, that the Holder shall not be entitled to both (i) require the Company to reinstate the portion of the Warrant and equivalent number of Warrant Shares for which such exercise was not timely honored and (ii) receive the number of shares of Common Stock that would have been issued if the Company had timely complied with its delivery requirements under Section 5(a).</w:t>
      </w:r>
    </w:p>
    <w:p>
      <w:pPr>
        <w:spacing w:after="0" w:line="80"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8"/>
          <w:szCs w:val="18"/>
          <w:b w:val="1"/>
          <w:bCs w:val="1"/>
          <w:color w:val="auto"/>
        </w:rPr>
        <w:t>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Charges, Taxes and Expenses</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Issuance and delivery of Exercise Shares shall be made without charge to the Holder for any issue or transfer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tax, transfer agent fee or other incidental tax or expense (excluding any applicable stamp duties) in respect of the issuance of such shares, all of which taxes and expenses shall be paid by the Company; provided, however, that the Company shall not be required to pay any tax that may be payable in respect of any transfer involved in the registration of any Warrant Shares or the Warrants in a name other than that of the Holder or an Affiliate thereof. The Holder shall be responsible for all other tax liability that may arise as a result of holding or transferring this Warrant or receiving Warrant Shares upon exercise hereof.</w:t>
      </w:r>
    </w:p>
    <w:p>
      <w:pPr>
        <w:spacing w:after="0" w:line="74" w:lineRule="exact"/>
        <w:rPr>
          <w:sz w:val="20"/>
          <w:szCs w:val="20"/>
          <w:color w:val="auto"/>
        </w:rPr>
      </w:pPr>
    </w:p>
    <w:p>
      <w:pPr>
        <w:ind w:firstLine="509"/>
        <w:spacing w:after="0" w:line="267" w:lineRule="auto"/>
        <w:rPr>
          <w:sz w:val="20"/>
          <w:szCs w:val="20"/>
          <w:color w:val="auto"/>
        </w:rPr>
      </w:pPr>
      <w:r>
        <w:rPr>
          <w:rFonts w:ascii="Times New Roman" w:cs="Times New Roman" w:eastAsia="Times New Roman" w:hAnsi="Times New Roman"/>
          <w:sz w:val="18"/>
          <w:szCs w:val="18"/>
          <w:b w:val="1"/>
          <w:bCs w:val="1"/>
          <w:color w:val="auto"/>
        </w:rPr>
        <w:t>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Replacement of Warrant</w:t>
      </w:r>
      <w:r>
        <w:rPr>
          <w:rFonts w:ascii="Times New Roman" w:cs="Times New Roman" w:eastAsia="Times New Roman" w:hAnsi="Times New Roman"/>
          <w:sz w:val="18"/>
          <w:szCs w:val="18"/>
          <w:color w:val="auto"/>
        </w:rPr>
        <w:t>. If this Warrant is mutilated, lost, stolen or destroyed, the Company shall issue or cause to be issued in exchange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substitution for and upon cancellation hereof, or in lieu of and substitution for this Warrant, a New Warrant, but only upon receipt of evidence reasonably satisfactory to the Company of such loss, theft or destruction (in such case) and, in each case, a customary and reasonable contractual indemnity, if requested by the Company. If a New Warrant is requested as a result of a mutilation of this Warrant, then the Holder shall deliver such mutilated Warrant to the Company as a condition precedent to the Company’s obligation to issue the New Warrant.</w:t>
      </w:r>
    </w:p>
    <w:p>
      <w:pPr>
        <w:spacing w:after="0" w:line="200" w:lineRule="exact"/>
        <w:rPr>
          <w:sz w:val="20"/>
          <w:szCs w:val="20"/>
          <w:color w:val="auto"/>
        </w:rPr>
      </w:pPr>
    </w:p>
    <w:p>
      <w:pPr>
        <w:spacing w:after="0" w:line="21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b w:val="1"/>
          <w:bCs w:val="1"/>
          <w:color w:val="auto"/>
        </w:rPr>
        <w:t>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Reservation of Warrant Shares</w:t>
      </w:r>
      <w:r>
        <w:rPr>
          <w:rFonts w:ascii="Times New Roman" w:cs="Times New Roman" w:eastAsia="Times New Roman" w:hAnsi="Times New Roman"/>
          <w:sz w:val="18"/>
          <w:szCs w:val="18"/>
          <w:color w:val="auto"/>
        </w:rPr>
        <w:t>. The Company covenants that it will, at all times while this Warrant is outstanding, reserve and keep available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out of the aggregate of its authorized but unissued and otherwise unreserved Common Stock, solely for the purpose of enabling it to issue Warrant Shares upon exercise of this Warrant as herein provided, the number of Warrant Shares that are initially issuable and deliverable upon the exercise of this entire Warrant, free from preemptive rights or any other contingent purchase rights of persons other than the Holder (taking into account the adjustments and restrictions of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The Company covenants that all Warrant Shares so issuable and deliverable shall, upon issuance and the payment of the applicable Exercise Price in accordance with the terms hereof, be duly and validly authorized, issued and fully paid and non-assessable. The Company will take all such action as may be reasonably necessary to assure that such shares of Common Stock may be issued as provided herein without violation of any applicable law or regulation, or of any requirements of any securities exchange or automated quotation system upon which the Common Stock may be listed. The Company further covenants that it will not, without the prior written consent of the Holder, take any actions to increase the par value of the Common Stock at any time while this Warrant is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942340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7" w:name="page38"/>
    <w:bookmarkEnd w:id="37"/>
    <w:p>
      <w:pPr>
        <w:spacing w:after="0" w:line="190" w:lineRule="exact"/>
        <w:rPr>
          <w:sz w:val="20"/>
          <w:szCs w:val="20"/>
          <w:color w:val="auto"/>
        </w:rPr>
      </w:pPr>
    </w:p>
    <w:p>
      <w:pPr>
        <w:ind w:right="280"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Certain Adjustments</w:t>
      </w:r>
      <w:r>
        <w:rPr>
          <w:rFonts w:ascii="Times New Roman" w:cs="Times New Roman" w:eastAsia="Times New Roman" w:hAnsi="Times New Roman"/>
          <w:sz w:val="18"/>
          <w:szCs w:val="18"/>
          <w:color w:val="auto"/>
        </w:rPr>
        <w:t>. The Exercise Price and number of Warrant Shares issuable upon exercise of this Warrant (the “</w:t>
      </w:r>
      <w:r>
        <w:rPr>
          <w:rFonts w:ascii="Times New Roman" w:cs="Times New Roman" w:eastAsia="Times New Roman" w:hAnsi="Times New Roman"/>
          <w:sz w:val="18"/>
          <w:szCs w:val="18"/>
          <w:b w:val="1"/>
          <w:bCs w:val="1"/>
          <w:color w:val="auto"/>
        </w:rPr>
        <w:t>Number of Warrant Shares</w:t>
      </w:r>
      <w:r>
        <w:rPr>
          <w:rFonts w:ascii="Times New Roman" w:cs="Times New Roman" w:eastAsia="Times New Roman" w:hAnsi="Times New Roman"/>
          <w:sz w:val="18"/>
          <w:szCs w:val="18"/>
          <w:color w:val="auto"/>
        </w:rPr>
        <w:t>”) are subject to adjustment from time to time as set forth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w:t>
      </w:r>
    </w:p>
    <w:p>
      <w:pPr>
        <w:spacing w:after="0" w:line="51" w:lineRule="exact"/>
        <w:rPr>
          <w:sz w:val="20"/>
          <w:szCs w:val="20"/>
          <w:color w:val="auto"/>
        </w:rPr>
      </w:pPr>
    </w:p>
    <w:p>
      <w:pPr>
        <w:ind w:right="20" w:firstLine="891"/>
        <w:spacing w:after="0" w:line="253"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Stock Dividends and Splits</w:t>
      </w:r>
      <w:r>
        <w:rPr>
          <w:rFonts w:ascii="Times New Roman" w:cs="Times New Roman" w:eastAsia="Times New Roman" w:hAnsi="Times New Roman"/>
          <w:sz w:val="18"/>
          <w:szCs w:val="18"/>
          <w:color w:val="auto"/>
        </w:rPr>
        <w:t>. If the Company, at any time while this Warrant is outstanding, (i) pays a stock dividend on its Common Stock or otherwise makes a distribution on any class of capital stock issued and outstanding on the Original Issue Date and in accordance with the terms of such stock on the Original Issue Date or as amended, that is payable in shares of Common Stock, (ii) subdivides its outstanding shares of Common Stock into a larger number of shares of Common Stock, (iii) combines its outstanding shares of Common Stock into a smaller number of shares of Common Stock or (iv) issues by reclassification of shares of capital stock any additional shares of Common Stock of the Company, then in each such case the Number of Warrant Shares shall be multiplied by a fraction, the numerator of which shall be the number of shares of Common Stock outstanding immediately after such event and the denominator of which shall be the number of shares of Common Stock outstanding immediately before such event. Any adjustment made pursuant to clause (i) of this paragraph shall become effective immediately after the record date for the determination of stockholders entitled to receive such dividend or distribution, provided, however, that if such record date shall have been fixed and such dividend is not fully paid on the date fixed therefor, the Number of Warrant Shares shall be recomputed accordingly as of the close of business on such record date and thereafter the Number of Warrant Shares shall be adjusted pursuant to this paragraph as of the time of actual payment of such dividends. Any adjustment pursuant to clause (ii), (iii) or (iv) of this paragraph shall become effective immediately after the effective date of such subdivision, combination or issuance.</w:t>
      </w:r>
    </w:p>
    <w:p>
      <w:pPr>
        <w:spacing w:after="0" w:line="82" w:lineRule="exact"/>
        <w:rPr>
          <w:sz w:val="20"/>
          <w:szCs w:val="20"/>
          <w:color w:val="auto"/>
        </w:rPr>
      </w:pPr>
    </w:p>
    <w:p>
      <w:pPr>
        <w:ind w:right="20" w:firstLine="891"/>
        <w:spacing w:after="0" w:line="254"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Pro Rata Distributions</w:t>
      </w:r>
      <w:r>
        <w:rPr>
          <w:rFonts w:ascii="Times New Roman" w:cs="Times New Roman" w:eastAsia="Times New Roman" w:hAnsi="Times New Roman"/>
          <w:sz w:val="18"/>
          <w:szCs w:val="18"/>
          <w:color w:val="auto"/>
        </w:rPr>
        <w:t xml:space="preserve">. If, on or after the Original Issue Date, the Company shall declare or make any dividend or other pro rata distribution of its assets (or rights to acquire its assets) to holders of shares of Common Stock, by way of return of capital or otherwise (including, without limitation, any distribution of cash, stock or other securities, property, options, evidence of indebtedness or any other assets by way of a dividend, spin off, reclassification, corporate rearrangement, scheme of arrangement or other similar transaction, but, for the avoidance of doubt, excluding any distribution of shares of Common Stock subject to </w:t>
      </w:r>
      <w:r>
        <w:rPr>
          <w:rFonts w:ascii="Times New Roman" w:cs="Times New Roman" w:eastAsia="Times New Roman" w:hAnsi="Times New Roman"/>
          <w:sz w:val="18"/>
          <w:szCs w:val="18"/>
          <w:u w:val="single" w:color="auto"/>
          <w:color w:val="auto"/>
        </w:rPr>
        <w:t>Section 9(a)</w:t>
      </w:r>
      <w:r>
        <w:rPr>
          <w:rFonts w:ascii="Times New Roman" w:cs="Times New Roman" w:eastAsia="Times New Roman" w:hAnsi="Times New Roman"/>
          <w:sz w:val="18"/>
          <w:szCs w:val="18"/>
          <w:color w:val="auto"/>
        </w:rPr>
        <w:t xml:space="preserve">, any distribution of Purchase Rights (as defined below) subject to </w:t>
      </w:r>
      <w:r>
        <w:rPr>
          <w:rFonts w:ascii="Times New Roman" w:cs="Times New Roman" w:eastAsia="Times New Roman" w:hAnsi="Times New Roman"/>
          <w:sz w:val="18"/>
          <w:szCs w:val="18"/>
          <w:u w:val="single" w:color="auto"/>
          <w:color w:val="auto"/>
        </w:rPr>
        <w:t>Section 9(c)</w:t>
      </w:r>
      <w:r>
        <w:rPr>
          <w:rFonts w:ascii="Times New Roman" w:cs="Times New Roman" w:eastAsia="Times New Roman" w:hAnsi="Times New Roman"/>
          <w:sz w:val="18"/>
          <w:szCs w:val="18"/>
          <w:color w:val="auto"/>
        </w:rPr>
        <w:t xml:space="preserve"> and any Fundamental Transaction (as defined below) subject to </w:t>
      </w:r>
      <w:r>
        <w:rPr>
          <w:rFonts w:ascii="Times New Roman" w:cs="Times New Roman" w:eastAsia="Times New Roman" w:hAnsi="Times New Roman"/>
          <w:sz w:val="18"/>
          <w:szCs w:val="18"/>
          <w:u w:val="single" w:color="auto"/>
          <w:color w:val="auto"/>
        </w:rPr>
        <w:t>Section 9(d))</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b w:val="1"/>
          <w:bCs w:val="1"/>
          <w:color w:val="auto"/>
        </w:rPr>
        <w:t>Distribution</w:t>
      </w:r>
      <w:r>
        <w:rPr>
          <w:rFonts w:ascii="Times New Roman" w:cs="Times New Roman" w:eastAsia="Times New Roman" w:hAnsi="Times New Roman"/>
          <w:sz w:val="18"/>
          <w:szCs w:val="18"/>
          <w:color w:val="auto"/>
        </w:rPr>
        <w: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or restrictions on exercise of this Warrant, including without limitation, the Beneficial Ownership Limitation and/or the HSR Threshold) immediately before the date on which a record is taken for such Distribution, or, if no such record is taken, the date as of which the record holders of shares of Common Stock are to be determined for the participation in such Distribution (provided, that to the extent that the Holder’s right to participate in any such Distribution would result in the Holder and the other Attribution Parties exceeding the Beneficial Ownership Limitation and/or the HSR Threshold, then the Holder shall not be entitled to participate in such Distribution to such extent (and shall not be entitled to beneficial ownership of such shares of Common Stock as a result of such Distribution (and beneficial ownership) to such extent) and the portion of such Distribution shall be held in abeyance for the benefit of the Holder until such time or times as its right thereto would not result in the Holder and the other Attribution Parties exceeding the Beneficial Ownership Limitation and/or the HSR Threshold, at which time or times the Holder shall be granted such Distribution (and any Distributions declared or made on such initial Distribution or on any subsequent Distribution held similarly in abeyance) to the same extent as if there had been no such limitation).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2239010</wp:posOffset>
            </wp:positionH>
            <wp:positionV relativeFrom="paragraph">
              <wp:posOffset>-1692275</wp:posOffset>
            </wp:positionV>
            <wp:extent cx="2857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63" w:lineRule="exact"/>
        <w:rPr>
          <w:sz w:val="20"/>
          <w:szCs w:val="20"/>
          <w:color w:val="auto"/>
        </w:rPr>
      </w:pPr>
    </w:p>
    <w:p>
      <w:pPr>
        <w:ind w:firstLine="891"/>
        <w:spacing w:after="0" w:line="254"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If at any time on or after the Original Issue Date, the Company grants, issues or sells any Options, Convertible Securities or rights to purchase stock, warrants, securities or other property, in each case pro rata to the record holders of any class of Common Stock (the “</w:t>
      </w:r>
      <w:r>
        <w:rPr>
          <w:rFonts w:ascii="Times New Roman" w:cs="Times New Roman" w:eastAsia="Times New Roman" w:hAnsi="Times New Roman"/>
          <w:sz w:val="18"/>
          <w:szCs w:val="18"/>
          <w:b w:val="1"/>
          <w:bCs w:val="1"/>
          <w:color w:val="auto"/>
        </w:rPr>
        <w:t>Purchase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could have acquired if the Holder had held the number of shares of Common Stock acquirable upon complete exercise of this Warrant (without regard to any limitations or restrictions on exercise of this Warrant, including without limitation, the Beneficial Ownership Limitation and/or the HSR Threshold) immediately before the date on which a record is taken for the grant, issuance or sale of such Purchase Rights, or, if no such record is taken, the date as of which the record holders of Common Stock are to be determined for the grant, issuance or sale of such Purchase Rights (provided, that to the extent that the Holder’s right to participate in any such Purchase Right would result in the Holder and the other Attribution Parties exceeding Beneficial Ownership Limitation and/or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941705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19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HSR Threshold, then the Holder shall not be entitled to participate in such Purchase Right to such extent (and shall not be entitled to beneficial ownership of such Common Stock as a result of such Purchase Right (and beneficial ownership) to such extent) and at the Holder’s election, in its sole discretion, either (1) such Purchase Right to such extent shall be held in abeyance for the benefit of the Holder until such time or times as its right thereto would not result in the Holder and the other Attribution Parties exceeding the Maximum Percentage, at which time or times the Holder shall be granted such right (and any Purchase Right granted, issued or sold on such initial Purchase Right or on any subsequent Purchase Right to be held similarly in abeyance) to the same extent as if there had been no such limitation or (2) the Company shall offer the Holder the right upon exercise of such Purchase Right to acquire a security (e.g. a pre-funded warrant) that would not result in the Holder and the other Attribution Parties exceeding the Beneficial Ownership Limitation and/or the HSR Threshold but will otherwise to the extent possible have economic and other rights, preferences and privileges substantially consistent and on par with the securities or other property issuable upon exercise of the originally offered Purchase Rights). As used in this </w:t>
      </w:r>
      <w:r>
        <w:rPr>
          <w:rFonts w:ascii="Times New Roman" w:cs="Times New Roman" w:eastAsia="Times New Roman" w:hAnsi="Times New Roman"/>
          <w:sz w:val="18"/>
          <w:szCs w:val="18"/>
          <w:u w:val="single" w:color="auto"/>
          <w:color w:val="auto"/>
        </w:rPr>
        <w:t>Section 9(c)</w:t>
      </w:r>
      <w:r>
        <w:rPr>
          <w:rFonts w:ascii="Times New Roman" w:cs="Times New Roman" w:eastAsia="Times New Roman" w:hAnsi="Times New Roman"/>
          <w:sz w:val="18"/>
          <w:szCs w:val="18"/>
          <w:color w:val="auto"/>
        </w:rPr>
        <w:t>, (i) “</w:t>
      </w:r>
      <w:r>
        <w:rPr>
          <w:rFonts w:ascii="Times New Roman" w:cs="Times New Roman" w:eastAsia="Times New Roman" w:hAnsi="Times New Roman"/>
          <w:sz w:val="18"/>
          <w:szCs w:val="18"/>
          <w:b w:val="1"/>
          <w:bCs w:val="1"/>
          <w:color w:val="auto"/>
        </w:rPr>
        <w:t>Options</w:t>
      </w:r>
      <w:r>
        <w:rPr>
          <w:rFonts w:ascii="Times New Roman" w:cs="Times New Roman" w:eastAsia="Times New Roman" w:hAnsi="Times New Roman"/>
          <w:sz w:val="18"/>
          <w:szCs w:val="18"/>
          <w:color w:val="auto"/>
        </w:rPr>
        <w:t>” means any rights, warrants or options to subscribe for or purchase shares of Common Stock or Convertible Securities and (ii) “</w:t>
      </w:r>
      <w:r>
        <w:rPr>
          <w:rFonts w:ascii="Times New Roman" w:cs="Times New Roman" w:eastAsia="Times New Roman" w:hAnsi="Times New Roman"/>
          <w:sz w:val="18"/>
          <w:szCs w:val="18"/>
          <w:b w:val="1"/>
          <w:bCs w:val="1"/>
          <w:color w:val="auto"/>
        </w:rPr>
        <w:t>Convertible Securities</w:t>
      </w:r>
      <w:r>
        <w:rPr>
          <w:rFonts w:ascii="Times New Roman" w:cs="Times New Roman" w:eastAsia="Times New Roman" w:hAnsi="Times New Roman"/>
          <w:sz w:val="18"/>
          <w:szCs w:val="18"/>
          <w:color w:val="auto"/>
        </w:rPr>
        <w:t>” mean any stock or securities (other than Options) directly or indirectly convertible into or exercisable or exchangeable for shares of Common Stock.</w:t>
      </w:r>
    </w:p>
    <w:p>
      <w:pPr>
        <w:spacing w:after="0" w:line="84" w:lineRule="exact"/>
        <w:rPr>
          <w:sz w:val="20"/>
          <w:szCs w:val="20"/>
          <w:color w:val="auto"/>
        </w:rPr>
      </w:pPr>
    </w:p>
    <w:p>
      <w:pPr>
        <w:ind w:firstLine="891"/>
        <w:spacing w:after="0" w:line="251"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Fundamental Transactions</w:t>
      </w:r>
      <w:r>
        <w:rPr>
          <w:rFonts w:ascii="Times New Roman" w:cs="Times New Roman" w:eastAsia="Times New Roman" w:hAnsi="Times New Roman"/>
          <w:sz w:val="18"/>
          <w:szCs w:val="18"/>
          <w:color w:val="auto"/>
        </w:rPr>
        <w:t xml:space="preserve">. If, at any time while this Warrant is outstanding (i) the Company effects any merger or consolidation of the Company with or into another Person, in which the Company is not the surviving entity or in which the stockholders of the Company immediately prior to such merger or consolidation do not own, directly or indirectly, at least 50% of the voting power of the surviving entity immediately after such merger or consolidation, (ii) the Company effects any sale to another Person of all or substantially all of its assets in one or a series of related transactions, (iii) pursuant to any tender offer or exchange offer (whether by the Company or another Person), holders of capital stock tender shares representing more than 50% of the voting power of the capital stock of the Company and the Company or such other Person, as applicable, accepts such tender for payment, (iv) the Company consummates a stock purchase agreement or other business combination (including, without limitation, a reorganization, recapitalization, spin-off or scheme of arrangement) with another Person whereby such other Person acquires more than 50% of the voting power of the capital stock of the Company (except for any such transaction in which the stockholders of the Company immediately prior to such transaction maintain, in substantially the same proportions, the voting power of such Person immediately after the transaction) or (v) the Company effects any reclassification of the Common Stock or any compulsory share exchange pursuant to which the Common Stock is effectively converted into or exchanged for other securities, cash or property (other than as a result of a subdivision or combination of shares of Common Stock covered by </w:t>
      </w:r>
      <w:r>
        <w:rPr>
          <w:rFonts w:ascii="Times New Roman" w:cs="Times New Roman" w:eastAsia="Times New Roman" w:hAnsi="Times New Roman"/>
          <w:sz w:val="18"/>
          <w:szCs w:val="18"/>
          <w:u w:val="single" w:color="auto"/>
          <w:color w:val="auto"/>
        </w:rPr>
        <w:t>Section 9(a)</w:t>
      </w:r>
      <w:r>
        <w:rPr>
          <w:rFonts w:ascii="Times New Roman" w:cs="Times New Roman" w:eastAsia="Times New Roman" w:hAnsi="Times New Roman"/>
          <w:sz w:val="18"/>
          <w:szCs w:val="18"/>
          <w:color w:val="auto"/>
        </w:rPr>
        <w:t xml:space="preserve"> above) (in any such case, a “</w:t>
      </w:r>
      <w:r>
        <w:rPr>
          <w:rFonts w:ascii="Times New Roman" w:cs="Times New Roman" w:eastAsia="Times New Roman" w:hAnsi="Times New Roman"/>
          <w:sz w:val="18"/>
          <w:szCs w:val="18"/>
          <w:b w:val="1"/>
          <w:bCs w:val="1"/>
          <w:color w:val="auto"/>
        </w:rPr>
        <w:t>Fundamental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Transaction</w:t>
      </w:r>
      <w:r>
        <w:rPr>
          <w:rFonts w:ascii="Times New Roman" w:cs="Times New Roman" w:eastAsia="Times New Roman" w:hAnsi="Times New Roman"/>
          <w:sz w:val="18"/>
          <w:szCs w:val="18"/>
          <w:color w:val="auto"/>
        </w:rPr>
        <w:t>”), then following such Fundamental Transaction the Holder shall have the right to receive, upon exercise of this Warrant, the same amount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kind of securities, cash or property as it would have been entitled to receive upon the occurrence of such Fundamental Transaction if it had been, immediately prior to such Fundamental Transaction, the holder of the number of Warrant Shares then issuable upon exercise in full of this Warrant (including any Distributions or Purchase Rights then held in abeyance pursuant to </w:t>
      </w:r>
      <w:r>
        <w:rPr>
          <w:rFonts w:ascii="Times New Roman" w:cs="Times New Roman" w:eastAsia="Times New Roman" w:hAnsi="Times New Roman"/>
          <w:sz w:val="18"/>
          <w:szCs w:val="18"/>
          <w:u w:val="single" w:color="auto"/>
          <w:color w:val="auto"/>
        </w:rPr>
        <w:t>Sections 9(b)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9(c)</w:t>
      </w:r>
      <w:r>
        <w:rPr>
          <w:rFonts w:ascii="Times New Roman" w:cs="Times New Roman" w:eastAsia="Times New Roman" w:hAnsi="Times New Roman"/>
          <w:sz w:val="18"/>
          <w:szCs w:val="18"/>
          <w:color w:val="auto"/>
        </w:rPr>
        <w:t xml:space="preserve"> above) without regard to any limitations or restriction on exercise contained herein, including without limitation, the Beneficial Ownership Limitation and/or the HSR Threshold (the “</w:t>
      </w:r>
      <w:r>
        <w:rPr>
          <w:rFonts w:ascii="Times New Roman" w:cs="Times New Roman" w:eastAsia="Times New Roman" w:hAnsi="Times New Roman"/>
          <w:sz w:val="18"/>
          <w:szCs w:val="18"/>
          <w:b w:val="1"/>
          <w:bCs w:val="1"/>
          <w:color w:val="auto"/>
        </w:rPr>
        <w:t>Alternate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Consideration</w:t>
      </w:r>
      <w:r>
        <w:rPr>
          <w:rFonts w:ascii="Times New Roman" w:cs="Times New Roman" w:eastAsia="Times New Roman" w:hAnsi="Times New Roman"/>
          <w:sz w:val="18"/>
          <w:szCs w:val="18"/>
          <w:color w:val="auto"/>
        </w:rPr>
        <w:t>”). The Company shall not effect any Fundamental Transaction in which the Company is not the surviving entity or the Alternate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Consideration includes securities of another Person unless (i) the Alternate Consideration is solely cash and the Company provides for the simultaneous “cashless exercise” of this Warrant pursuant to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below or (ii) prior to or simultaneously with the consummation thereof, any successor to the Company, surviving entity or other Person (including any purchaser of assets of the Company) shall assume the obligation to deliver to the Holder such Alternate Consideration as, in accordance with the foregoing provisions, the Holder may be entitled to receive, and the other obligations under this Warrant. The provisions of this paragraph (d) shall similarly apply to subsequent transactions analogous to a Fundamental Transaction type.</w:t>
      </w:r>
    </w:p>
    <w:p>
      <w:pPr>
        <w:spacing w:after="0" w:line="97" w:lineRule="exact"/>
        <w:rPr>
          <w:sz w:val="20"/>
          <w:szCs w:val="20"/>
          <w:color w:val="auto"/>
        </w:rPr>
      </w:pPr>
    </w:p>
    <w:p>
      <w:pPr>
        <w:ind w:firstLine="891"/>
        <w:spacing w:after="0" w:line="271"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Number of Warrant Shares</w:t>
      </w:r>
      <w:r>
        <w:rPr>
          <w:rFonts w:ascii="Times New Roman" w:cs="Times New Roman" w:eastAsia="Times New Roman" w:hAnsi="Times New Roman"/>
          <w:sz w:val="18"/>
          <w:szCs w:val="18"/>
          <w:color w:val="auto"/>
        </w:rPr>
        <w:t xml:space="preserve">. Simultaneously with any adjustment to the Number of Warrant Shares pursuant to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the Exercise Price shall be increased or decreased proportionately, so that after such adjustment the aggregate Exercise Price payable hereunder for the increased or decreased Number of Warrant Shares shall be the same as the aggregate Exercise Price in effect immediately prior to such adjustment. Notwithstanding the foregoing, in no event may the Exercise Price be adjusted below the par value of the Common Stock then in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9" w:name="page40"/>
    <w:bookmarkEnd w:id="39"/>
    <w:p>
      <w:pPr>
        <w:spacing w:after="0" w:line="8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xml:space="preserve">. All calculations under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shall be made to the nearest one-tenth of one cent or the nearest share, as applicable.</w:t>
      </w:r>
    </w:p>
    <w:p>
      <w:pPr>
        <w:spacing w:after="0" w:line="117" w:lineRule="exact"/>
        <w:rPr>
          <w:sz w:val="20"/>
          <w:szCs w:val="20"/>
          <w:color w:val="auto"/>
        </w:rPr>
      </w:pPr>
    </w:p>
    <w:p>
      <w:pPr>
        <w:ind w:right="20" w:firstLine="891"/>
        <w:spacing w:after="0" w:line="256" w:lineRule="auto"/>
        <w:rPr>
          <w:sz w:val="20"/>
          <w:szCs w:val="20"/>
          <w:color w:val="auto"/>
        </w:rPr>
      </w:pP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u w:val="single" w:color="auto"/>
          <w:color w:val="auto"/>
        </w:rPr>
        <w:t>Notice of Adjustments</w:t>
      </w:r>
      <w:r>
        <w:rPr>
          <w:rFonts w:ascii="Times New Roman" w:cs="Times New Roman" w:eastAsia="Times New Roman" w:hAnsi="Times New Roman"/>
          <w:sz w:val="18"/>
          <w:szCs w:val="18"/>
          <w:color w:val="auto"/>
        </w:rPr>
        <w:t xml:space="preserve">. Upon the occurrence of each adjustment pursuant to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the Company at its expense will, at the written request of the Holder, promptly compute such adjustment, in good faith, in accordance with the terms of this Warrant and prepare a certificate setting forth such adjustment, including a statement of the adjusted Exercise Price and adjusted number or type of Warrant Shares or other securities issuable upon exercise of this Warrant (as applicable), describing the transactions giving rise to such adjustments and showing in detail the facts upon which such adjustment is based. Upon written request, the Company will promptly deliver a copy of each such certificate to the Holder and to the Company’s transfer agent.</w:t>
      </w:r>
    </w:p>
    <w:p>
      <w:pPr>
        <w:spacing w:after="0" w:line="79" w:lineRule="exact"/>
        <w:rPr>
          <w:sz w:val="20"/>
          <w:szCs w:val="20"/>
          <w:color w:val="auto"/>
        </w:rPr>
      </w:pPr>
    </w:p>
    <w:p>
      <w:pPr>
        <w:ind w:firstLine="891"/>
        <w:spacing w:after="0" w:line="253" w:lineRule="auto"/>
        <w:rPr>
          <w:sz w:val="20"/>
          <w:szCs w:val="20"/>
          <w:color w:val="auto"/>
        </w:rPr>
      </w:pPr>
      <w:r>
        <w:rPr>
          <w:rFonts w:ascii="Times New Roman" w:cs="Times New Roman" w:eastAsia="Times New Roman" w:hAnsi="Times New Roman"/>
          <w:sz w:val="18"/>
          <w:szCs w:val="18"/>
          <w:color w:val="auto"/>
        </w:rPr>
        <w:t xml:space="preserve">(h)  </w:t>
      </w:r>
      <w:r>
        <w:rPr>
          <w:rFonts w:ascii="Times New Roman" w:cs="Times New Roman" w:eastAsia="Times New Roman" w:hAnsi="Times New Roman"/>
          <w:sz w:val="18"/>
          <w:szCs w:val="18"/>
          <w:u w:val="single" w:color="auto"/>
          <w:color w:val="auto"/>
        </w:rPr>
        <w:t>Notice of Corporate Events</w:t>
      </w:r>
      <w:r>
        <w:rPr>
          <w:rFonts w:ascii="Times New Roman" w:cs="Times New Roman" w:eastAsia="Times New Roman" w:hAnsi="Times New Roman"/>
          <w:sz w:val="18"/>
          <w:szCs w:val="18"/>
          <w:color w:val="auto"/>
        </w:rPr>
        <w:t xml:space="preserve">. If, while this Warrant is outstanding, the Company (i) declares a dividend or any other distribution of cash, securities or other property in respect of its Common Stock, including, without limitation, any granting of rights or warrants to subscribe for or purchase any capital stock of the Company or any subsidiary, (ii) authorizes or approves, enters into any agreement contemplating or solicits stockholder approval for any Fundamental Transaction or (iii) authorizes the voluntary dissolution, liquidation or winding up of the affairs of the Company, then the Company shall deliver to the Holder a notice of such transaction at least ten days prior to the applicable record or effective date on which a Person would need to hold Common Stock in order to participate in or vote with respect to such transaction; provided, however, that the failure to deliver such notice or any defect therein shall not affect the validity of the corporate action required to be described in such notice. In addition, if while this Warrant is outstanding, the Company authorizes or approves, enters into any agreement contemplating or solicits stockholder approval for any Fundamental Transaction contemplated by </w:t>
      </w:r>
      <w:r>
        <w:rPr>
          <w:rFonts w:ascii="Times New Roman" w:cs="Times New Roman" w:eastAsia="Times New Roman" w:hAnsi="Times New Roman"/>
          <w:sz w:val="18"/>
          <w:szCs w:val="18"/>
          <w:u w:val="single" w:color="auto"/>
          <w:color w:val="auto"/>
        </w:rPr>
        <w:t>Section 9(d)</w:t>
      </w:r>
      <w:r>
        <w:rPr>
          <w:rFonts w:ascii="Times New Roman" w:cs="Times New Roman" w:eastAsia="Times New Roman" w:hAnsi="Times New Roman"/>
          <w:sz w:val="18"/>
          <w:szCs w:val="18"/>
          <w:color w:val="auto"/>
        </w:rPr>
        <w:t xml:space="preserve">, other than a Fundamental Transaction under clause (iii) of </w:t>
      </w:r>
      <w:r>
        <w:rPr>
          <w:rFonts w:ascii="Times New Roman" w:cs="Times New Roman" w:eastAsia="Times New Roman" w:hAnsi="Times New Roman"/>
          <w:sz w:val="18"/>
          <w:szCs w:val="18"/>
          <w:u w:val="single" w:color="auto"/>
          <w:color w:val="auto"/>
        </w:rPr>
        <w:t>Section 9(d),</w:t>
      </w:r>
      <w:r>
        <w:rPr>
          <w:rFonts w:ascii="Times New Roman" w:cs="Times New Roman" w:eastAsia="Times New Roman" w:hAnsi="Times New Roman"/>
          <w:sz w:val="18"/>
          <w:szCs w:val="18"/>
          <w:color w:val="auto"/>
        </w:rPr>
        <w:t xml:space="preserve"> the Company shall deliver to the Holder a notice of such Fundamental Transaction at least 30 days prior to the date such Fundamental Transaction is consummated. Holder agrees to maintain any information disclosed pursuant to this </w:t>
      </w:r>
      <w:r>
        <w:rPr>
          <w:rFonts w:ascii="Times New Roman" w:cs="Times New Roman" w:eastAsia="Times New Roman" w:hAnsi="Times New Roman"/>
          <w:sz w:val="18"/>
          <w:szCs w:val="18"/>
          <w:u w:val="single" w:color="auto"/>
          <w:color w:val="auto"/>
        </w:rPr>
        <w:t>Section 9(h)</w:t>
      </w:r>
      <w:r>
        <w:rPr>
          <w:rFonts w:ascii="Times New Roman" w:cs="Times New Roman" w:eastAsia="Times New Roman" w:hAnsi="Times New Roman"/>
          <w:sz w:val="18"/>
          <w:szCs w:val="18"/>
          <w:color w:val="auto"/>
        </w:rPr>
        <w:t xml:space="preserve"> in confidence until such information is publicly available, and shall comply with applicable law with respect to trading in the Company’s securities following receipt of any such information.</w:t>
      </w:r>
    </w:p>
    <w:p>
      <w:pPr>
        <w:spacing w:after="0" w:line="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Payment of Exercise Price</w:t>
      </w:r>
      <w:r>
        <w:rPr>
          <w:rFonts w:ascii="Times New Roman" w:cs="Times New Roman" w:eastAsia="Times New Roman" w:hAnsi="Times New Roman"/>
          <w:sz w:val="18"/>
          <w:szCs w:val="18"/>
          <w:color w:val="auto"/>
        </w:rPr>
        <w:t>. Notwithstanding anything contained herein to the</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contrary, the Holder may, in its sole discretion, satisfy its obligation to pay the Exercise Price through a “cashless exercise”, in which event the Company shall issue to the Holder the number of Warrant Shares in an exchange of securities effected pursuant to Section 3(a)(9) of the Securities Act, determined as follows:</w:t>
      </w:r>
    </w:p>
    <w:p>
      <w:pPr>
        <w:spacing w:after="0" w:line="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X = Y [(A-B)/A]</w:t>
      </w:r>
    </w:p>
    <w:p>
      <w:pPr>
        <w:spacing w:after="0" w:line="11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where:</w:t>
      </w:r>
    </w:p>
    <w:p>
      <w:pPr>
        <w:sectPr>
          <w:pgSz w:w="11900" w:h="16838" w:orient="portrait"/>
          <w:cols w:equalWidth="0" w:num="1">
            <w:col w:w="11240"/>
          </w:cols>
          <w:pgMar w:left="320" w:top="1440" w:right="339" w:bottom="1440" w:gutter="0" w:footer="0" w:header="0"/>
        </w:sectPr>
      </w:pPr>
    </w:p>
    <w:p>
      <w:pPr>
        <w:spacing w:after="0" w:line="14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“X” </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equals the number of Warrant Shares to be issued to the Holder;</w:t>
      </w:r>
    </w:p>
    <w:p>
      <w:pPr>
        <w:spacing w:after="0" w:line="200" w:lineRule="exact"/>
        <w:rPr>
          <w:sz w:val="20"/>
          <w:szCs w:val="20"/>
          <w:color w:val="auto"/>
        </w:rPr>
      </w:pPr>
    </w:p>
    <w:p>
      <w:pPr>
        <w:sectPr>
          <w:pgSz w:w="11900" w:h="16838" w:orient="portrait"/>
          <w:cols w:equalWidth="0" w:num="2">
            <w:col w:w="1240" w:space="120"/>
            <w:col w:w="9880"/>
          </w:cols>
          <w:pgMar w:left="320" w:top="1440" w:right="339" w:bottom="1440" w:gutter="0" w:footer="0" w:header="0"/>
          <w:type w:val="continuous"/>
        </w:sectPr>
      </w:pPr>
    </w:p>
    <w:p>
      <w:pPr>
        <w:spacing w:after="0" w:line="2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“Y” </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equals the total number of Warrant Shares with respect to which this Warrant is then being exercised;</w:t>
      </w:r>
    </w:p>
    <w:p>
      <w:pPr>
        <w:spacing w:after="0" w:line="117" w:lineRule="exact"/>
        <w:rPr>
          <w:sz w:val="20"/>
          <w:szCs w:val="20"/>
          <w:color w:val="auto"/>
        </w:rPr>
      </w:pPr>
    </w:p>
    <w:p>
      <w:pPr>
        <w:sectPr>
          <w:pgSz w:w="11900" w:h="16838" w:orient="portrait"/>
          <w:cols w:equalWidth="0" w:num="2">
            <w:col w:w="1240" w:space="120"/>
            <w:col w:w="9880"/>
          </w:cols>
          <w:pgMar w:left="320" w:top="1440" w:right="339" w:bottom="1440" w:gutter="0" w:footer="0" w:header="0"/>
          <w:type w:val="continuous"/>
        </w:sectPr>
      </w:pPr>
    </w:p>
    <w:p>
      <w:pPr>
        <w:ind w:left="900"/>
        <w:spacing w:after="0"/>
        <w:rPr>
          <w:sz w:val="20"/>
          <w:szCs w:val="20"/>
          <w:color w:val="auto"/>
        </w:rPr>
      </w:pPr>
      <w:r>
        <w:rPr>
          <w:rFonts w:ascii="Times New Roman" w:cs="Times New Roman" w:eastAsia="Times New Roman" w:hAnsi="Times New Roman"/>
          <w:sz w:val="13"/>
          <w:szCs w:val="13"/>
          <w:color w:val="auto"/>
        </w:rPr>
        <w:t>“A” 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equals the Closing Sale Price of the shares of Common Stock as of the Trading Day on the date immediately preceding the Exercise</w:t>
      </w:r>
    </w:p>
    <w:p>
      <w:pPr>
        <w:spacing w:after="0" w:line="27" w:lineRule="exact"/>
        <w:rPr>
          <w:sz w:val="20"/>
          <w:szCs w:val="20"/>
          <w:color w:val="auto"/>
        </w:rPr>
      </w:pPr>
    </w:p>
    <w:p>
      <w:pPr>
        <w:sectPr>
          <w:pgSz w:w="11900" w:h="16838" w:orient="portrait"/>
          <w:cols w:equalWidth="0" w:num="2">
            <w:col w:w="1240" w:space="120"/>
            <w:col w:w="9880"/>
          </w:cols>
          <w:pgMar w:left="320" w:top="1440"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Date; and</w:t>
      </w:r>
    </w:p>
    <w:p>
      <w:pPr>
        <w:sectPr>
          <w:pgSz w:w="11900" w:h="16838" w:orient="portrait"/>
          <w:cols w:equalWidth="0" w:num="1">
            <w:col w:w="11240"/>
          </w:cols>
          <w:pgMar w:left="320" w:top="1440" w:right="339" w:bottom="1440" w:gutter="0" w:footer="0" w:header="0"/>
          <w:type w:val="continuous"/>
        </w:sectPr>
      </w:pPr>
    </w:p>
    <w:p>
      <w:pPr>
        <w:spacing w:after="0" w:line="9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2"/>
          <w:szCs w:val="12"/>
          <w:color w:val="auto"/>
        </w:rPr>
        <w:t>“B” </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equals the Exercise Price then in effect for the applicable Warrant Shares at the time of such exercise.</w:t>
      </w:r>
    </w:p>
    <w:p>
      <w:pPr>
        <w:spacing w:after="0" w:line="117" w:lineRule="exact"/>
        <w:rPr>
          <w:sz w:val="20"/>
          <w:szCs w:val="20"/>
          <w:color w:val="auto"/>
        </w:rPr>
      </w:pPr>
    </w:p>
    <w:p>
      <w:pPr>
        <w:sectPr>
          <w:pgSz w:w="11900" w:h="16838" w:orient="portrait"/>
          <w:cols w:equalWidth="0" w:num="2">
            <w:col w:w="1220" w:space="140"/>
            <w:col w:w="9880"/>
          </w:cols>
          <w:pgMar w:left="320" w:top="1440" w:right="339" w:bottom="1440" w:gutter="0" w:footer="0" w:header="0"/>
          <w:type w:val="continuous"/>
        </w:sect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 xml:space="preserve">If the Warrant Shares are issued in such a cashless exercise, the Company acknowledges and agrees that, in accordance with Section 3(a)(9) of the Securities Act, the Exercise Shares issued in such exercise shall take on the registered characteristics of the Warrants being exercised and may be tacked on to the holding period of the Warrants being exercised. Except as set forth in </w:t>
      </w:r>
      <w:r>
        <w:rPr>
          <w:rFonts w:ascii="Times New Roman" w:cs="Times New Roman" w:eastAsia="Times New Roman" w:hAnsi="Times New Roman"/>
          <w:sz w:val="18"/>
          <w:szCs w:val="18"/>
          <w:u w:val="single" w:color="auto"/>
          <w:color w:val="auto"/>
        </w:rPr>
        <w:t>Section 5(b)</w:t>
      </w:r>
      <w:r>
        <w:rPr>
          <w:rFonts w:ascii="Times New Roman" w:cs="Times New Roman" w:eastAsia="Times New Roman" w:hAnsi="Times New Roman"/>
          <w:sz w:val="18"/>
          <w:szCs w:val="18"/>
          <w:color w:val="auto"/>
        </w:rPr>
        <w:t xml:space="preserve"> (buy-in remedy) and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(No Fractional Shares), in no event will the exercise of this Warrant be settled in cash. In the event that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935990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40" w:name="page41"/>
    <w:bookmarkEnd w:id="40"/>
    <w:p>
      <w:pPr>
        <w:spacing w:after="0" w:line="19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or another registration statement registering the issuance of Warrant Shares is, for any reason, not effective at the time of exercise of this Warrant, then the Warrant may only be exercised through a cashless exercise, as set forth in this Section 10.</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Limitations on Exercise</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firstLine="891"/>
        <w:spacing w:after="0" w:line="251" w:lineRule="auto"/>
        <w:rPr>
          <w:sz w:val="20"/>
          <w:szCs w:val="20"/>
          <w:color w:val="auto"/>
        </w:rPr>
      </w:pPr>
      <w:r>
        <w:rPr>
          <w:rFonts w:ascii="Times New Roman" w:cs="Times New Roman" w:eastAsia="Times New Roman" w:hAnsi="Times New Roman"/>
          <w:sz w:val="18"/>
          <w:szCs w:val="18"/>
          <w:color w:val="auto"/>
        </w:rPr>
        <w:t>(a)  Notwithstanding anything to the contrary contained herein, the Company shall not effect the exercise of any portion of this Warrant, and the Holder of this Warrant shall not exercise any portion of the Warrant, and any such exercise shall be null and void ab initio and treated as if the exercise had not been made, to the extent that immediately prior to or following such exercise, the Holder, together with the Attribution Parties, beneficially owns or would beneficially own as determined in accordance with Section 13(d) of the Exchange Act more than 4.99% (or, upon election by a Holder prior to the issuance of any Warrants, 9.99%) (the “</w:t>
      </w:r>
      <w:r>
        <w:rPr>
          <w:rFonts w:ascii="Times New Roman" w:cs="Times New Roman" w:eastAsia="Times New Roman" w:hAnsi="Times New Roman"/>
          <w:sz w:val="18"/>
          <w:szCs w:val="18"/>
          <w:b w:val="1"/>
          <w:bCs w:val="1"/>
          <w:color w:val="auto"/>
        </w:rPr>
        <w:t>Beneficial Ownership Limitation</w:t>
      </w:r>
      <w:r>
        <w:rPr>
          <w:rFonts w:ascii="Times New Roman" w:cs="Times New Roman" w:eastAsia="Times New Roman" w:hAnsi="Times New Roman"/>
          <w:sz w:val="18"/>
          <w:szCs w:val="18"/>
          <w:color w:val="auto"/>
        </w:rPr>
        <w:t xml:space="preserve">”) of the issued and outstanding Common Stock or any other class of equity security (other than an exempted security) of the Company that is registered pursuant to Section 12 of the Exchange Act. For purposes of calculating beneficial ownership, the aggregate number of shares of Common Stock held and/or beneficially owned by the Holder together with the Attribution Parties, shall include the number of shares of Common Stock held and/or beneficially owned by the Holder together with the Attribution Parties plus the number of shares of Common Stock issuable upon exercise of the relevant Warrant with respect to which the determination is being made but shall exclude the number of shares of Common Stock which would be issuable upon (i) exercise of the remaining, unexercised Warrant held and/or beneficially owned by the Holder or the Attribution Parties and (ii) exercise or conversion of the unexercised or unconverted portion of any other securities of the Company held and/or beneficially owned by such Holder or any Attribution Party (including, without limitation, any convertible notes, convertible stock or warrants) that are subject to a limitation on conversion or exercise analogous to the limitation contained herein. For purposes of this </w:t>
      </w:r>
      <w:r>
        <w:rPr>
          <w:rFonts w:ascii="Times New Roman" w:cs="Times New Roman" w:eastAsia="Times New Roman" w:hAnsi="Times New Roman"/>
          <w:sz w:val="18"/>
          <w:szCs w:val="18"/>
          <w:u w:val="single" w:color="auto"/>
          <w:color w:val="auto"/>
        </w:rPr>
        <w:t>Paragraph 11(a)</w:t>
      </w:r>
      <w:r>
        <w:rPr>
          <w:rFonts w:ascii="Times New Roman" w:cs="Times New Roman" w:eastAsia="Times New Roman" w:hAnsi="Times New Roman"/>
          <w:sz w:val="18"/>
          <w:szCs w:val="18"/>
          <w:color w:val="auto"/>
        </w:rPr>
        <w:t>, beneficial ownership of the Holder or the Attribution Parties shall, except as set forth in the immediately preceding sentence, be calculated and determined in accordance with Section 13(d) of the Exchange Act and the rules promulgated thereunder, it being acknowledged and agreed that the Holder is solely responsible for any schedules required to be filed in accordance therewith. For purposes of this Warrant, in determining the number of outstanding shares of Common Stock, the Holder may acquire upon the exercise of this Warrant without exceeding the Beneficial Ownership Limitation, the Holder of this Warrant may rely on the number of outstanding shares of Common Stock as reflected in (1) the Company’s most recent Form 10-K, Form 10-Q, Current Report on Form 8-K or other public filing with the Securities and Exchange Commission, as the case may be, (2) a more recent public announcement by the Company or (3) any other notice by the Company or the Company’s transfer agent setting forth the number of shares of Common Stock outstanding (such issued and outstanding shares, the “</w:t>
      </w:r>
      <w:r>
        <w:rPr>
          <w:rFonts w:ascii="Times New Roman" w:cs="Times New Roman" w:eastAsia="Times New Roman" w:hAnsi="Times New Roman"/>
          <w:sz w:val="18"/>
          <w:szCs w:val="18"/>
          <w:b w:val="1"/>
          <w:bCs w:val="1"/>
          <w:color w:val="auto"/>
        </w:rPr>
        <w:t>Reported Outstanding Share Number</w:t>
      </w:r>
      <w:r>
        <w:rPr>
          <w:rFonts w:ascii="Times New Roman" w:cs="Times New Roman" w:eastAsia="Times New Roman" w:hAnsi="Times New Roman"/>
          <w:sz w:val="18"/>
          <w:szCs w:val="18"/>
          <w:color w:val="auto"/>
        </w:rPr>
        <w:t xml:space="preserve">”). For any reason at any time, upon the written or oral request of the Holder, the Company shall within one Trading Day confirm orally and in writing or by electronic mail to the Holder the number of shares of Common Stock then outstanding. The Holder shall disclose to the Company the number of shares of Common Stock that it, together with the Attribution Parties holds and/or beneficially owns and has the right to acquire through the exercise of derivative securities and any limitations on exercise or conversion analogous to the limitation contained herein contemporaneously or immediately prior to submitting an Exercise Notice for the relevant Warrant. If the Company receives an Exercise Notice from the Holder at a time when the actual number of outstanding shares of Common Stock is less than the Reported Outstanding Share Number, the Company shall (i) notify the Holder in writing of the number of shares of Common Stock then outstanding and, to the extent that such Exercise Notice would otherwise cause the Holder’s, together with the Attribution Parties’, beneficial ownership, as determined pursuant to this </w:t>
      </w:r>
      <w:r>
        <w:rPr>
          <w:rFonts w:ascii="Times New Roman" w:cs="Times New Roman" w:eastAsia="Times New Roman" w:hAnsi="Times New Roman"/>
          <w:sz w:val="18"/>
          <w:szCs w:val="18"/>
          <w:u w:val="single" w:color="auto"/>
          <w:color w:val="auto"/>
        </w:rPr>
        <w:t>Section 11(a)</w:t>
      </w:r>
      <w:r>
        <w:rPr>
          <w:rFonts w:ascii="Times New Roman" w:cs="Times New Roman" w:eastAsia="Times New Roman" w:hAnsi="Times New Roman"/>
          <w:sz w:val="18"/>
          <w:szCs w:val="18"/>
          <w:color w:val="auto"/>
        </w:rPr>
        <w:t>, to exceed the Maximum Percentage, the Holder must notify the Company of a reduced number of Warrant Shares to be purchased pursuant to such Exercise Notice (the number of shares by which such purchase is reduced, the “</w:t>
      </w:r>
      <w:r>
        <w:rPr>
          <w:rFonts w:ascii="Times New Roman" w:cs="Times New Roman" w:eastAsia="Times New Roman" w:hAnsi="Times New Roman"/>
          <w:sz w:val="18"/>
          <w:szCs w:val="18"/>
          <w:b w:val="1"/>
          <w:bCs w:val="1"/>
          <w:color w:val="auto"/>
        </w:rPr>
        <w:t>Reduction Shares</w:t>
      </w:r>
      <w:r>
        <w:rPr>
          <w:rFonts w:ascii="Times New Roman" w:cs="Times New Roman" w:eastAsia="Times New Roman" w:hAnsi="Times New Roman"/>
          <w:sz w:val="18"/>
          <w:szCs w:val="18"/>
          <w:color w:val="auto"/>
        </w:rPr>
        <w:t>”) and (ii) as soon as reasonably practicable, the Company shall return to the Holder any exercise price paid by the Holder for the Reduction Shares. In any case, the number of outstanding shares of Common Stock shall be determined after giving effect to the conversion or exercise of securities of the Company, including this Warrant, by the Holder and the Attribution Parties since the date as of which the Reported Outstanding Share Number was reported. In the event that the issuance of Common Stock to the Holder upon exercise of this Warrant results in the Holder, together with the Attribution Parties, being deemed to beneficially own, in the aggregate, more than the Maximum Percentage of the number of outstanding shares of Common Stock (as determined under Section 13(d) of the Exchange Act), the number of shares so issued by which the Holder’s, together with the Attribution Parties’, aggregate beneficial ownership exceeds the Maximum Percentage (the “</w:t>
      </w:r>
      <w:r>
        <w:rPr>
          <w:rFonts w:ascii="Times New Roman" w:cs="Times New Roman" w:eastAsia="Times New Roman" w:hAnsi="Times New Roman"/>
          <w:sz w:val="18"/>
          <w:szCs w:val="18"/>
          <w:b w:val="1"/>
          <w:bCs w:val="1"/>
          <w:color w:val="auto"/>
        </w:rPr>
        <w:t>Excess Shares</w:t>
      </w:r>
      <w:r>
        <w:rPr>
          <w:rFonts w:ascii="Times New Roman" w:cs="Times New Roman" w:eastAsia="Times New Roman" w:hAnsi="Times New Roman"/>
          <w:sz w:val="18"/>
          <w:szCs w:val="18"/>
          <w:color w:val="auto"/>
        </w:rPr>
        <w:t>”) shall be deemed null and void and shall be cancelled ab initio, and the Holder and/or the Attribution Parties shall not have the power to vote or to transfer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947420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194"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Excess Shares. As soon as reasonably practicable after the issuance of the Excess Shares has been deemed null and void, the Company shall return to the Holder the exercise price paid by the Holder for the Excess Shares. Any purported delivery of any number of shares of Common Stock or any other security upon exercise of Warrants shall be void and have no effect to the extent, but only to the extent, that before or after such delivery, the exercising Holder, together with the other Attribution Parties would have beneficial ownership in excess of the Beneficial Ownership Limitation. By written notice to the Company, a Holder of this Warrant may from time to time increase or decrease the Beneficial Ownership Limitation to any other percentage not in excess of 19.99% specified in such notice; provided that any increase in the Beneficial Ownership Limitation will not be effective until the 61st day after such notice is delivered to the Company and shall not negatively affect any partial exercise effected prior to such change.</w:t>
      </w:r>
    </w:p>
    <w:p>
      <w:pPr>
        <w:spacing w:after="0" w:line="81" w:lineRule="exact"/>
        <w:rPr>
          <w:sz w:val="20"/>
          <w:szCs w:val="20"/>
          <w:color w:val="auto"/>
        </w:rPr>
      </w:pPr>
    </w:p>
    <w:p>
      <w:pPr>
        <w:ind w:right="40" w:firstLine="891"/>
        <w:spacing w:after="0" w:line="254" w:lineRule="auto"/>
        <w:rPr>
          <w:sz w:val="20"/>
          <w:szCs w:val="20"/>
          <w:color w:val="auto"/>
        </w:rPr>
      </w:pPr>
      <w:r>
        <w:rPr>
          <w:rFonts w:ascii="Times New Roman" w:cs="Times New Roman" w:eastAsia="Times New Roman" w:hAnsi="Times New Roman"/>
          <w:sz w:val="18"/>
          <w:szCs w:val="18"/>
          <w:color w:val="auto"/>
        </w:rPr>
        <w:t>(b)  Notwithstanding anything to the contrary contained herein, if any exercise of this Warrant would result in the Holder, together with the other Attribution Parties, acquiring beneficial ownership of Warrant Shares (together with all other equity of the Company owned by the Holder at such time) with a value equal to or in excess of the notification threshold applicable to the Holder under the HSR Act as of the date of delivery of the applicable Exercise Notice (the “</w:t>
      </w:r>
      <w:r>
        <w:rPr>
          <w:rFonts w:ascii="Times New Roman" w:cs="Times New Roman" w:eastAsia="Times New Roman" w:hAnsi="Times New Roman"/>
          <w:sz w:val="18"/>
          <w:szCs w:val="18"/>
          <w:b w:val="1"/>
          <w:bCs w:val="1"/>
          <w:color w:val="auto"/>
        </w:rPr>
        <w:t>HSR Threshold</w:t>
      </w:r>
      <w:r>
        <w:rPr>
          <w:rFonts w:ascii="Times New Roman" w:cs="Times New Roman" w:eastAsia="Times New Roman" w:hAnsi="Times New Roman"/>
          <w:sz w:val="18"/>
          <w:szCs w:val="18"/>
          <w:color w:val="auto"/>
        </w:rPr>
        <w:t>”), and no exemption to filing a notice and report form under the HSR Act is applicable, then only such portion of this Warrant, which when exercised does not exceed the HSR Threshold, shall be exercisable and the applicable Exercise Notice shall be deemed to relate only to such portion of this Warrant, and the remaining portion of this Warrant in excess of the HSR Threshold shall not be exercisable until the expiration or early termination of the applicable waiting period under the HSR Act or receipt of applicable approval. Upon expiration or early termination of the applicable waiting period under the HSR Act or receipt of applicable approval, such Holder shall not be subject to the HSR Threshold, notwithstanding any other provision thereof.</w:t>
      </w:r>
    </w:p>
    <w:p>
      <w:pPr>
        <w:spacing w:after="0" w:line="80" w:lineRule="exact"/>
        <w:rPr>
          <w:sz w:val="20"/>
          <w:szCs w:val="20"/>
          <w:color w:val="auto"/>
        </w:rPr>
      </w:pPr>
    </w:p>
    <w:p>
      <w:pPr>
        <w:ind w:firstLine="899"/>
        <w:spacing w:after="0" w:line="253" w:lineRule="auto"/>
        <w:tabs>
          <w:tab w:leader="none" w:pos="1251"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shall not restrict the number of shares of Common Stock which a Holder or the Attribution Parties may receive or beneficially own in order to determine the amount of securities or other consideration that such Holder or the Attribution Parties may receive in the event of a Fundamental Transaction as contemplated in </w:t>
      </w:r>
      <w:r>
        <w:rPr>
          <w:rFonts w:ascii="Times New Roman" w:cs="Times New Roman" w:eastAsia="Times New Roman" w:hAnsi="Times New Roman"/>
          <w:sz w:val="18"/>
          <w:szCs w:val="18"/>
          <w:u w:val="single" w:color="auto"/>
          <w:color w:val="auto"/>
        </w:rPr>
        <w:t>Section 9(c)</w:t>
      </w:r>
      <w:r>
        <w:rPr>
          <w:rFonts w:ascii="Times New Roman" w:cs="Times New Roman" w:eastAsia="Times New Roman" w:hAnsi="Times New Roman"/>
          <w:sz w:val="18"/>
          <w:szCs w:val="18"/>
          <w:color w:val="auto"/>
        </w:rPr>
        <w:t xml:space="preserve"> of this Warrant. For purposes of clarity, the shares of Common Stock issuable pursuant to the terms of this Warrant in excess of the Beneficial Ownership Limitation shall not be deemed to be beneficially owned by the Holder or the Attribution Parties for any purpose including for purposes of Section 13(d) of the Exchange Act and the rules promulgated thereunder or Section 16 of the Exchange Act and the rules promulgated thereunder, including Rule 16a-1(a)(1). No prior inability to exercise this Warrant pursuant to this paragraph shall have any effect on the applicability of the provisions of this paragraph with respect to any subsequent determination of exercisability. The provisions of this paragraph shall be construed and implemented in a manner otherwise than in strict conformity with the terms of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to the extent necessary to correct this paragraph or any portion of this paragraph which may be defective or inconsistent with the intended beneficial ownership limitation contained in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or to make changes or supplements necessary or desirable to properly give effect to such limitation. The limitation contained in this paragraph may not be waived and shall apply to a successor holder of this Warrant.</w:t>
      </w:r>
    </w:p>
    <w:p>
      <w:pPr>
        <w:spacing w:after="0" w:line="80" w:lineRule="exact"/>
        <w:rPr>
          <w:sz w:val="20"/>
          <w:szCs w:val="20"/>
          <w:color w:val="auto"/>
        </w:rPr>
      </w:pPr>
    </w:p>
    <w:p>
      <w:pPr>
        <w:ind w:right="200" w:firstLine="509"/>
        <w:spacing w:after="0" w:line="268" w:lineRule="auto"/>
        <w:rPr>
          <w:sz w:val="20"/>
          <w:szCs w:val="20"/>
          <w:color w:val="auto"/>
        </w:rPr>
      </w:pPr>
      <w:r>
        <w:rPr>
          <w:rFonts w:ascii="Times New Roman" w:cs="Times New Roman" w:eastAsia="Times New Roman" w:hAnsi="Times New Roman"/>
          <w:sz w:val="18"/>
          <w:szCs w:val="18"/>
          <w:b w:val="1"/>
          <w:bCs w:val="1"/>
          <w:color w:val="auto"/>
        </w:rPr>
        <w:t>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No Fractional Shares</w:t>
      </w:r>
      <w:r>
        <w:rPr>
          <w:rFonts w:ascii="Times New Roman" w:cs="Times New Roman" w:eastAsia="Times New Roman" w:hAnsi="Times New Roman"/>
          <w:sz w:val="18"/>
          <w:szCs w:val="18"/>
          <w:color w:val="auto"/>
        </w:rPr>
        <w:t>. No fractional Warrant Shares will be issued in connection with any exercise of this Warrant. In lieu of any fractional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that would otherwise be issuable, the number of Warrant Shares to be issued shall be rounded down to the next whole number and the Company shall pay the Holder in cash the fair market value (based on the Closing Sale Price) for any such fractional shares.</w:t>
      </w:r>
    </w:p>
    <w:p>
      <w:pPr>
        <w:spacing w:after="0" w:line="63"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b w:val="1"/>
          <w:bCs w:val="1"/>
          <w:color w:val="auto"/>
        </w:rPr>
        <w:t>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 Any and all notices or other communications or deliveries hereunder (including, without limitation, any Exercise Notice) shall be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writing and shall be deemed given and effective on the earliest of (i) the date of transmission, if such notice or communication is delivered confirmed e-mail at the e-mail address specified by the Company prior to 5:30 P.M., New York City time, on a Trading Day, (ii) the next Trading Day after the date of transmission, if such notice or communication is delivered via confirmed e-mail at the e-mail address specified by the Company on a day that is not a Trading Day or later than 5:30 P.M., New York City time, on any Trading Day, (iii) the Trading Day following the date of mailing, if sent by nationally recognized overnight courier service specifying next business day delivery, or (iv) upon actual receipt by the Person to whom such notice is required to be given, if by hand delivery.</w:t>
      </w:r>
    </w:p>
    <w:p>
      <w:pPr>
        <w:spacing w:after="0" w:line="75" w:lineRule="exact"/>
        <w:rPr>
          <w:sz w:val="20"/>
          <w:szCs w:val="20"/>
          <w:color w:val="auto"/>
        </w:rPr>
      </w:pPr>
    </w:p>
    <w:p>
      <w:pPr>
        <w:jc w:val="both"/>
        <w:ind w:right="280" w:firstLine="509"/>
        <w:spacing w:after="0" w:line="268" w:lineRule="auto"/>
        <w:rPr>
          <w:sz w:val="20"/>
          <w:szCs w:val="20"/>
          <w:color w:val="auto"/>
        </w:rPr>
      </w:pPr>
      <w:r>
        <w:rPr>
          <w:rFonts w:ascii="Times New Roman" w:cs="Times New Roman" w:eastAsia="Times New Roman" w:hAnsi="Times New Roman"/>
          <w:sz w:val="18"/>
          <w:szCs w:val="18"/>
          <w:b w:val="1"/>
          <w:bCs w:val="1"/>
          <w:color w:val="auto"/>
        </w:rPr>
        <w:t>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Warrant Agent</w:t>
      </w:r>
      <w:r>
        <w:rPr>
          <w:rFonts w:ascii="Times New Roman" w:cs="Times New Roman" w:eastAsia="Times New Roman" w:hAnsi="Times New Roman"/>
          <w:sz w:val="18"/>
          <w:szCs w:val="18"/>
          <w:color w:val="auto"/>
        </w:rPr>
        <w:t>. The Company shall initially serve as warrant agent under this Warrant. Upon 30 days’ notice to the Holder,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appoint a new warrant agent. Any corporation into which the Company or any new warrant agent may be merged or any corporation resulting from any consolidation to which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932815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19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or any new warrant agent shall be a party or any corporation to which the Company or any new warrant agent transfers substantially all of its corporate trust or shareholders services business shall be a successor warrant agent under this Warrant without any further act. Any such successor warrant agent shall promptly cause notice of its succession as warrant agent to be mailed (by first class mail, postage prepaid) to the Holder at the Holder’s last address as shown on the Warrant Register.</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Miscellaneous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140" w:firstLine="891"/>
        <w:spacing w:after="0" w:line="258"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No Rights as a Stockholder</w:t>
      </w:r>
      <w:r>
        <w:rPr>
          <w:rFonts w:ascii="Times New Roman" w:cs="Times New Roman" w:eastAsia="Times New Roman" w:hAnsi="Times New Roman"/>
          <w:sz w:val="18"/>
          <w:szCs w:val="18"/>
          <w:color w:val="auto"/>
        </w:rPr>
        <w:t>. Except as otherwise set forth in this Warrant, the Holder, solely in such Person’s capacity as a holder of this Warrant, shall not be entitled to vote or receive dividends or be deemed the holder of share capital of the Company for any purpose, nor shall anything contained in this Warrant be construed to confer upon the Holder, solely in such Person’s capacity as the Holder of this Warrant, any of the rights of a stockholder of the Company or any right to vote, give or withhold consent to any corporate action (whether any reorganization, issue of stock, reclassification of stock, consolidation, merger, amalgamation, conveyance or otherwise), receive notice of meetings, receive dividends or subscription rights, or otherwise, prior to the issuance to the Holder of the Warrant Shares which such Person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w:t>
      </w:r>
    </w:p>
    <w:p>
      <w:pPr>
        <w:spacing w:after="0" w:line="200" w:lineRule="exact"/>
        <w:rPr>
          <w:sz w:val="20"/>
          <w:szCs w:val="20"/>
          <w:color w:val="auto"/>
        </w:rPr>
      </w:pPr>
    </w:p>
    <w:p>
      <w:pPr>
        <w:spacing w:after="0" w:line="227" w:lineRule="exact"/>
        <w:rPr>
          <w:sz w:val="20"/>
          <w:szCs w:val="20"/>
          <w:color w:val="auto"/>
        </w:rPr>
      </w:pPr>
    </w:p>
    <w:p>
      <w:pPr>
        <w:ind w:firstLine="891"/>
        <w:spacing w:after="0" w:line="253"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Except and to the extent as waived or consented to by the Holder, the Company shall not by any action, including, without limitation, amending its certificate or articles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(a) not increase the par value of any Warrant Shares above the amount payable therefor upon such exercise immediately prior to such increase in par value, (b) take all such action as may be necessary or appropriate in order that the Company may validly and legally issue fully paid and non-assessable Warrant Shares upon the exercise of this Warrant, and (c) use commercially reasonable efforts to obtain all such authorizations, exemptions or consents from any public regulatory body having jurisdiction thereof as may be necessary to enable the Company to perform its obligations under this Warrant. 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84" w:lineRule="exact"/>
        <w:rPr>
          <w:sz w:val="20"/>
          <w:szCs w:val="20"/>
          <w:color w:val="auto"/>
        </w:rPr>
      </w:pPr>
    </w:p>
    <w:p>
      <w:pPr>
        <w:ind w:right="20" w:firstLine="891"/>
        <w:spacing w:after="0" w:line="258"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Subject to compliance with applicable securities laws, this Warrant may be assigned by the Holder. This Warrant may not be assigned by the Company without the written consent of the Holder, except to a successor in the event of a Fundamental Transaction. This Warrant shall be binding on and inure to the benefit of the Company and the Holder and their respective successors and assigns. Subject to the preceding sentence, nothing in this Warrant shall be construed to give to any Person other than the Company and the Holder any legal or equitable right, remedy or cause of action under this Warrant.</w:t>
      </w:r>
    </w:p>
    <w:p>
      <w:pPr>
        <w:spacing w:after="0" w:line="75" w:lineRule="exact"/>
        <w:rPr>
          <w:sz w:val="20"/>
          <w:szCs w:val="20"/>
          <w:color w:val="auto"/>
        </w:rPr>
      </w:pPr>
    </w:p>
    <w:p>
      <w:pPr>
        <w:ind w:right="140" w:firstLine="891"/>
        <w:spacing w:after="0" w:line="266"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The Holder acknowledges that the Warrant Shares acquired upon the exercise of this Warrant, if not registered and if the Holder does not utilize cashless exercise after expiration of the Rule 144 holding period, will contain a legend to the effect that the Warrant Shares are not registered.</w:t>
      </w:r>
    </w:p>
    <w:p>
      <w:pPr>
        <w:spacing w:after="0" w:line="68" w:lineRule="exact"/>
        <w:rPr>
          <w:sz w:val="20"/>
          <w:szCs w:val="20"/>
          <w:color w:val="auto"/>
        </w:rPr>
      </w:pPr>
    </w:p>
    <w:p>
      <w:pPr>
        <w:ind w:right="200" w:firstLine="899"/>
        <w:spacing w:after="0" w:line="266" w:lineRule="auto"/>
        <w:tabs>
          <w:tab w:leader="none" w:pos="1251"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and Waiver</w:t>
      </w:r>
      <w:r>
        <w:rPr>
          <w:rFonts w:ascii="Times New Roman" w:cs="Times New Roman" w:eastAsia="Times New Roman" w:hAnsi="Times New Roman"/>
          <w:sz w:val="18"/>
          <w:szCs w:val="18"/>
          <w:color w:val="auto"/>
        </w:rPr>
        <w:t>. This Warrant may be amended only in writing signed by the Company and the Holder, or their successors and assigns. Except as otherwise provided herein, the Company may take any action herein prohibited, or omit to perform any act herein required to be performed by it, only if the Company has obtained the written consent of the Holder.</w:t>
      </w:r>
    </w:p>
    <w:p>
      <w:pPr>
        <w:spacing w:after="0" w:line="68" w:lineRule="exact"/>
        <w:rPr>
          <w:sz w:val="20"/>
          <w:szCs w:val="20"/>
          <w:color w:val="auto"/>
        </w:rPr>
      </w:pPr>
    </w:p>
    <w:p>
      <w:pPr>
        <w:ind w:right="660" w:firstLine="891"/>
        <w:spacing w:after="0" w:line="282"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u w:val="single" w:color="auto"/>
          <w:color w:val="auto"/>
        </w:rPr>
        <w:t>Acceptance</w:t>
      </w:r>
      <w:r>
        <w:rPr>
          <w:rFonts w:ascii="Times New Roman" w:cs="Times New Roman" w:eastAsia="Times New Roman" w:hAnsi="Times New Roman"/>
          <w:sz w:val="18"/>
          <w:szCs w:val="18"/>
          <w:color w:val="auto"/>
        </w:rPr>
        <w:t>. Receipt of this Warrant by the Holder shall constitute acceptance of and agreement to all of the terms and conditions contained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924560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194" w:lineRule="exact"/>
        <w:rPr>
          <w:sz w:val="20"/>
          <w:szCs w:val="20"/>
          <w:color w:val="auto"/>
        </w:rPr>
      </w:pPr>
    </w:p>
    <w:p>
      <w:pPr>
        <w:ind w:right="60" w:firstLine="891"/>
        <w:spacing w:after="0" w:line="252" w:lineRule="auto"/>
        <w:rPr>
          <w:sz w:val="20"/>
          <w:szCs w:val="20"/>
          <w:color w:val="auto"/>
        </w:rPr>
      </w:pP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u w:val="single" w:color="auto"/>
          <w:color w:val="auto"/>
        </w:rPr>
        <w:t>Governing Law; Jurisdiction</w:t>
      </w:r>
      <w:r>
        <w:rPr>
          <w:rFonts w:ascii="Times New Roman" w:cs="Times New Roman" w:eastAsia="Times New Roman" w:hAnsi="Times New Roman"/>
          <w:sz w:val="18"/>
          <w:szCs w:val="18"/>
          <w:color w:val="auto"/>
        </w:rPr>
        <w:t>. ALL QUESTIONS CONCERNING THE CONSTRUCTION, VALIDITY, ENFORCEMENT AND INTERPRETATION OF THIS WARRANT SHALL BE GOVERNED BY AND CONSTRUED AND ENFORCED IN ACCORDANCE WITH THE LAWS OF THE STATE OF NEW YORK WITHOUT REGARD TO THE PRINCIPLES OF CONFLICTS OF LAW THEREOF. EACH OF THE COMPANY AND THE HOLDER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SUIT, ACTION OR PROCEEDING, ANY CLAIM THAT IT IS NOT PERSONALLY SUBJECT TO THE JURISDICTION OF ANY SUCH COURT. EACH OF THE COMPANY AND THE HOLDER HEREBY IRREVOCABLY WAIVES PERSONAL SERVICE OF PROCESS AND CONSENTS TO PROCESS BEING SERVED IN ANY SUCH SUIT, ACTION OR PROCEEDING BY MAILING A COPY THEREOF VIA REGISTERED OR CERTIFIED MAIL OR OVERNIGHT DELIVERY (WITH EVIDENCE OF DELIVERY) TO SUCH PERSON AT THE ADDRESS IN EFFECT FOR NOTICES TO IT AND AGREES THAT SUCH SERVICE SHALL CONSTITUTE GOOD AND SUFFICIENT SERVICE OF PROCESS AND NOTICE THEREOF. NOTHING CONTAINED HEREIN SHALL BE DEEMED TO LIMIT IN ANY WAY ANY RIGHT TO SERVE PROCESS IN ANY MANNER PERMITTED BY LAW. EACH OF THE COMPANY AND THE HOLDER HEREBY WAIVES ALL RIGHTS TO A TRIAL BY JURY.</w:t>
      </w:r>
    </w:p>
    <w:p>
      <w:pPr>
        <w:spacing w:after="0" w:line="88" w:lineRule="exact"/>
        <w:rPr>
          <w:sz w:val="20"/>
          <w:szCs w:val="20"/>
          <w:color w:val="auto"/>
        </w:rPr>
      </w:pPr>
    </w:p>
    <w:p>
      <w:pPr>
        <w:ind w:firstLine="891"/>
        <w:spacing w:after="0" w:line="282" w:lineRule="auto"/>
        <w:rPr>
          <w:sz w:val="20"/>
          <w:szCs w:val="20"/>
          <w:color w:val="auto"/>
        </w:rPr>
      </w:pPr>
      <w:r>
        <w:rPr>
          <w:rFonts w:ascii="Times New Roman" w:cs="Times New Roman" w:eastAsia="Times New Roman" w:hAnsi="Times New Roman"/>
          <w:sz w:val="18"/>
          <w:szCs w:val="18"/>
          <w:color w:val="auto"/>
        </w:rPr>
        <w:t xml:space="preserve">(h)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herein are for convenience only, do not constitute a part of this Warrant and shall not be deemed to limit or affect any of the provisions hereof.</w:t>
      </w:r>
    </w:p>
    <w:p>
      <w:pPr>
        <w:spacing w:after="0" w:line="54" w:lineRule="exact"/>
        <w:rPr>
          <w:sz w:val="20"/>
          <w:szCs w:val="20"/>
          <w:color w:val="auto"/>
        </w:rPr>
      </w:pPr>
    </w:p>
    <w:p>
      <w:pPr>
        <w:ind w:right="320" w:firstLine="891"/>
        <w:spacing w:after="0" w:line="261" w:lineRule="auto"/>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part or provision of this Warrant is held unenforceable or in conflict with the applicable laws or regulations of any jurisdiction, the invalid or unenforceable part or provisions shall be replaced with a provision which accomplishes, to the extent possible, the original business purpose of such part or provision in a valid and enforceable manner, and the remainder of this Warrant shall remain binding upon the parties hereto.</w:t>
      </w:r>
    </w:p>
    <w:p>
      <w:pPr>
        <w:spacing w:after="0" w:line="2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967105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4" w:name="page45"/>
    <w:bookmarkEnd w:id="44"/>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WITNESS WHEREOF, the Company has caused this Warrant to be duly executed by its authorized officer as of the date first indicated above.</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FULCRUM THERAPEUTICS, INC.</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2782570</wp:posOffset>
            </wp:positionH>
            <wp:positionV relativeFrom="paragraph">
              <wp:posOffset>17145</wp:posOffset>
            </wp:positionV>
            <wp:extent cx="435483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354830" cy="8255"/>
                    </a:xfrm>
                    <a:prstGeom prst="rect">
                      <a:avLst/>
                    </a:prstGeom>
                    <a:noFill/>
                  </pic:spPr>
                </pic:pic>
              </a:graphicData>
            </a:graphic>
          </wp:anchor>
        </w:drawing>
      </w:r>
    </w:p>
    <w:p>
      <w:pPr>
        <w:spacing w:after="0" w:line="97"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Name:</w:t>
      </w:r>
    </w:p>
    <w:p>
      <w:pPr>
        <w:spacing w:after="0" w:line="117"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1101725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20"/>
          </w:cols>
          <w:pgMar w:left="320" w:top="1440" w:right="1059" w:bottom="1440" w:gutter="0" w:footer="0" w:header="0"/>
        </w:sectPr>
      </w:pPr>
    </w:p>
    <w:bookmarkStart w:id="45" w:name="page46"/>
    <w:bookmarkEnd w:id="45"/>
    <w:p>
      <w:pPr>
        <w:spacing w:after="0" w:line="200" w:lineRule="exact"/>
        <w:rPr>
          <w:sz w:val="20"/>
          <w:szCs w:val="20"/>
          <w:color w:val="auto"/>
        </w:rPr>
      </w:pPr>
    </w:p>
    <w:p>
      <w:pPr>
        <w:spacing w:after="0" w:line="3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SCHEDULE 1</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FORM OF EXERCISE NOTICE</w:t>
      </w:r>
    </w:p>
    <w:p>
      <w:pPr>
        <w:spacing w:after="0" w:line="1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[To be executed by the Holder to purchase shares of Common Stock under the Warrant]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1092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auto"/>
              </w:rPr>
              <w:t>The undersigned is the Holder of Warrant No.   (the “Warrant”) issued by Fulcrum Therapeutics, Inc., a Delaware corporation (the “Company”).</w:t>
            </w:r>
          </w:p>
        </w:tc>
      </w:tr>
      <w:tr>
        <w:trPr>
          <w:trHeight w:val="20"/>
        </w:trPr>
        <w:tc>
          <w:tcPr>
            <w:tcW w:w="27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r>
      <w:tr>
        <w:trPr>
          <w:trHeight w:val="237"/>
        </w:trPr>
        <w:tc>
          <w:tcPr>
            <w:tcW w:w="111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Capitalized terms used herein and not otherwise defined herein have the respective meanings set forth in the Warrant.</w:t>
            </w:r>
          </w:p>
        </w:tc>
      </w:tr>
      <w:tr>
        <w:trPr>
          <w:trHeight w:val="283"/>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1092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auto"/>
              </w:rPr>
              <w:t>The undersigned hereby exercises its right to purchase          Warrant Shares pursuant to the Warrant.</w:t>
            </w:r>
          </w:p>
        </w:tc>
      </w:tr>
      <w:tr>
        <w:trPr>
          <w:trHeight w:val="20"/>
        </w:trPr>
        <w:tc>
          <w:tcPr>
            <w:tcW w:w="2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r>
      <w:tr>
        <w:trPr>
          <w:trHeight w:val="345"/>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1092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auto"/>
              </w:rPr>
              <w:t>The Holder intends that payment of the Exercise Price shall be made as (check one):</w:t>
            </w:r>
          </w:p>
        </w:tc>
      </w:tr>
      <w:tr>
        <w:trPr>
          <w:trHeight w:val="352"/>
        </w:trPr>
        <w:tc>
          <w:tcPr>
            <w:tcW w:w="240" w:type="dxa"/>
            <w:vAlign w:val="bottom"/>
          </w:tcPr>
          <w:p>
            <w:pPr>
              <w:spacing w:after="0"/>
              <w:rPr>
                <w:sz w:val="24"/>
                <w:szCs w:val="24"/>
                <w:color w:val="auto"/>
              </w:rPr>
            </w:pPr>
          </w:p>
        </w:tc>
        <w:tc>
          <w:tcPr>
            <w:tcW w:w="10920" w:type="dxa"/>
            <w:vAlign w:val="bottom"/>
            <w:gridSpan w:val="9"/>
          </w:tcPr>
          <w:p>
            <w:pPr>
              <w:ind w:left="14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Cash Exercise</w:t>
            </w:r>
          </w:p>
        </w:tc>
      </w:tr>
      <w:tr>
        <w:trPr>
          <w:trHeight w:val="255"/>
        </w:trPr>
        <w:tc>
          <w:tcPr>
            <w:tcW w:w="240" w:type="dxa"/>
            <w:vAlign w:val="bottom"/>
          </w:tcPr>
          <w:p>
            <w:pPr>
              <w:spacing w:after="0"/>
              <w:rPr>
                <w:sz w:val="22"/>
                <w:szCs w:val="22"/>
                <w:color w:val="auto"/>
              </w:rPr>
            </w:pPr>
          </w:p>
        </w:tc>
        <w:tc>
          <w:tcPr>
            <w:tcW w:w="10920" w:type="dxa"/>
            <w:vAlign w:val="bottom"/>
            <w:gridSpan w:val="9"/>
          </w:tcPr>
          <w:p>
            <w:pPr>
              <w:ind w:left="14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“Cashless Exercise” under Section 10 of the Warrant</w:t>
            </w:r>
          </w:p>
        </w:tc>
      </w:tr>
      <w:tr>
        <w:trPr>
          <w:trHeight w:val="20"/>
        </w:trPr>
        <w:tc>
          <w:tcPr>
            <w:tcW w:w="2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60" w:type="dxa"/>
            <w:vAlign w:val="bottom"/>
            <w:gridSpan w:val="5"/>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r>
      <w:tr>
        <w:trPr>
          <w:trHeight w:val="304"/>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1092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auto"/>
              </w:rPr>
              <w:t>If the Holder has elected a Cash Exercise, the Holder shall pay the sum of $          in immediately available funds to the Company in accordance with</w:t>
            </w:r>
          </w:p>
        </w:tc>
      </w:tr>
      <w:tr>
        <w:trPr>
          <w:trHeight w:val="20"/>
        </w:trPr>
        <w:tc>
          <w:tcPr>
            <w:tcW w:w="2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r>
    </w:tbl>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terms of the Warrant.</w:t>
      </w:r>
    </w:p>
    <w:p>
      <w:pPr>
        <w:spacing w:after="0" w:line="117" w:lineRule="exact"/>
        <w:rPr>
          <w:sz w:val="20"/>
          <w:szCs w:val="20"/>
          <w:color w:val="auto"/>
        </w:rPr>
      </w:pPr>
    </w:p>
    <w:p>
      <w:pPr>
        <w:ind w:right="100" w:firstLine="8"/>
        <w:spacing w:after="0" w:line="282" w:lineRule="auto"/>
        <w:tabs>
          <w:tab w:leader="none" w:pos="2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this Exercise Notice, the Company shall deliver to the Holder Warrant Shares determined in accordance with the terms of the Warrant. The Warrant Shares shall be delivered (check one):</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Pr>
          <w:p>
            <w:pPr>
              <w:ind w:left="38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p>
        </w:tc>
        <w:tc>
          <w:tcPr>
            <w:tcW w:w="32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w w:val="96"/>
              </w:rPr>
              <w:t>to the following DWAC Account Number: </w:t>
            </w:r>
          </w:p>
        </w:tc>
        <w:tc>
          <w:tcPr>
            <w:tcW w:w="260" w:type="dxa"/>
            <w:vAlign w:val="bottom"/>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436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0"/>
        </w:trPr>
        <w:tc>
          <w:tcPr>
            <w:tcW w:w="36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gridSpan w:val="3"/>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373"/>
        </w:trPr>
        <w:tc>
          <w:tcPr>
            <w:tcW w:w="4480" w:type="dxa"/>
            <w:vAlign w:val="bottom"/>
            <w:gridSpan w:val="6"/>
          </w:tcPr>
          <w:p>
            <w:pPr>
              <w:ind w:left="38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 book-entry form via a direct registration system</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55"/>
        </w:trPr>
        <w:tc>
          <w:tcPr>
            <w:tcW w:w="680" w:type="dxa"/>
            <w:vAlign w:val="bottom"/>
          </w:tcPr>
          <w:p>
            <w:pPr>
              <w:ind w:left="38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p>
        </w:tc>
        <w:tc>
          <w:tcPr>
            <w:tcW w:w="32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 xml:space="preserve">by physical delivery of a certificate to:     </w:t>
            </w:r>
          </w:p>
        </w:tc>
        <w:tc>
          <w:tcPr>
            <w:tcW w:w="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xml:space="preserve">    </w:t>
            </w:r>
          </w:p>
        </w:tc>
        <w:tc>
          <w:tcPr>
            <w:tcW w:w="280" w:type="dxa"/>
            <w:vAlign w:val="bottom"/>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43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r>
      <w:tr>
        <w:trPr>
          <w:trHeight w:val="750"/>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29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352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88"/>
              </w:rPr>
              <w:t> </w:t>
            </w:r>
          </w:p>
        </w:tc>
      </w:tr>
      <w:tr>
        <w:trPr>
          <w:trHeight w:val="196"/>
        </w:trPr>
        <w:tc>
          <w:tcPr>
            <w:tcW w:w="68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Borders>
              <w:bottom w:val="single" w:sz="8" w:color="auto"/>
            </w:tcBorders>
          </w:tcPr>
          <w:p>
            <w:pPr>
              <w:ind w:left="60"/>
              <w:spacing w:after="0" w:line="196" w:lineRule="exact"/>
              <w:rPr>
                <w:sz w:val="20"/>
                <w:szCs w:val="20"/>
                <w:color w:val="auto"/>
              </w:rPr>
            </w:pPr>
            <w:r>
              <w:rPr>
                <w:rFonts w:ascii="Times New Roman" w:cs="Times New Roman" w:eastAsia="Times New Roman" w:hAnsi="Times New Roman"/>
                <w:sz w:val="18"/>
                <w:szCs w:val="18"/>
                <w:color w:val="auto"/>
                <w:w w:val="88"/>
              </w:rPr>
              <w:t> </w:t>
            </w:r>
          </w:p>
        </w:tc>
      </w:tr>
      <w:tr>
        <w:trPr>
          <w:trHeight w:val="196"/>
        </w:trPr>
        <w:tc>
          <w:tcPr>
            <w:tcW w:w="68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Borders>
              <w:bottom w:val="single" w:sz="8" w:color="auto"/>
            </w:tcBorders>
          </w:tcPr>
          <w:p>
            <w:pPr>
              <w:ind w:left="60"/>
              <w:spacing w:after="0" w:line="196" w:lineRule="exact"/>
              <w:rPr>
                <w:sz w:val="20"/>
                <w:szCs w:val="20"/>
                <w:color w:val="auto"/>
              </w:rPr>
            </w:pPr>
            <w:r>
              <w:rPr>
                <w:rFonts w:ascii="Times New Roman" w:cs="Times New Roman" w:eastAsia="Times New Roman" w:hAnsi="Times New Roman"/>
                <w:sz w:val="18"/>
                <w:szCs w:val="18"/>
                <w:color w:val="auto"/>
                <w:w w:val="88"/>
              </w:rPr>
              <w:t> </w:t>
            </w:r>
          </w:p>
        </w:tc>
      </w:tr>
      <w:tr>
        <w:trPr>
          <w:trHeight w:val="196"/>
        </w:trPr>
        <w:tc>
          <w:tcPr>
            <w:tcW w:w="68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Borders>
              <w:bottom w:val="single" w:sz="8" w:color="auto"/>
            </w:tcBorders>
          </w:tcPr>
          <w:p>
            <w:pPr>
              <w:ind w:left="60"/>
              <w:spacing w:after="0" w:line="196" w:lineRule="exact"/>
              <w:rPr>
                <w:sz w:val="20"/>
                <w:szCs w:val="20"/>
                <w:color w:val="auto"/>
              </w:rPr>
            </w:pPr>
            <w:r>
              <w:rPr>
                <w:rFonts w:ascii="Times New Roman" w:cs="Times New Roman" w:eastAsia="Times New Roman" w:hAnsi="Times New Roman"/>
                <w:sz w:val="18"/>
                <w:szCs w:val="18"/>
                <w:color w:val="auto"/>
                <w:w w:val="88"/>
              </w:rPr>
              <w:t> </w:t>
            </w:r>
          </w:p>
        </w:tc>
      </w:tr>
      <w:tr>
        <w:trPr>
          <w:trHeight w:val="196"/>
        </w:trPr>
        <w:tc>
          <w:tcPr>
            <w:tcW w:w="68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Borders>
              <w:bottom w:val="single" w:sz="8" w:color="auto"/>
            </w:tcBorders>
          </w:tcPr>
          <w:p>
            <w:pPr>
              <w:ind w:left="60"/>
              <w:spacing w:after="0" w:line="196" w:lineRule="exact"/>
              <w:rPr>
                <w:sz w:val="20"/>
                <w:szCs w:val="20"/>
                <w:color w:val="auto"/>
              </w:rPr>
            </w:pPr>
            <w:r>
              <w:rPr>
                <w:rFonts w:ascii="Times New Roman" w:cs="Times New Roman" w:eastAsia="Times New Roman" w:hAnsi="Times New Roman"/>
                <w:sz w:val="18"/>
                <w:szCs w:val="18"/>
                <w:color w:val="auto"/>
                <w:w w:val="88"/>
              </w:rPr>
              <w:t> </w:t>
            </w:r>
          </w:p>
        </w:tc>
      </w:tr>
      <w:tr>
        <w:trPr>
          <w:trHeight w:val="196"/>
        </w:trPr>
        <w:tc>
          <w:tcPr>
            <w:tcW w:w="68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Borders>
              <w:bottom w:val="single" w:sz="8" w:color="auto"/>
            </w:tcBorders>
          </w:tcPr>
          <w:p>
            <w:pPr>
              <w:ind w:left="60"/>
              <w:spacing w:after="0" w:line="196" w:lineRule="exact"/>
              <w:rPr>
                <w:sz w:val="20"/>
                <w:szCs w:val="20"/>
                <w:color w:val="auto"/>
              </w:rPr>
            </w:pPr>
            <w:r>
              <w:rPr>
                <w:rFonts w:ascii="Times New Roman" w:cs="Times New Roman" w:eastAsia="Times New Roman" w:hAnsi="Times New Roman"/>
                <w:sz w:val="18"/>
                <w:szCs w:val="18"/>
                <w:color w:val="auto"/>
                <w:w w:val="88"/>
              </w:rPr>
              <w:t> </w:t>
            </w:r>
          </w:p>
        </w:tc>
      </w:tr>
    </w:tbl>
    <w:p>
      <w:pPr>
        <w:spacing w:after="0" w:line="292" w:lineRule="exact"/>
        <w:rPr>
          <w:sz w:val="20"/>
          <w:szCs w:val="20"/>
          <w:color w:val="auto"/>
        </w:rPr>
      </w:pPr>
    </w:p>
    <w:p>
      <w:pPr>
        <w:ind w:left="380"/>
        <w:spacing w:after="0" w:line="207" w:lineRule="exact"/>
        <w:tabs>
          <w:tab w:leader="none" w:pos="76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tab/>
        <w:t>in restricted book-entry form in the Company’s share register</w:t>
      </w:r>
    </w:p>
    <w:p>
      <w:pPr>
        <w:spacing w:after="0" w:line="158" w:lineRule="exact"/>
        <w:rPr>
          <w:sz w:val="20"/>
          <w:szCs w:val="20"/>
          <w:color w:val="auto"/>
        </w:rPr>
      </w:pPr>
    </w:p>
    <w:p>
      <w:pPr>
        <w:ind w:right="80" w:firstLine="8"/>
        <w:spacing w:after="0" w:line="261" w:lineRule="auto"/>
        <w:tabs>
          <w:tab w:leader="none" w:pos="2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its delivery of this Exercise Notice, the undersigned represents and warrants to the Company that in giving effect to the exercise evidenced hereby the Holder (i) the Holder is an “accredited investor” as defined in Regulation D promulgated under the Securities Act of 1933, as amended and (ii) will not beneficially own in excess of the number of shares of Common Stock (as determined in accordance with Section 13(d) of the Securities Exchange Act of 1934, as amended) permitted to be owned under </w:t>
      </w:r>
      <w:r>
        <w:rPr>
          <w:rFonts w:ascii="Times New Roman" w:cs="Times New Roman" w:eastAsia="Times New Roman" w:hAnsi="Times New Roman"/>
          <w:sz w:val="18"/>
          <w:szCs w:val="18"/>
          <w:u w:val="single" w:color="auto"/>
          <w:color w:val="auto"/>
        </w:rPr>
        <w:t>Section 11(a)</w:t>
      </w:r>
      <w:r>
        <w:rPr>
          <w:rFonts w:ascii="Times New Roman" w:cs="Times New Roman" w:eastAsia="Times New Roman" w:hAnsi="Times New Roman"/>
          <w:sz w:val="18"/>
          <w:szCs w:val="18"/>
          <w:color w:val="auto"/>
        </w:rPr>
        <w:t xml:space="preserve"> of the Warrant to which this notice relates.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1158875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9420" w:type="dxa"/>
            <w:vAlign w:val="bottom"/>
          </w:tcPr>
          <w:p>
            <w:pPr>
              <w:spacing w:after="0"/>
              <w:rPr>
                <w:sz w:val="17"/>
                <w:szCs w:val="17"/>
                <w:color w:val="auto"/>
              </w:rPr>
            </w:pPr>
          </w:p>
        </w:tc>
        <w:tc>
          <w:tcPr>
            <w:tcW w:w="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88"/>
              </w:rPr>
              <w:t> </w:t>
            </w:r>
          </w:p>
        </w:tc>
      </w:tr>
      <w:tr>
        <w:trPr>
          <w:trHeight w:val="196"/>
        </w:trPr>
        <w:tc>
          <w:tcPr>
            <w:tcW w:w="1640" w:type="dxa"/>
            <w:vAlign w:val="bottom"/>
          </w:tcPr>
          <w:p>
            <w:pPr>
              <w:spacing w:after="0"/>
              <w:rPr>
                <w:sz w:val="17"/>
                <w:szCs w:val="17"/>
                <w:color w:val="auto"/>
              </w:rPr>
            </w:pPr>
          </w:p>
        </w:tc>
        <w:tc>
          <w:tcPr>
            <w:tcW w:w="9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w w:val="77"/>
              </w:rPr>
              <w:t> </w:t>
            </w:r>
          </w:p>
        </w:tc>
      </w:tr>
      <w:tr>
        <w:trPr>
          <w:trHeight w:val="196"/>
        </w:trPr>
        <w:tc>
          <w:tcPr>
            <w:tcW w:w="1640" w:type="dxa"/>
            <w:vAlign w:val="bottom"/>
          </w:tcPr>
          <w:p>
            <w:pPr>
              <w:spacing w:after="0"/>
              <w:rPr>
                <w:sz w:val="17"/>
                <w:szCs w:val="17"/>
                <w:color w:val="auto"/>
              </w:rPr>
            </w:pPr>
          </w:p>
        </w:tc>
        <w:tc>
          <w:tcPr>
            <w:tcW w:w="9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w w:val="77"/>
              </w:rPr>
              <w:t> </w:t>
            </w:r>
          </w:p>
        </w:tc>
      </w:tr>
      <w:tr>
        <w:trPr>
          <w:trHeight w:val="196"/>
        </w:trPr>
        <w:tc>
          <w:tcPr>
            <w:tcW w:w="1640" w:type="dxa"/>
            <w:vAlign w:val="bottom"/>
          </w:tcPr>
          <w:p>
            <w:pPr>
              <w:spacing w:after="0"/>
              <w:rPr>
                <w:sz w:val="17"/>
                <w:szCs w:val="17"/>
                <w:color w:val="auto"/>
              </w:rPr>
            </w:pPr>
          </w:p>
        </w:tc>
        <w:tc>
          <w:tcPr>
            <w:tcW w:w="9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w w:val="77"/>
              </w:rPr>
              <w:t> </w:t>
            </w:r>
          </w:p>
        </w:tc>
      </w:tr>
      <w:tr>
        <w:trPr>
          <w:trHeight w:val="426"/>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Name of Holder:</w:t>
            </w:r>
          </w:p>
        </w:tc>
        <w:tc>
          <w:tcPr>
            <w:tcW w:w="9420" w:type="dxa"/>
            <w:vAlign w:val="bottom"/>
          </w:tcPr>
          <w:p>
            <w:pPr>
              <w:spacing w:after="0"/>
              <w:rPr>
                <w:sz w:val="24"/>
                <w:szCs w:val="24"/>
                <w:color w:val="auto"/>
              </w:rPr>
            </w:pPr>
          </w:p>
        </w:tc>
        <w:tc>
          <w:tcPr>
            <w:tcW w:w="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88"/>
              </w:rPr>
              <w:t> </w:t>
            </w:r>
          </w:p>
        </w:tc>
      </w:tr>
      <w:tr>
        <w:trPr>
          <w:trHeight w:val="196"/>
        </w:trPr>
        <w:tc>
          <w:tcPr>
            <w:tcW w:w="1640" w:type="dxa"/>
            <w:vAlign w:val="bottom"/>
          </w:tcPr>
          <w:p>
            <w:pPr>
              <w:spacing w:after="0"/>
              <w:rPr>
                <w:sz w:val="17"/>
                <w:szCs w:val="17"/>
                <w:color w:val="auto"/>
              </w:rPr>
            </w:pPr>
          </w:p>
        </w:tc>
        <w:tc>
          <w:tcPr>
            <w:tcW w:w="9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w w:val="77"/>
              </w:rPr>
              <w:t> </w:t>
            </w:r>
          </w:p>
        </w:tc>
      </w:tr>
      <w:tr>
        <w:trPr>
          <w:trHeight w:val="196"/>
        </w:trPr>
        <w:tc>
          <w:tcPr>
            <w:tcW w:w="1640" w:type="dxa"/>
            <w:vAlign w:val="bottom"/>
          </w:tcPr>
          <w:p>
            <w:pPr>
              <w:spacing w:after="0"/>
              <w:rPr>
                <w:sz w:val="17"/>
                <w:szCs w:val="17"/>
                <w:color w:val="auto"/>
              </w:rPr>
            </w:pPr>
          </w:p>
        </w:tc>
        <w:tc>
          <w:tcPr>
            <w:tcW w:w="9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w w:val="77"/>
              </w:rPr>
              <w:t> </w:t>
            </w:r>
          </w:p>
        </w:tc>
      </w:tr>
      <w:tr>
        <w:trPr>
          <w:trHeight w:val="196"/>
        </w:trPr>
        <w:tc>
          <w:tcPr>
            <w:tcW w:w="1640" w:type="dxa"/>
            <w:vAlign w:val="bottom"/>
          </w:tcPr>
          <w:p>
            <w:pPr>
              <w:spacing w:after="0"/>
              <w:rPr>
                <w:sz w:val="17"/>
                <w:szCs w:val="17"/>
                <w:color w:val="auto"/>
              </w:rPr>
            </w:pPr>
          </w:p>
        </w:tc>
        <w:tc>
          <w:tcPr>
            <w:tcW w:w="9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w w:val="77"/>
              </w:rPr>
              <w:t> </w:t>
            </w:r>
          </w:p>
        </w:tc>
      </w:tr>
      <w:tr>
        <w:trPr>
          <w:trHeight w:val="426"/>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9420" w:type="dxa"/>
            <w:vAlign w:val="bottom"/>
          </w:tcPr>
          <w:p>
            <w:pPr>
              <w:spacing w:after="0"/>
              <w:rPr>
                <w:sz w:val="24"/>
                <w:szCs w:val="24"/>
                <w:color w:val="auto"/>
              </w:rPr>
            </w:pPr>
          </w:p>
        </w:tc>
        <w:tc>
          <w:tcPr>
            <w:tcW w:w="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88"/>
              </w:rPr>
              <w:t> </w:t>
            </w:r>
          </w:p>
        </w:tc>
      </w:tr>
      <w:tr>
        <w:trPr>
          <w:trHeight w:val="196"/>
        </w:trPr>
        <w:tc>
          <w:tcPr>
            <w:tcW w:w="1640" w:type="dxa"/>
            <w:vAlign w:val="bottom"/>
          </w:tcPr>
          <w:p>
            <w:pPr>
              <w:spacing w:after="0"/>
              <w:rPr>
                <w:sz w:val="17"/>
                <w:szCs w:val="17"/>
                <w:color w:val="auto"/>
              </w:rPr>
            </w:pPr>
          </w:p>
        </w:tc>
        <w:tc>
          <w:tcPr>
            <w:tcW w:w="9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w w:val="77"/>
              </w:rPr>
              <w:t> </w:t>
            </w:r>
          </w:p>
        </w:tc>
      </w:tr>
      <w:tr>
        <w:trPr>
          <w:trHeight w:val="196"/>
        </w:trPr>
        <w:tc>
          <w:tcPr>
            <w:tcW w:w="1640" w:type="dxa"/>
            <w:vAlign w:val="bottom"/>
          </w:tcPr>
          <w:p>
            <w:pPr>
              <w:spacing w:after="0"/>
              <w:rPr>
                <w:sz w:val="17"/>
                <w:szCs w:val="17"/>
                <w:color w:val="auto"/>
              </w:rPr>
            </w:pPr>
          </w:p>
        </w:tc>
        <w:tc>
          <w:tcPr>
            <w:tcW w:w="9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w w:val="77"/>
              </w:rPr>
              <w:t> </w:t>
            </w:r>
          </w:p>
        </w:tc>
      </w:tr>
      <w:tr>
        <w:trPr>
          <w:trHeight w:val="196"/>
        </w:trPr>
        <w:tc>
          <w:tcPr>
            <w:tcW w:w="1640" w:type="dxa"/>
            <w:vAlign w:val="bottom"/>
          </w:tcPr>
          <w:p>
            <w:pPr>
              <w:spacing w:after="0"/>
              <w:rPr>
                <w:sz w:val="17"/>
                <w:szCs w:val="17"/>
                <w:color w:val="auto"/>
              </w:rPr>
            </w:pPr>
          </w:p>
        </w:tc>
        <w:tc>
          <w:tcPr>
            <w:tcW w:w="9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w w:val="77"/>
              </w:rPr>
              <w:t> </w:t>
            </w:r>
          </w:p>
        </w:tc>
      </w:tr>
      <w:tr>
        <w:trPr>
          <w:trHeight w:val="426"/>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9420" w:type="dxa"/>
            <w:vAlign w:val="bottom"/>
          </w:tcPr>
          <w:p>
            <w:pPr>
              <w:spacing w:after="0"/>
              <w:rPr>
                <w:sz w:val="24"/>
                <w:szCs w:val="24"/>
                <w:color w:val="auto"/>
              </w:rPr>
            </w:pPr>
          </w:p>
        </w:tc>
        <w:tc>
          <w:tcPr>
            <w:tcW w:w="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88"/>
              </w:rPr>
              <w:t> </w:t>
            </w:r>
          </w:p>
        </w:tc>
      </w:tr>
      <w:tr>
        <w:trPr>
          <w:trHeight w:val="196"/>
        </w:trPr>
        <w:tc>
          <w:tcPr>
            <w:tcW w:w="1640" w:type="dxa"/>
            <w:vAlign w:val="bottom"/>
          </w:tcPr>
          <w:p>
            <w:pPr>
              <w:spacing w:after="0"/>
              <w:rPr>
                <w:sz w:val="17"/>
                <w:szCs w:val="17"/>
                <w:color w:val="auto"/>
              </w:rPr>
            </w:pPr>
          </w:p>
        </w:tc>
        <w:tc>
          <w:tcPr>
            <w:tcW w:w="9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w w:val="77"/>
              </w:rPr>
              <w:t> </w:t>
            </w:r>
          </w:p>
        </w:tc>
      </w:tr>
      <w:tr>
        <w:trPr>
          <w:trHeight w:val="196"/>
        </w:trPr>
        <w:tc>
          <w:tcPr>
            <w:tcW w:w="1640" w:type="dxa"/>
            <w:vAlign w:val="bottom"/>
          </w:tcPr>
          <w:p>
            <w:pPr>
              <w:spacing w:after="0"/>
              <w:rPr>
                <w:sz w:val="17"/>
                <w:szCs w:val="17"/>
                <w:color w:val="auto"/>
              </w:rPr>
            </w:pPr>
          </w:p>
        </w:tc>
        <w:tc>
          <w:tcPr>
            <w:tcW w:w="9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w w:val="77"/>
              </w:rPr>
              <w:t> </w:t>
            </w:r>
          </w:p>
        </w:tc>
      </w:tr>
      <w:tr>
        <w:trPr>
          <w:trHeight w:val="196"/>
        </w:trPr>
        <w:tc>
          <w:tcPr>
            <w:tcW w:w="1640" w:type="dxa"/>
            <w:vAlign w:val="bottom"/>
          </w:tcPr>
          <w:p>
            <w:pPr>
              <w:spacing w:after="0"/>
              <w:rPr>
                <w:sz w:val="17"/>
                <w:szCs w:val="17"/>
                <w:color w:val="auto"/>
              </w:rPr>
            </w:pPr>
          </w:p>
        </w:tc>
        <w:tc>
          <w:tcPr>
            <w:tcW w:w="9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w w:val="77"/>
              </w:rPr>
              <w:t> </w:t>
            </w:r>
          </w:p>
        </w:tc>
      </w:tr>
      <w:tr>
        <w:trPr>
          <w:trHeight w:val="426"/>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9420" w:type="dxa"/>
            <w:vAlign w:val="bottom"/>
          </w:tcPr>
          <w:p>
            <w:pPr>
              <w:spacing w:after="0"/>
              <w:rPr>
                <w:sz w:val="24"/>
                <w:szCs w:val="24"/>
                <w:color w:val="auto"/>
              </w:rPr>
            </w:pPr>
          </w:p>
        </w:tc>
        <w:tc>
          <w:tcPr>
            <w:tcW w:w="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88"/>
              </w:rPr>
              <w:t> </w:t>
            </w:r>
          </w:p>
        </w:tc>
      </w:tr>
      <w:tr>
        <w:trPr>
          <w:trHeight w:val="196"/>
        </w:trPr>
        <w:tc>
          <w:tcPr>
            <w:tcW w:w="1640" w:type="dxa"/>
            <w:vAlign w:val="bottom"/>
          </w:tcPr>
          <w:p>
            <w:pPr>
              <w:spacing w:after="0"/>
              <w:rPr>
                <w:sz w:val="17"/>
                <w:szCs w:val="17"/>
                <w:color w:val="auto"/>
              </w:rPr>
            </w:pPr>
          </w:p>
        </w:tc>
        <w:tc>
          <w:tcPr>
            <w:tcW w:w="9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w w:val="77"/>
              </w:rPr>
              <w:t> </w:t>
            </w:r>
          </w:p>
        </w:tc>
      </w:tr>
      <w:tr>
        <w:trPr>
          <w:trHeight w:val="196"/>
        </w:trPr>
        <w:tc>
          <w:tcPr>
            <w:tcW w:w="1640" w:type="dxa"/>
            <w:vAlign w:val="bottom"/>
          </w:tcPr>
          <w:p>
            <w:pPr>
              <w:spacing w:after="0"/>
              <w:rPr>
                <w:sz w:val="17"/>
                <w:szCs w:val="17"/>
                <w:color w:val="auto"/>
              </w:rPr>
            </w:pPr>
          </w:p>
        </w:tc>
        <w:tc>
          <w:tcPr>
            <w:tcW w:w="9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w w:val="77"/>
              </w:rPr>
              <w:t> </w:t>
            </w:r>
          </w:p>
        </w:tc>
      </w:tr>
      <w:tr>
        <w:trPr>
          <w:trHeight w:val="196"/>
        </w:trPr>
        <w:tc>
          <w:tcPr>
            <w:tcW w:w="1640" w:type="dxa"/>
            <w:vAlign w:val="bottom"/>
          </w:tcPr>
          <w:p>
            <w:pPr>
              <w:spacing w:after="0"/>
              <w:rPr>
                <w:sz w:val="17"/>
                <w:szCs w:val="17"/>
                <w:color w:val="auto"/>
              </w:rPr>
            </w:pPr>
          </w:p>
        </w:tc>
        <w:tc>
          <w:tcPr>
            <w:tcW w:w="9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w w:val="77"/>
              </w:rPr>
              <w:t> </w:t>
            </w:r>
          </w:p>
        </w:tc>
      </w:tr>
      <w:tr>
        <w:trPr>
          <w:trHeight w:val="561"/>
        </w:trPr>
        <w:tc>
          <w:tcPr>
            <w:tcW w:w="1640" w:type="dxa"/>
            <w:vAlign w:val="bottom"/>
          </w:tcPr>
          <w:p>
            <w:pPr>
              <w:spacing w:after="0"/>
              <w:rPr>
                <w:sz w:val="24"/>
                <w:szCs w:val="24"/>
                <w:color w:val="auto"/>
              </w:rPr>
            </w:pPr>
          </w:p>
        </w:tc>
        <w:tc>
          <w:tcPr>
            <w:tcW w:w="960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(Signature must conform in all respects to name of Holder as specified on the face of the Warrant)</w:t>
            </w:r>
          </w:p>
        </w:tc>
      </w:tr>
      <w:tr>
        <w:trPr>
          <w:trHeight w:val="1519"/>
        </w:trPr>
        <w:tc>
          <w:tcPr>
            <w:tcW w:w="1640" w:type="dxa"/>
            <w:vAlign w:val="bottom"/>
            <w:tcBorders>
              <w:bottom w:val="single" w:sz="8" w:color="9A9A9A"/>
            </w:tcBorders>
          </w:tcPr>
          <w:p>
            <w:pPr>
              <w:spacing w:after="0"/>
              <w:rPr>
                <w:sz w:val="24"/>
                <w:szCs w:val="24"/>
                <w:color w:val="auto"/>
              </w:rPr>
            </w:pPr>
          </w:p>
        </w:tc>
        <w:tc>
          <w:tcPr>
            <w:tcW w:w="9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82" w:lineRule="exact"/>
        <w:rPr>
          <w:sz w:val="20"/>
          <w:szCs w:val="20"/>
          <w:color w:val="auto"/>
        </w:rPr>
      </w:pPr>
    </w:p>
    <w:p>
      <w:pPr>
        <w:jc w:val="center"/>
        <w:ind w:right="-999"/>
        <w:spacing w:after="0"/>
        <w:rPr>
          <w:sz w:val="20"/>
          <w:szCs w:val="20"/>
          <w:color w:val="auto"/>
        </w:rPr>
      </w:pPr>
      <w:r>
        <w:rPr>
          <w:rFonts w:ascii="Times New Roman" w:cs="Times New Roman" w:eastAsia="Times New Roman" w:hAnsi="Times New Roman"/>
          <w:sz w:val="18"/>
          <w:szCs w:val="18"/>
          <w:b w:val="1"/>
          <w:bCs w:val="1"/>
          <w:color w:val="auto"/>
        </w:rPr>
        <w:t>SCHEDULE 2</w:t>
      </w:r>
    </w:p>
    <w:p>
      <w:pPr>
        <w:spacing w:after="0" w:line="117" w:lineRule="exact"/>
        <w:rPr>
          <w:sz w:val="20"/>
          <w:szCs w:val="20"/>
          <w:color w:val="auto"/>
        </w:rPr>
      </w:pPr>
    </w:p>
    <w:p>
      <w:pPr>
        <w:jc w:val="center"/>
        <w:ind w:right="-999"/>
        <w:spacing w:after="0"/>
        <w:rPr>
          <w:sz w:val="20"/>
          <w:szCs w:val="20"/>
          <w:color w:val="auto"/>
        </w:rPr>
      </w:pPr>
      <w:r>
        <w:rPr>
          <w:rFonts w:ascii="Times New Roman" w:cs="Times New Roman" w:eastAsia="Times New Roman" w:hAnsi="Times New Roman"/>
          <w:sz w:val="18"/>
          <w:szCs w:val="18"/>
          <w:b w:val="1"/>
          <w:bCs w:val="1"/>
          <w:color w:val="auto"/>
        </w:rPr>
        <w:t>ASSIGNMENT FORM</w:t>
      </w:r>
    </w:p>
    <w:p>
      <w:pPr>
        <w:spacing w:after="0" w:line="119" w:lineRule="exact"/>
        <w:rPr>
          <w:sz w:val="20"/>
          <w:szCs w:val="20"/>
          <w:color w:val="auto"/>
        </w:rPr>
      </w:pPr>
    </w:p>
    <w:p>
      <w:pPr>
        <w:ind w:firstLine="996"/>
        <w:spacing w:after="0" w:line="409" w:lineRule="auto"/>
        <w:rPr>
          <w:sz w:val="20"/>
          <w:szCs w:val="20"/>
          <w:color w:val="auto"/>
        </w:rPr>
      </w:pPr>
      <w:r>
        <w:rPr>
          <w:rFonts w:ascii="Times New Roman" w:cs="Times New Roman" w:eastAsia="Times New Roman" w:hAnsi="Times New Roman"/>
          <w:sz w:val="18"/>
          <w:szCs w:val="18"/>
          <w:i w:val="1"/>
          <w:iCs w:val="1"/>
          <w:color w:val="auto"/>
        </w:rPr>
        <w:t xml:space="preserve">(To assign the foregoing Warrant, execute this form and supply required information. Do not use this form to purchase shares.) </w:t>
      </w:r>
      <w:r>
        <w:rPr>
          <w:rFonts w:ascii="Times New Roman" w:cs="Times New Roman" w:eastAsia="Times New Roman" w:hAnsi="Times New Roman"/>
          <w:sz w:val="18"/>
          <w:szCs w:val="18"/>
          <w:color w:val="auto"/>
        </w:rPr>
        <w:t>FOR VALUE RECEIVED, the foregoing Warrant and all rights evidenced thereby are hereby assigned to</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5285740</wp:posOffset>
            </wp:positionH>
            <wp:positionV relativeFrom="paragraph">
              <wp:posOffset>17145</wp:posOffset>
            </wp:positionV>
            <wp:extent cx="185166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851660" cy="8890"/>
                    </a:xfrm>
                    <a:prstGeom prst="rect">
                      <a:avLst/>
                    </a:prstGeom>
                    <a:noFill/>
                  </pic:spPr>
                </pic:pic>
              </a:graphicData>
            </a:graphic>
          </wp:anchor>
        </w:drawing>
      </w:r>
    </w:p>
    <w:p>
      <w:pPr>
        <w:spacing w:after="0" w:line="97" w:lineRule="exact"/>
        <w:rPr>
          <w:sz w:val="20"/>
          <w:szCs w:val="20"/>
          <w:color w:val="auto"/>
        </w:rPr>
      </w:pPr>
    </w:p>
    <w:p>
      <w:pPr>
        <w:ind w:left="8320"/>
        <w:spacing w:after="0"/>
        <w:rPr>
          <w:sz w:val="20"/>
          <w:szCs w:val="20"/>
          <w:color w:val="auto"/>
        </w:rPr>
      </w:pPr>
      <w:r>
        <w:rPr>
          <w:rFonts w:ascii="Times New Roman" w:cs="Times New Roman" w:eastAsia="Times New Roman" w:hAnsi="Times New Roman"/>
          <w:sz w:val="18"/>
          <w:szCs w:val="18"/>
          <w:color w:val="auto"/>
        </w:rPr>
        <w:t>(Please Print)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5285740</wp:posOffset>
            </wp:positionH>
            <wp:positionV relativeFrom="paragraph">
              <wp:posOffset>17145</wp:posOffset>
            </wp:positionV>
            <wp:extent cx="185166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97" w:lineRule="exact"/>
        <w:rPr>
          <w:sz w:val="20"/>
          <w:szCs w:val="20"/>
          <w:color w:val="auto"/>
        </w:rPr>
      </w:pPr>
    </w:p>
    <w:p>
      <w:pPr>
        <w:ind w:left="8320"/>
        <w:spacing w:after="0"/>
        <w:rPr>
          <w:sz w:val="20"/>
          <w:szCs w:val="20"/>
          <w:color w:val="auto"/>
        </w:rPr>
      </w:pPr>
      <w:r>
        <w:rPr>
          <w:rFonts w:ascii="Times New Roman" w:cs="Times New Roman" w:eastAsia="Times New Roman" w:hAnsi="Times New Roman"/>
          <w:sz w:val="18"/>
          <w:szCs w:val="18"/>
          <w:color w:val="auto"/>
        </w:rPr>
        <w:t>(Please Print)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5285740</wp:posOffset>
            </wp:positionH>
            <wp:positionV relativeFrom="paragraph">
              <wp:posOffset>17145</wp:posOffset>
            </wp:positionV>
            <wp:extent cx="185166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85166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5285740</wp:posOffset>
            </wp:positionH>
            <wp:positionV relativeFrom="paragraph">
              <wp:posOffset>17145</wp:posOffset>
            </wp:positionV>
            <wp:extent cx="185166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_______________ __, ______</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Holder’s Signature: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931545</wp:posOffset>
            </wp:positionH>
            <wp:positionV relativeFrom="paragraph">
              <wp:posOffset>-7620</wp:posOffset>
            </wp:positionV>
            <wp:extent cx="194246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94246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Holder’s Address: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1170305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868045</wp:posOffset>
            </wp:positionH>
            <wp:positionV relativeFrom="paragraph">
              <wp:posOffset>-7620</wp:posOffset>
            </wp:positionV>
            <wp:extent cx="205676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056765" cy="8255"/>
                    </a:xfrm>
                    <a:prstGeom prst="rect">
                      <a:avLst/>
                    </a:prstGeom>
                    <a:noFill/>
                  </pic:spPr>
                </pic:pic>
              </a:graphicData>
            </a:graphic>
          </wp:anchor>
        </w:drawing>
      </w:r>
    </w:p>
    <w:p>
      <w:pPr>
        <w:sectPr>
          <w:pgSz w:w="11900" w:h="16838" w:orient="portrait"/>
          <w:cols w:equalWidth="0" w:num="1">
            <w:col w:w="10200"/>
          </w:cols>
          <w:pgMar w:left="320" w:top="1440" w:right="1379" w:bottom="1440" w:gutter="0" w:footer="0" w:header="0"/>
        </w:sectPr>
      </w:pPr>
    </w:p>
    <w:bookmarkStart w:id="48" w:name="page49"/>
    <w:bookmarkEnd w:id="48"/>
    <w:p>
      <w:pPr>
        <w:spacing w:after="0" w:line="8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ANNEX II</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OF LOCK-UP AGREEMENT</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December ___, 2025</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J.P. Morgan Securities LLC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Leerink Partners LLC</w:t>
      </w:r>
    </w:p>
    <w:p>
      <w:pPr>
        <w:spacing w:after="0"/>
        <w:rPr>
          <w:sz w:val="20"/>
          <w:szCs w:val="20"/>
          <w:color w:val="auto"/>
        </w:rPr>
      </w:pPr>
      <w:r>
        <w:rPr>
          <w:rFonts w:ascii="Times New Roman" w:cs="Times New Roman" w:eastAsia="Times New Roman" w:hAnsi="Times New Roman"/>
          <w:sz w:val="20"/>
          <w:szCs w:val="20"/>
          <w:color w:val="auto"/>
        </w:rPr>
        <w:t>Cantor Fitzgerald &amp; Co.</w:t>
      </w:r>
    </w:p>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As representatives (the “Representatives”) of the several Underwriters named in Schedule I hereto,</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  J.P. Morgan Securities LLC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270 Park Avenue</w:t>
      </w:r>
    </w:p>
    <w:p>
      <w:pPr>
        <w:spacing w:after="0"/>
        <w:rPr>
          <w:sz w:val="20"/>
          <w:szCs w:val="20"/>
          <w:color w:val="auto"/>
        </w:rPr>
      </w:pPr>
      <w:r>
        <w:rPr>
          <w:rFonts w:ascii="Times New Roman" w:cs="Times New Roman" w:eastAsia="Times New Roman" w:hAnsi="Times New Roman"/>
          <w:sz w:val="20"/>
          <w:szCs w:val="20"/>
          <w:color w:val="auto"/>
        </w:rPr>
        <w:t>New York, New York 10017</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  Leerink Partners LLC</w:t>
      </w:r>
    </w:p>
    <w:p>
      <w:pPr>
        <w:spacing w:after="0" w:line="212" w:lineRule="auto"/>
        <w:rPr>
          <w:sz w:val="20"/>
          <w:szCs w:val="20"/>
          <w:color w:val="auto"/>
        </w:rPr>
      </w:pPr>
      <w:r>
        <w:rPr>
          <w:rFonts w:ascii="Times New Roman" w:cs="Times New Roman" w:eastAsia="Times New Roman" w:hAnsi="Times New Roman"/>
          <w:sz w:val="20"/>
          <w:szCs w:val="20"/>
          <w:color w:val="auto"/>
        </w:rPr>
        <w:t>53 State Street, 40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xml:space="preserve"> Floor</w:t>
      </w:r>
    </w:p>
    <w:p>
      <w:pPr>
        <w:spacing w:after="0"/>
        <w:rPr>
          <w:sz w:val="20"/>
          <w:szCs w:val="20"/>
          <w:color w:val="auto"/>
        </w:rPr>
      </w:pPr>
      <w:r>
        <w:rPr>
          <w:rFonts w:ascii="Times New Roman" w:cs="Times New Roman" w:eastAsia="Times New Roman" w:hAnsi="Times New Roman"/>
          <w:sz w:val="20"/>
          <w:szCs w:val="20"/>
          <w:color w:val="auto"/>
        </w:rPr>
        <w:t>Boston, Massachusetts 02109</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  Cantor Fitzgerald &amp; Co.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499 Park Avenue</w:t>
      </w:r>
    </w:p>
    <w:p>
      <w:pPr>
        <w:spacing w:after="0"/>
        <w:rPr>
          <w:sz w:val="20"/>
          <w:szCs w:val="20"/>
          <w:color w:val="auto"/>
        </w:rPr>
      </w:pPr>
      <w:r>
        <w:rPr>
          <w:rFonts w:ascii="Times New Roman" w:cs="Times New Roman" w:eastAsia="Times New Roman" w:hAnsi="Times New Roman"/>
          <w:sz w:val="20"/>
          <w:szCs w:val="20"/>
          <w:color w:val="auto"/>
        </w:rPr>
        <w:t>New York, New York 10022</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Ladies and Gentlemen: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Re: </w:t>
      </w:r>
      <w:r>
        <w:rPr>
          <w:rFonts w:ascii="Times New Roman" w:cs="Times New Roman" w:eastAsia="Times New Roman" w:hAnsi="Times New Roman"/>
          <w:sz w:val="20"/>
          <w:szCs w:val="20"/>
          <w:u w:val="single" w:color="auto"/>
          <w:color w:val="auto"/>
        </w:rPr>
        <w:t>Fulcrum Therapeutics, Inc. — Lock-Up Agreement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Ladies and Gentlemen:</w:t>
      </w:r>
    </w:p>
    <w:p>
      <w:pPr>
        <w:spacing w:after="0" w:line="216"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The undersigned understands that you, as Representatives, propose to enter into an underwriting agreement (the “Underwriting Agreement”) on behalf of the several Underwriters named in Schedule I to such agreement (collectively, the “Underwriters”), with Fulcrum Therapeutics, Inc., a Delaware corporation (the “Company”), providing for a public offering (the “Public Offering”) of shares (the “Shares”) of the common stock, par value $0.001 per share, of the Company (the “Common Stock”) and/or pre-funded warrants to purchase shares of Common Stock (the “Pre-Funded Warrants” and together with the Shares, the “Securities”), pursuant to a Registration Statement on Form S-3 (the “Registration Statement”) filed with the Securities and Exchange Commission (the “SEC”).</w:t>
      </w:r>
    </w:p>
    <w:p>
      <w:pPr>
        <w:spacing w:after="0" w:line="184"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In consideration of the agreement by the Underwriters to offer and sell the Securities, and of other good and valuable consideration the receipt and sufficiency of which is hereby acknowledged, the undersigned agrees that, during the period beginning from the date of this Lock-Up Agreement and continuing to and including the date 30 days after the date of the final prospectus supplement relating to the Public Offering (the “Prospectus”) (such period, the “Lock-Up Period”), the undersigned shall not, and shall not cause or direct any of its affiliates to, (i) offer, sell, contract to sell, pledge, grant any option, right or warrant to purchase, purchase any option or contract to sell, lend or otherwise transfer or dispose of any shares of Common Stock, or any options or warrants to purchase any shares of Common Stock, or any securities convertible into, exchangeable for or that represent the right to receive shares of Common Stock, including, without limitation, shares of Common Stock or such other securities that may be deemed to be beneficially owned by the undersigned in accordance with the rules and regulations of the SEC (such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1011555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8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of Common Stock, options, rights, warrants or other securities, collectively, “Lock-Up Securities”), including without limitation any such Lock-Up Securities now owned or hereafter acquired by the undersigned, (ii) engage in any hedging or other transaction or arrangement (including, without limitation, any short sale or the purchase or sale of, or entry into, any put or call option, or combination thereof, forward, swap or any other derivative transaction or instrument, however described or defined) which is designed to or which reasonably could be expected to lead to or result in a sale, loan, pledge or other disposition (whether by the undersigned or someone other than the undersigned), or transfer of any of the economic consequences of ownership, in whole or in part, directly or indirectly, of any Lock-Up Securities, whether any such transaction or arrangement (or instrument provided for thereunder) would be settled by delivery of Common Stock or other securities, in cash or otherwise (any such sale, loan, pledge or other disposition, or transfer of economic consequences, a “Transfer”), (iii) make any demand for or exercise any right with respect to the registration of any Lock-Up Securities or (iv) otherwise publicly announce any intention to engage in or cause any action, activity, transaction or arrangement described in clause (i), (ii) or (iii) above. The undersigned represents and warrants that the undersigned is not, and has not caused or directed any of its affiliates to be or become, currently a party to any agreement or arrangement that provides for, is designed to or reasonably could be expected to lead to or result in any Transfer during the Lock-Up Period.</w:t>
      </w:r>
    </w:p>
    <w:p>
      <w:pPr>
        <w:spacing w:after="0" w:line="19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Notwithstanding the foregoing, the undersigned may:</w:t>
      </w:r>
    </w:p>
    <w:p>
      <w:pPr>
        <w:spacing w:after="0" w:line="212" w:lineRule="exact"/>
        <w:rPr>
          <w:sz w:val="20"/>
          <w:szCs w:val="20"/>
          <w:color w:val="auto"/>
        </w:rPr>
      </w:pPr>
    </w:p>
    <w:p>
      <w:pPr>
        <w:jc w:val="both"/>
        <w:ind w:firstLine="757"/>
        <w:spacing w:after="0" w:line="255" w:lineRule="auto"/>
        <w:tabs>
          <w:tab w:leader="none" w:pos="1145" w:val="left"/>
        </w:tabs>
        <w:numPr>
          <w:ilvl w:val="1"/>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transfer the undersigned’s Lock-Up Securities (i) as one or more </w:t>
      </w:r>
      <w:r>
        <w:rPr>
          <w:rFonts w:ascii="Times New Roman" w:cs="Times New Roman" w:eastAsia="Times New Roman" w:hAnsi="Times New Roman"/>
          <w:sz w:val="19"/>
          <w:szCs w:val="19"/>
          <w:i w:val="1"/>
          <w:iCs w:val="1"/>
          <w:color w:val="auto"/>
        </w:rPr>
        <w:t>bona fide</w:t>
      </w:r>
      <w:r>
        <w:rPr>
          <w:rFonts w:ascii="Times New Roman" w:cs="Times New Roman" w:eastAsia="Times New Roman" w:hAnsi="Times New Roman"/>
          <w:sz w:val="19"/>
          <w:szCs w:val="19"/>
          <w:color w:val="auto"/>
        </w:rPr>
        <w:t xml:space="preserve"> gifts or charitable contributions, or for </w:t>
      </w:r>
      <w:r>
        <w:rPr>
          <w:rFonts w:ascii="Times New Roman" w:cs="Times New Roman" w:eastAsia="Times New Roman" w:hAnsi="Times New Roman"/>
          <w:sz w:val="19"/>
          <w:szCs w:val="19"/>
          <w:i w:val="1"/>
          <w:iCs w:val="1"/>
          <w:color w:val="auto"/>
        </w:rPr>
        <w:t>bona fide</w:t>
      </w:r>
      <w:r>
        <w:rPr>
          <w:rFonts w:ascii="Times New Roman" w:cs="Times New Roman" w:eastAsia="Times New Roman" w:hAnsi="Times New Roman"/>
          <w:sz w:val="19"/>
          <w:szCs w:val="19"/>
          <w:color w:val="auto"/>
        </w:rPr>
        <w:t xml:space="preserve"> estate planning purposes, (ii) upon death by will, testamentary document or intestate succession, (iii) if the undersigned is a natural person, to any member of the undersigned’s immediate family (for purposes of this Lock-Up Agreement, “immediate family” shall mean any relationship by blood, current or former marriage, domestic partnership or adoption, not more remote than first cousin) or to any trust for the direct or indirect benefit of the undersigned or the immediate family of the undersigned or, if the undersigned is a trust, to a trustor or beneficiary of the trust or the estate of a beneficiary of such trust, (iv) to a partnership, limited liability company or other entity of which the undersigned and the immediate family of the undersigned are the legal and beneficial owner of all of the outstanding equity securities or similar interests, (v) to a nominee or custodian of a person or entity to whom a disposition or transfer would be permissible under clauses (a)</w:t>
      </w:r>
    </w:p>
    <w:p>
      <w:pPr>
        <w:spacing w:after="0" w:line="4" w:lineRule="exact"/>
        <w:rPr>
          <w:rFonts w:ascii="Times New Roman" w:cs="Times New Roman" w:eastAsia="Times New Roman" w:hAnsi="Times New Roman"/>
          <w:sz w:val="19"/>
          <w:szCs w:val="19"/>
          <w:color w:val="auto"/>
        </w:rPr>
      </w:pPr>
    </w:p>
    <w:p>
      <w:pPr>
        <w:jc w:val="both"/>
        <w:ind w:firstLine="8"/>
        <w:spacing w:after="0" w:line="239" w:lineRule="auto"/>
        <w:tabs>
          <w:tab w:leader="none" w:pos="245"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through (iv) above, (vi) if the undersigned is a corporation, partnership, limited liability company or other business entity, (A) to another corporation, partnership, limited liability company or other business entity that is an affiliate (as defined in Rule 405 under the Securities Act of 1933, as amended) of the undersigned, or to any investment fund or other entity which fund or entity is controlled or managed by the undersigned or affiliates of the undersigned, or (B) as part of a distribution by the undersigned to its stockholders, partners, members or other equityholders or to the estate of any such stockholders, partners, members or other equityholders, (vii) by operation of law, such as pursuant to a qualified domestic order, divorce settlement, divorce decree or separation agreement, (viii) to the Company from an employee of the Company upon death, disability or termination of employment, in each case, of such employee, (ix) if the undersigned is not an officer or director of the Company, in connection with a sale of the undersigned’s shares of Common Stock acquired (A) from the Underwriters in the Public Offering or (B) in open market transactions after the closing date of the Public Offering, (x) to the Company in connection with the vesting, settlement or exercise of restricted stock units, options, warrants or other rights to purchase shares of Common Stock (including, in each case, by way of “net” or “cashless” exercise) that are scheduled to expire or automatically vest during the Lock-Up Period, including any transfer to the Company for the payment of tax withholdings or remittance payments due as a result of the vesting, settlement or exercise of such restricted stock units, options, warrants or other rights, or in connection with the conversion of convertible securities, in all such cases pursuant to equity awards granted under a stock incentive plan or other equity award plan, or pursuant to the terms of convertible securities, each as described in a document incorporated by reference in the Registration Statement, the preliminary prospectus supplement relating to the Securities and the Prospectus, provided that any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line="8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received upon such vesting, settlement, exercise or conversion shall be subject to the terms of this Lock-Up Agreement, or (xi) with the prior written consent of J.P. Morgan Securities LLC, Leerink Partners LLC and Cantor Fitzgerald &amp; Co., on behalf of the Underwriters; provided that (A) in the case of clauses (a)(i), (ii), (iii), (iv), (v) and (vi) above, such transfer or distribution shall not involve a disposition for value,</w:t>
      </w:r>
    </w:p>
    <w:p>
      <w:pPr>
        <w:jc w:val="both"/>
        <w:ind w:firstLine="8"/>
        <w:spacing w:after="0" w:line="254" w:lineRule="auto"/>
        <w:tabs>
          <w:tab w:leader="none" w:pos="327" w:val="left"/>
        </w:tabs>
        <w:numPr>
          <w:ilvl w:val="0"/>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clauses (a)(i), (ii), (iii), (iv), (v), (vi) and (vii) above, it shall be a condition to the transfer or distribution that the donee, devisee, transferee or distributee, as the case may be, shall sign and deliver a lock-up agreement in the form of this Lock-Up Agreement, (C) in the case of clauses (a)(iv), (v) and (vi) above, no filing by any party (including, without limitation, any donor, donee, devisee, transferor, transferee, distributor or distributee) under the Securities Exchange Act of 1934, as amended (the “Exchange Act), or other public filing, report or announcement reporting a reduction in beneficial ownership of Lock-Up Securities shall be required or shall be voluntarily made in connection with such transfer or distribution, and (D) in the case of clauses (a)(i), (vii), (viii), (ix) and (x) above, no filing under the Exchange Act or other public filing, report or announcement shall be voluntarily made, and if any such filing, report or announcement shall be legally required during the Lock-Up Period, such filing, report or announcement shall clearly indicate in the footnotes thereto (A) the circumstances of such transfer or distribution and (B) in the case of a transfer or distribution pursuant to clauses (a)(i) and (vii) above, that the donee, devisee, transferee or distributee has agreed to be bound by a lock-up agreement in the form of this Lock-Up Agreement;</w:t>
      </w:r>
    </w:p>
    <w:p>
      <w:pPr>
        <w:spacing w:after="0" w:line="176" w:lineRule="exact"/>
        <w:rPr>
          <w:rFonts w:ascii="Times New Roman" w:cs="Times New Roman" w:eastAsia="Times New Roman" w:hAnsi="Times New Roman"/>
          <w:sz w:val="19"/>
          <w:szCs w:val="19"/>
          <w:color w:val="auto"/>
        </w:rPr>
      </w:pPr>
    </w:p>
    <w:p>
      <w:pPr>
        <w:jc w:val="both"/>
        <w:ind w:firstLine="757"/>
        <w:spacing w:after="0" w:line="243" w:lineRule="auto"/>
        <w:tabs>
          <w:tab w:leader="none" w:pos="1145"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transfer, sell, or dispose of the undersigned’s Lock-Up Securities pursuant to an existing Rule 10b5-1 trading plan adopted prior to the date of this Lock-Up Agreement, which has not been amended following the date hereof, provided that any filing made under the Exchange Act in connection with such a sale shall disclose that the sale was made pursuant to a Rule 10b5-1 trading plan entered into on a date before the date of the Prospectus and (ii) enter into a written plan meeting the requirements of Rule 10b5-1 under the Exchange Act relating to the transfer, sale or other disposition of the undersigned’s Lock-Up Securities, if then permitted by the Company, provided that (x) none of the securities subject to such plan may be transferred, sold or otherwise disposed of until after the expiration of the Lock-Up Period and (y) to the extent a public announcement or filing under the Exchange Act, if any, is required by or on behalf of the undersigned or the Company regarding the entry of such plan, such announcement or filing shall include a statement to the effect that no transfer of shares of Common Stock may be made under such plan during the Lock-Up Period; and</w:t>
      </w:r>
    </w:p>
    <w:p>
      <w:pPr>
        <w:spacing w:after="0" w:line="185" w:lineRule="exact"/>
        <w:rPr>
          <w:rFonts w:ascii="Times New Roman" w:cs="Times New Roman" w:eastAsia="Times New Roman" w:hAnsi="Times New Roman"/>
          <w:sz w:val="20"/>
          <w:szCs w:val="20"/>
          <w:color w:val="auto"/>
        </w:rPr>
      </w:pPr>
    </w:p>
    <w:p>
      <w:pPr>
        <w:jc w:val="both"/>
        <w:ind w:firstLine="757"/>
        <w:spacing w:after="0" w:line="243" w:lineRule="auto"/>
        <w:tabs>
          <w:tab w:leader="none" w:pos="1145"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transfer the undersigned’s Lock-Up Securities pursuant to a bona fide third-party tender offer, merger, consolidation or other similar transaction that is approved by the Board of Directors of the Company and made to all holders of the Company’s capital stock involving a Change of Control of the Company (for purposes hereof, “Change of Control” shall mean the transfer (whether by tender offer, merger, consolidation or other similar transaction), in one transaction or a series of related transactions, to a person or group of affiliated persons, of shares of capital stock if, after such transfer, such person or group of affiliated persons would hold at least a majority of the outstanding voting securities of the Company (or the surviving entity)); provided that in the event that such tender offer, merger, consolidation or other similar transaction is not completed, the undersigned’s Lock-Up Securities shall remain subject to the provisions of this Lock-Up Agreement.</w:t>
      </w:r>
    </w:p>
    <w:p>
      <w:pPr>
        <w:spacing w:after="0" w:line="189"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If the undersigned is not a natural person, the undersigned represents and warrants that no single natural person, entity or “group” (within the meaning of Section 13(d)(3) of the Exchange Act), other than a natural person, entity or “group” (as described above) that has executed a Lock-Up Agreement in substantially the same form as this Lock-Up Agreement, beneficially owns, directly or indirectly, 50% or more of the common equity interests, or 50% or more of the voting power, in the undersigned.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1007110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81"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The undersigned also agrees and consents to the entry of stop transfer instructions with the Company’s transfer agent and registrar against the transfer of the undersigned’s Lock-Up Securities except in compliance with the foregoing restrictions.</w:t>
      </w:r>
    </w:p>
    <w:p>
      <w:pPr>
        <w:spacing w:after="0" w:line="159"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The undersigned acknowledges and agrees that none of the Underwriters has made any recommendation or provided any investment or other advice to the undersigned with respect to this Lock-Up Agreement or the subject matter hereof, and the undersigned has consulted its own legal, accounting, financial, regulatory, tax and other advisors with respect to this Lock-Up Agreement and the subject matter hereof to the extent the undersigned has deemed appropriate. The undersigned further acknowledges and agrees that, although the Underwriters may have provided or hereafter provide to the undersigned in connection with the Public Offering a Form CRS and/or certain other disclosures as contemplated by Regulation Best Interest, the Underwriters have not made and are not making a recommendation to the undersigned to enter into this Lock-Up Agreement or to transfer, sell or dispose of, or to refrain from transferring, selling or disposing of, any shares of Common Stock, and nothing set forth in such disclosures or herein is intended to suggest that any Underwriter is making such a recommendation.</w:t>
      </w:r>
    </w:p>
    <w:p>
      <w:pPr>
        <w:spacing w:after="0" w:line="186" w:lineRule="exact"/>
        <w:rPr>
          <w:sz w:val="20"/>
          <w:szCs w:val="20"/>
          <w:color w:val="auto"/>
        </w:rPr>
      </w:pPr>
    </w:p>
    <w:p>
      <w:pPr>
        <w:jc w:val="both"/>
        <w:ind w:firstLine="374"/>
        <w:spacing w:after="0" w:line="244" w:lineRule="auto"/>
        <w:rPr>
          <w:sz w:val="20"/>
          <w:szCs w:val="20"/>
          <w:color w:val="auto"/>
        </w:rPr>
      </w:pPr>
      <w:r>
        <w:rPr>
          <w:rFonts w:ascii="Times New Roman" w:cs="Times New Roman" w:eastAsia="Times New Roman" w:hAnsi="Times New Roman"/>
          <w:sz w:val="20"/>
          <w:szCs w:val="20"/>
          <w:color w:val="auto"/>
        </w:rPr>
        <w:t>This Lock-Up Agreement shall automatically terminate and the undersigned shall be released from all of his, her or its obligations hereunder upon the earlier of (i) the date on which the Company notifies the Representatives, in writing and prior to the execution of the Underwriting Agreement, that it does not intend to proceed with the Public Offering, (ii) the date on which for any reason the Underwriting Agreement is terminated (other than the provisions thereof that survive termination) prior to payment for and delivery of the Securities to be sold thereunder (other than pursuant to the Underwriters’ option thereunder to purchase additional Shares), and (iii) December 31, 2025, in the event that the Underwriting Agreement has not been executed by such date (provided, however, that the Company may, by written notice to the undersigned prior to such date, extend such date by a period of up to an additional 90 days).</w:t>
      </w:r>
    </w:p>
    <w:p>
      <w:pPr>
        <w:spacing w:after="0" w:line="186" w:lineRule="exact"/>
        <w:rPr>
          <w:sz w:val="20"/>
          <w:szCs w:val="20"/>
          <w:color w:val="auto"/>
        </w:rPr>
      </w:pPr>
    </w:p>
    <w:p>
      <w:pPr>
        <w:jc w:val="both"/>
        <w:ind w:firstLine="374"/>
        <w:spacing w:after="0" w:line="243" w:lineRule="auto"/>
        <w:rPr>
          <w:sz w:val="20"/>
          <w:szCs w:val="20"/>
          <w:color w:val="auto"/>
        </w:rPr>
      </w:pPr>
      <w:r>
        <w:rPr>
          <w:rFonts w:ascii="Times New Roman" w:cs="Times New Roman" w:eastAsia="Times New Roman" w:hAnsi="Times New Roman"/>
          <w:sz w:val="20"/>
          <w:szCs w:val="20"/>
          <w:color w:val="auto"/>
        </w:rPr>
        <w:t xml:space="preserve">The undersigned understands that the Company and the Underwriters are relying upon this Lock-Up Agreement in proceeding toward consummation of the Public Offering. The undersigned further understands that this Lock-Up Agreement is irrevocable and shall be binding upon the undersigned’s heirs, legal representatives, successors and assigns. The undersigned hereby represents and warrants that the undersigned has full power and authority to enter into this Lock-Up Agreement. This Lock-Up Agreement shall be governed by, and construed in accordance with, the laws of the State of New York, without regard to principles of conflict of laws that would result in the application of any law other than the laws of the State of New York. This Lock-Up Agreement may be delivered via facsimile, electronic mail (including pdf or any electronic signature complying with the U.S. federal ESIGN Act of 2000, e.g., </w:t>
      </w:r>
      <w:r>
        <w:rPr>
          <w:rFonts w:ascii="Times New Roman" w:cs="Times New Roman" w:eastAsia="Times New Roman" w:hAnsi="Times New Roman"/>
          <w:sz w:val="20"/>
          <w:szCs w:val="20"/>
          <w:u w:val="single" w:color="auto"/>
          <w:color w:val="0000FF"/>
        </w:rPr>
        <w:t>www.docusign.com</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0000FF"/>
        </w:rPr>
        <w:t>www.echosign.com</w:t>
      </w:r>
      <w:r>
        <w:rPr>
          <w:rFonts w:ascii="Times New Roman" w:cs="Times New Roman" w:eastAsia="Times New Roman" w:hAnsi="Times New Roman"/>
          <w:sz w:val="20"/>
          <w:szCs w:val="20"/>
          <w:color w:val="000000"/>
        </w:rPr>
        <w:t>) or other transmission method, and any counterpart so delivered shall be deemed to have been duly and validly delivered</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and be valid and effective for all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1259840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Very truly yours,</w:t>
            </w:r>
          </w:p>
        </w:tc>
        <w:tc>
          <w:tcPr>
            <w:tcW w:w="6440" w:type="dxa"/>
            <w:vAlign w:val="bottom"/>
          </w:tcPr>
          <w:p>
            <w:pPr>
              <w:spacing w:after="0"/>
              <w:rPr>
                <w:sz w:val="22"/>
                <w:szCs w:val="22"/>
                <w:color w:val="auto"/>
              </w:rPr>
            </w:pPr>
          </w:p>
        </w:tc>
      </w:tr>
      <w:tr>
        <w:trPr>
          <w:trHeight w:val="553"/>
        </w:trPr>
        <w:tc>
          <w:tcPr>
            <w:tcW w:w="48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IF AN INDIVIDUAL:</w:t>
            </w:r>
          </w:p>
        </w:tc>
        <w:tc>
          <w:tcPr>
            <w:tcW w:w="6440" w:type="dxa"/>
            <w:vAlign w:val="bottom"/>
          </w:tcPr>
          <w:p>
            <w:pPr>
              <w:ind w:left="920"/>
              <w:spacing w:after="0"/>
              <w:rPr>
                <w:sz w:val="20"/>
                <w:szCs w:val="20"/>
                <w:color w:val="auto"/>
              </w:rPr>
            </w:pPr>
            <w:r>
              <w:rPr>
                <w:rFonts w:ascii="Times New Roman" w:cs="Times New Roman" w:eastAsia="Times New Roman" w:hAnsi="Times New Roman"/>
                <w:sz w:val="20"/>
                <w:szCs w:val="20"/>
                <w:color w:val="auto"/>
              </w:rPr>
              <w:t>IF AN ENTITY:</w:t>
            </w:r>
          </w:p>
        </w:tc>
      </w:tr>
      <w:tr>
        <w:trPr>
          <w:trHeight w:val="629"/>
        </w:trPr>
        <w:tc>
          <w:tcPr>
            <w:tcW w:w="48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By:</w:t>
            </w:r>
          </w:p>
        </w:tc>
        <w:tc>
          <w:tcPr>
            <w:tcW w:w="6440" w:type="dxa"/>
            <w:vAlign w:val="bottom"/>
          </w:tcPr>
          <w:p>
            <w:pPr>
              <w:spacing w:after="0"/>
              <w:rPr>
                <w:sz w:val="24"/>
                <w:szCs w:val="24"/>
                <w:color w:val="auto"/>
              </w:rPr>
            </w:pPr>
          </w:p>
        </w:tc>
      </w:tr>
      <w:tr>
        <w:trPr>
          <w:trHeight w:val="262"/>
        </w:trPr>
        <w:tc>
          <w:tcPr>
            <w:tcW w:w="4800" w:type="dxa"/>
            <w:vAlign w:val="bottom"/>
          </w:tcPr>
          <w:p>
            <w:pPr>
              <w:jc w:val="center"/>
              <w:ind w:left="741"/>
              <w:spacing w:after="0"/>
              <w:rPr>
                <w:sz w:val="20"/>
                <w:szCs w:val="20"/>
                <w:color w:val="auto"/>
              </w:rPr>
            </w:pPr>
            <w:r>
              <w:rPr>
                <w:rFonts w:ascii="Times New Roman" w:cs="Times New Roman" w:eastAsia="Times New Roman" w:hAnsi="Times New Roman"/>
                <w:sz w:val="20"/>
                <w:szCs w:val="20"/>
                <w:i w:val="1"/>
                <w:iCs w:val="1"/>
                <w:color w:val="auto"/>
                <w:w w:val="98"/>
              </w:rPr>
              <w:t>(duly authorized signature)</w:t>
            </w:r>
          </w:p>
        </w:tc>
        <w:tc>
          <w:tcPr>
            <w:tcW w:w="6440" w:type="dxa"/>
            <w:vAlign w:val="bottom"/>
          </w:tcPr>
          <w:p>
            <w:pPr>
              <w:jc w:val="center"/>
              <w:ind w:left="721"/>
              <w:spacing w:after="0"/>
              <w:rPr>
                <w:sz w:val="20"/>
                <w:szCs w:val="20"/>
                <w:color w:val="auto"/>
              </w:rPr>
            </w:pPr>
            <w:r>
              <w:rPr>
                <w:rFonts w:ascii="Times New Roman" w:cs="Times New Roman" w:eastAsia="Times New Roman" w:hAnsi="Times New Roman"/>
                <w:sz w:val="20"/>
                <w:szCs w:val="20"/>
                <w:i w:val="1"/>
                <w:iCs w:val="1"/>
                <w:color w:val="auto"/>
                <w:w w:val="98"/>
              </w:rPr>
              <w:t>(please print compete name of entity)</w:t>
            </w:r>
          </w:p>
        </w:tc>
      </w:tr>
      <w:tr>
        <w:trPr>
          <w:trHeight w:val="521"/>
        </w:trPr>
        <w:tc>
          <w:tcPr>
            <w:tcW w:w="48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Name:</w:t>
            </w:r>
          </w:p>
        </w:tc>
        <w:tc>
          <w:tcPr>
            <w:tcW w:w="6440" w:type="dxa"/>
            <w:vAlign w:val="bottom"/>
          </w:tcPr>
          <w:p>
            <w:pPr>
              <w:ind w:left="920"/>
              <w:spacing w:after="0"/>
              <w:rPr>
                <w:sz w:val="20"/>
                <w:szCs w:val="20"/>
                <w:color w:val="auto"/>
              </w:rPr>
            </w:pPr>
            <w:r>
              <w:rPr>
                <w:rFonts w:ascii="Times New Roman" w:cs="Times New Roman" w:eastAsia="Times New Roman" w:hAnsi="Times New Roman"/>
                <w:sz w:val="20"/>
                <w:szCs w:val="20"/>
                <w:color w:val="auto"/>
              </w:rPr>
              <w:t>By:</w:t>
            </w:r>
          </w:p>
        </w:tc>
      </w:tr>
      <w:tr>
        <w:trPr>
          <w:trHeight w:val="262"/>
        </w:trPr>
        <w:tc>
          <w:tcPr>
            <w:tcW w:w="4800" w:type="dxa"/>
            <w:vAlign w:val="bottom"/>
          </w:tcPr>
          <w:p>
            <w:pPr>
              <w:jc w:val="center"/>
              <w:ind w:left="721"/>
              <w:spacing w:after="0"/>
              <w:rPr>
                <w:sz w:val="20"/>
                <w:szCs w:val="20"/>
                <w:color w:val="auto"/>
              </w:rPr>
            </w:pPr>
            <w:r>
              <w:rPr>
                <w:rFonts w:ascii="Times New Roman" w:cs="Times New Roman" w:eastAsia="Times New Roman" w:hAnsi="Times New Roman"/>
                <w:sz w:val="20"/>
                <w:szCs w:val="20"/>
                <w:i w:val="1"/>
                <w:iCs w:val="1"/>
                <w:color w:val="auto"/>
                <w:w w:val="98"/>
              </w:rPr>
              <w:t>(please print full name)</w:t>
            </w:r>
          </w:p>
        </w:tc>
        <w:tc>
          <w:tcPr>
            <w:tcW w:w="6440" w:type="dxa"/>
            <w:vAlign w:val="bottom"/>
          </w:tcPr>
          <w:p>
            <w:pPr>
              <w:jc w:val="center"/>
              <w:ind w:left="721"/>
              <w:spacing w:after="0"/>
              <w:rPr>
                <w:sz w:val="20"/>
                <w:szCs w:val="20"/>
                <w:color w:val="auto"/>
              </w:rPr>
            </w:pPr>
            <w:r>
              <w:rPr>
                <w:rFonts w:ascii="Times New Roman" w:cs="Times New Roman" w:eastAsia="Times New Roman" w:hAnsi="Times New Roman"/>
                <w:sz w:val="20"/>
                <w:szCs w:val="20"/>
                <w:i w:val="1"/>
                <w:iCs w:val="1"/>
                <w:color w:val="auto"/>
                <w:w w:val="99"/>
              </w:rPr>
              <w:t>(duly authorized signature)</w:t>
            </w:r>
          </w:p>
        </w:tc>
      </w:tr>
      <w:tr>
        <w:trPr>
          <w:trHeight w:val="521"/>
        </w:trPr>
        <w:tc>
          <w:tcPr>
            <w:tcW w:w="4800" w:type="dxa"/>
            <w:vAlign w:val="bottom"/>
          </w:tcPr>
          <w:p>
            <w:pPr>
              <w:spacing w:after="0"/>
              <w:rPr>
                <w:sz w:val="24"/>
                <w:szCs w:val="24"/>
                <w:color w:val="auto"/>
              </w:rPr>
            </w:pPr>
          </w:p>
        </w:tc>
        <w:tc>
          <w:tcPr>
            <w:tcW w:w="6440" w:type="dxa"/>
            <w:vAlign w:val="bottom"/>
          </w:tcPr>
          <w:p>
            <w:pPr>
              <w:ind w:left="920"/>
              <w:spacing w:after="0"/>
              <w:rPr>
                <w:sz w:val="20"/>
                <w:szCs w:val="20"/>
                <w:color w:val="auto"/>
              </w:rPr>
            </w:pPr>
            <w:r>
              <w:rPr>
                <w:rFonts w:ascii="Times New Roman" w:cs="Times New Roman" w:eastAsia="Times New Roman" w:hAnsi="Times New Roman"/>
                <w:sz w:val="20"/>
                <w:szCs w:val="20"/>
                <w:color w:val="auto"/>
              </w:rPr>
              <w:t>Name:</w:t>
            </w:r>
          </w:p>
        </w:tc>
      </w:tr>
      <w:tr>
        <w:trPr>
          <w:trHeight w:val="262"/>
        </w:trPr>
        <w:tc>
          <w:tcPr>
            <w:tcW w:w="4800" w:type="dxa"/>
            <w:vAlign w:val="bottom"/>
          </w:tcPr>
          <w:p>
            <w:pPr>
              <w:spacing w:after="0"/>
              <w:rPr>
                <w:sz w:val="22"/>
                <w:szCs w:val="22"/>
                <w:color w:val="auto"/>
              </w:rPr>
            </w:pPr>
          </w:p>
        </w:tc>
        <w:tc>
          <w:tcPr>
            <w:tcW w:w="6440" w:type="dxa"/>
            <w:vAlign w:val="bottom"/>
          </w:tcPr>
          <w:p>
            <w:pPr>
              <w:jc w:val="center"/>
              <w:ind w:left="721"/>
              <w:spacing w:after="0"/>
              <w:rPr>
                <w:sz w:val="20"/>
                <w:szCs w:val="20"/>
                <w:color w:val="auto"/>
              </w:rPr>
            </w:pPr>
            <w:r>
              <w:rPr>
                <w:rFonts w:ascii="Times New Roman" w:cs="Times New Roman" w:eastAsia="Times New Roman" w:hAnsi="Times New Roman"/>
                <w:sz w:val="20"/>
                <w:szCs w:val="20"/>
                <w:i w:val="1"/>
                <w:iCs w:val="1"/>
                <w:color w:val="auto"/>
                <w:w w:val="98"/>
              </w:rPr>
              <w:t>(please print full name)</w:t>
            </w:r>
          </w:p>
        </w:tc>
      </w:tr>
      <w:tr>
        <w:trPr>
          <w:trHeight w:val="521"/>
        </w:trPr>
        <w:tc>
          <w:tcPr>
            <w:tcW w:w="4800" w:type="dxa"/>
            <w:vAlign w:val="bottom"/>
          </w:tcPr>
          <w:p>
            <w:pPr>
              <w:spacing w:after="0"/>
              <w:rPr>
                <w:sz w:val="24"/>
                <w:szCs w:val="24"/>
                <w:color w:val="auto"/>
              </w:rPr>
            </w:pPr>
          </w:p>
        </w:tc>
        <w:tc>
          <w:tcPr>
            <w:tcW w:w="6440" w:type="dxa"/>
            <w:vAlign w:val="bottom"/>
          </w:tcPr>
          <w:p>
            <w:pPr>
              <w:ind w:left="920"/>
              <w:spacing w:after="0"/>
              <w:rPr>
                <w:sz w:val="20"/>
                <w:szCs w:val="20"/>
                <w:color w:val="auto"/>
              </w:rPr>
            </w:pPr>
            <w:r>
              <w:rPr>
                <w:rFonts w:ascii="Times New Roman" w:cs="Times New Roman" w:eastAsia="Times New Roman" w:hAnsi="Times New Roman"/>
                <w:sz w:val="20"/>
                <w:szCs w:val="20"/>
                <w:color w:val="auto"/>
              </w:rPr>
              <w:t>Title:</w:t>
            </w:r>
          </w:p>
        </w:tc>
      </w:tr>
      <w:tr>
        <w:trPr>
          <w:trHeight w:val="262"/>
        </w:trPr>
        <w:tc>
          <w:tcPr>
            <w:tcW w:w="4800" w:type="dxa"/>
            <w:vAlign w:val="bottom"/>
          </w:tcPr>
          <w:p>
            <w:pPr>
              <w:spacing w:after="0"/>
              <w:rPr>
                <w:sz w:val="22"/>
                <w:szCs w:val="22"/>
                <w:color w:val="auto"/>
              </w:rPr>
            </w:pPr>
          </w:p>
        </w:tc>
        <w:tc>
          <w:tcPr>
            <w:tcW w:w="6440" w:type="dxa"/>
            <w:vAlign w:val="bottom"/>
          </w:tcPr>
          <w:p>
            <w:pPr>
              <w:jc w:val="center"/>
              <w:ind w:left="721"/>
              <w:spacing w:after="0"/>
              <w:rPr>
                <w:sz w:val="20"/>
                <w:szCs w:val="20"/>
                <w:color w:val="auto"/>
              </w:rPr>
            </w:pPr>
            <w:r>
              <w:rPr>
                <w:rFonts w:ascii="Times New Roman" w:cs="Times New Roman" w:eastAsia="Times New Roman" w:hAnsi="Times New Roman"/>
                <w:sz w:val="20"/>
                <w:szCs w:val="20"/>
                <w:i w:val="1"/>
                <w:iCs w:val="1"/>
                <w:color w:val="auto"/>
                <w:w w:val="98"/>
              </w:rPr>
              <w:t>(please print full title)</w:t>
            </w:r>
          </w:p>
        </w:tc>
      </w:tr>
      <w:tr>
        <w:trPr>
          <w:trHeight w:val="2080"/>
        </w:trPr>
        <w:tc>
          <w:tcPr>
            <w:tcW w:w="4800" w:type="dxa"/>
            <w:vAlign w:val="bottom"/>
            <w:tcBorders>
              <w:bottom w:val="single" w:sz="8" w:color="9A9A9A"/>
            </w:tcBorders>
          </w:tcPr>
          <w:p>
            <w:pPr>
              <w:spacing w:after="0"/>
              <w:rPr>
                <w:sz w:val="24"/>
                <w:szCs w:val="24"/>
                <w:color w:val="auto"/>
              </w:rPr>
            </w:pPr>
          </w:p>
        </w:tc>
        <w:tc>
          <w:tcPr>
            <w:tcW w:w="6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ind w:left="10400"/>
        <w:spacing w:after="0"/>
        <w:rPr>
          <w:sz w:val="20"/>
          <w:szCs w:val="20"/>
          <w:color w:val="auto"/>
        </w:rPr>
      </w:pPr>
      <w:r>
        <w:rPr>
          <w:rFonts w:ascii="Times New Roman" w:cs="Times New Roman" w:eastAsia="Times New Roman" w:hAnsi="Times New Roman"/>
          <w:sz w:val="17"/>
          <w:szCs w:val="17"/>
          <w:b w:val="1"/>
          <w:bCs w:val="1"/>
          <w:color w:val="auto"/>
        </w:rPr>
        <w:t>Exhibit 4.1</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FORM OF PRE-FUNDED WARRANT TO PURCHASE COMMON STOCK</w:t>
      </w:r>
    </w:p>
    <w:p>
      <w:pPr>
        <w:sectPr>
          <w:pgSz w:w="11900" w:h="16838" w:orient="portrait"/>
          <w:cols w:equalWidth="0" w:num="1">
            <w:col w:w="11240"/>
          </w:cols>
          <w:pgMar w:left="320" w:top="765" w:right="339" w:bottom="1440" w:gutter="0" w:footer="0" w:header="0"/>
        </w:sectPr>
      </w:pPr>
    </w:p>
    <w:p>
      <w:pPr>
        <w:spacing w:after="0" w:line="229"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7"/>
          <w:szCs w:val="17"/>
          <w:color w:val="auto"/>
        </w:rPr>
        <w:t>Number of Shares: [</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(subject to adjustment) </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4"/>
          <w:szCs w:val="4"/>
          <w:color w:val="auto"/>
        </w:rPr>
        <w:t> </w:t>
      </w:r>
    </w:p>
    <w:p>
      <w:pPr>
        <w:spacing w:after="0" w:line="360" w:lineRule="exact"/>
        <w:rPr>
          <w:sz w:val="20"/>
          <w:szCs w:val="20"/>
          <w:color w:val="auto"/>
        </w:rPr>
      </w:pPr>
    </w:p>
    <w:p>
      <w:pPr>
        <w:sectPr>
          <w:pgSz w:w="11900" w:h="16838" w:orient="portrait"/>
          <w:cols w:equalWidth="0" w:num="3">
            <w:col w:w="8580" w:space="500"/>
            <w:col w:w="1800" w:space="140"/>
            <w:col w:w="220"/>
          </w:cols>
          <w:pgMar w:left="320" w:top="765" w:right="339" w:bottom="1440" w:gutter="0" w:footer="0" w:header="0"/>
          <w:type w:val="continuous"/>
        </w:sectPr>
      </w:pP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 No. [</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Original Issue Date: [</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2025</w:t>
      </w:r>
    </w:p>
    <w:p>
      <w:pPr>
        <w:spacing w:after="0" w:line="211" w:lineRule="exact"/>
        <w:rPr>
          <w:sz w:val="20"/>
          <w:szCs w:val="20"/>
          <w:color w:val="auto"/>
        </w:rPr>
      </w:pPr>
    </w:p>
    <w:p>
      <w:pPr>
        <w:sectPr>
          <w:pgSz w:w="11900" w:h="16838" w:orient="portrait"/>
          <w:cols w:equalWidth="0" w:num="4">
            <w:col w:w="1020" w:space="480"/>
            <w:col w:w="6460" w:space="720"/>
            <w:col w:w="1560" w:space="500"/>
            <w:col w:w="500"/>
          </w:cols>
          <w:pgMar w:left="320" w:top="765" w:right="339" w:bottom="1440" w:gutter="0" w:footer="0" w:header="0"/>
          <w:type w:val="continuous"/>
        </w:sectPr>
      </w:pPr>
    </w:p>
    <w:p>
      <w:pPr>
        <w:spacing w:after="0" w:line="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Fulcrum Therapeutics,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hereby certifies that, for good and valuable consideration, the receipt and</w:t>
      </w:r>
    </w:p>
    <w:p>
      <w:pPr>
        <w:spacing w:after="0" w:line="31" w:lineRule="exact"/>
        <w:rPr>
          <w:sz w:val="20"/>
          <w:szCs w:val="20"/>
          <w:color w:val="auto"/>
        </w:rPr>
      </w:pPr>
    </w:p>
    <w:p>
      <w:pPr>
        <w:spacing w:after="0"/>
        <w:tabs>
          <w:tab w:leader="none" w:pos="4000" w:val="left"/>
        </w:tabs>
        <w:rPr>
          <w:sz w:val="20"/>
          <w:szCs w:val="20"/>
          <w:color w:val="auto"/>
        </w:rPr>
      </w:pPr>
      <w:r>
        <w:rPr>
          <w:rFonts w:ascii="Times New Roman" w:cs="Times New Roman" w:eastAsia="Times New Roman" w:hAnsi="Times New Roman"/>
          <w:sz w:val="18"/>
          <w:szCs w:val="18"/>
          <w:color w:val="auto"/>
        </w:rPr>
        <w:t>sufficiency of which are hereby acknowledged, [</w:t>
      </w:r>
      <w:r>
        <w:rPr>
          <w:sz w:val="20"/>
          <w:szCs w:val="20"/>
          <w:color w:val="auto"/>
        </w:rPr>
        <w:tab/>
      </w:r>
      <w:r>
        <w:rPr>
          <w:rFonts w:ascii="Times New Roman" w:cs="Times New Roman" w:eastAsia="Times New Roman" w:hAnsi="Times New Roman"/>
          <w:sz w:val="17"/>
          <w:szCs w:val="17"/>
          <w:color w:val="auto"/>
        </w:rPr>
        <w:t>] or its registered assigns (the “</w:t>
      </w:r>
      <w:r>
        <w:rPr>
          <w:rFonts w:ascii="Times New Roman" w:cs="Times New Roman" w:eastAsia="Times New Roman" w:hAnsi="Times New Roman"/>
          <w:sz w:val="17"/>
          <w:szCs w:val="17"/>
          <w:b w:val="1"/>
          <w:bCs w:val="1"/>
          <w:color w:val="auto"/>
        </w:rPr>
        <w:t>Holder</w:t>
      </w:r>
      <w:r>
        <w:rPr>
          <w:rFonts w:ascii="Times New Roman" w:cs="Times New Roman" w:eastAsia="Times New Roman" w:hAnsi="Times New Roman"/>
          <w:sz w:val="17"/>
          <w:szCs w:val="17"/>
          <w:color w:val="auto"/>
        </w:rPr>
        <w:t>”), is entitled, subject to the terms set forth below, to</w:t>
      </w:r>
    </w:p>
    <w:p>
      <w:pPr>
        <w:spacing w:after="0" w:line="9"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purchase from the Company up to a total of [ ] shares of common stock, $0.001 par value per share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of the Company (each such share, a “</w:t>
      </w:r>
      <w:r>
        <w:rPr>
          <w:rFonts w:ascii="Times New Roman" w:cs="Times New Roman" w:eastAsia="Times New Roman" w:hAnsi="Times New Roman"/>
          <w:sz w:val="18"/>
          <w:szCs w:val="18"/>
          <w:b w:val="1"/>
          <w:bCs w:val="1"/>
          <w:color w:val="auto"/>
        </w:rPr>
        <w:t>Warrant Share</w:t>
      </w:r>
      <w:r>
        <w:rPr>
          <w:rFonts w:ascii="Times New Roman" w:cs="Times New Roman" w:eastAsia="Times New Roman" w:hAnsi="Times New Roman"/>
          <w:sz w:val="18"/>
          <w:szCs w:val="18"/>
          <w:color w:val="auto"/>
        </w:rPr>
        <w:t>” and all such shares, the “</w:t>
      </w:r>
      <w:r>
        <w:rPr>
          <w:rFonts w:ascii="Times New Roman" w:cs="Times New Roman" w:eastAsia="Times New Roman" w:hAnsi="Times New Roman"/>
          <w:sz w:val="18"/>
          <w:szCs w:val="18"/>
          <w:b w:val="1"/>
          <w:bCs w:val="1"/>
          <w:color w:val="auto"/>
        </w:rPr>
        <w:t>Warrant Shares</w:t>
      </w:r>
      <w:r>
        <w:rPr>
          <w:rFonts w:ascii="Times New Roman" w:cs="Times New Roman" w:eastAsia="Times New Roman" w:hAnsi="Times New Roman"/>
          <w:sz w:val="18"/>
          <w:szCs w:val="18"/>
          <w:color w:val="auto"/>
        </w:rPr>
        <w:t>”) at an exercise price per share equal to $0.001 (the “</w:t>
      </w:r>
      <w:r>
        <w:rPr>
          <w:rFonts w:ascii="Times New Roman" w:cs="Times New Roman" w:eastAsia="Times New Roman" w:hAnsi="Times New Roman"/>
          <w:sz w:val="18"/>
          <w:szCs w:val="18"/>
          <w:b w:val="1"/>
          <w:bCs w:val="1"/>
          <w:color w:val="auto"/>
        </w:rPr>
        <w:t>Exercise Price</w:t>
      </w:r>
      <w:r>
        <w:rPr>
          <w:rFonts w:ascii="Times New Roman" w:cs="Times New Roman" w:eastAsia="Times New Roman" w:hAnsi="Times New Roman"/>
          <w:sz w:val="18"/>
          <w:szCs w:val="18"/>
          <w:color w:val="auto"/>
        </w:rPr>
        <w:t xml:space="preserve">”), in each case as adjusted from time to time as provided in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upon surrender of this Pre-Funded Warrant to Purchase Common Stock (including any Warrants to Purchase Common Stock issued in exchange, transfer or replacement hereof, the “</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at any time and from time to time on or after the date hereof (the “</w:t>
      </w:r>
      <w:r>
        <w:rPr>
          <w:rFonts w:ascii="Times New Roman" w:cs="Times New Roman" w:eastAsia="Times New Roman" w:hAnsi="Times New Roman"/>
          <w:sz w:val="18"/>
          <w:szCs w:val="18"/>
          <w:b w:val="1"/>
          <w:bCs w:val="1"/>
          <w:color w:val="auto"/>
        </w:rPr>
        <w:t>Original Issue Date</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Definitions</w:t>
      </w:r>
      <w:r>
        <w:rPr>
          <w:rFonts w:ascii="Times New Roman" w:cs="Times New Roman" w:eastAsia="Times New Roman" w:hAnsi="Times New Roman"/>
          <w:sz w:val="18"/>
          <w:szCs w:val="18"/>
          <w:color w:val="auto"/>
        </w:rPr>
        <w:t>. For purposes of this Warrant, the following terms shall have the following meanings:</w:t>
      </w:r>
    </w:p>
    <w:p>
      <w:pPr>
        <w:spacing w:after="0" w:line="225" w:lineRule="exact"/>
        <w:rPr>
          <w:sz w:val="20"/>
          <w:szCs w:val="20"/>
          <w:color w:val="auto"/>
        </w:rPr>
      </w:pPr>
    </w:p>
    <w:p>
      <w:pPr>
        <w:ind w:right="80" w:firstLine="50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with respect to any Person, any other Person that, directly or indirectly through one or more intermediates, controls, is controlled by or is under common control with such Person.</w:t>
      </w:r>
    </w:p>
    <w:p>
      <w:pPr>
        <w:spacing w:after="0" w:line="155" w:lineRule="exact"/>
        <w:rPr>
          <w:sz w:val="20"/>
          <w:szCs w:val="20"/>
          <w:color w:val="auto"/>
        </w:rPr>
      </w:pPr>
    </w:p>
    <w:p>
      <w:pPr>
        <w:ind w:right="160" w:firstLine="509"/>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Attribution Parties</w:t>
      </w:r>
      <w:r>
        <w:rPr>
          <w:rFonts w:ascii="Times New Roman" w:cs="Times New Roman" w:eastAsia="Times New Roman" w:hAnsi="Times New Roman"/>
          <w:sz w:val="18"/>
          <w:szCs w:val="18"/>
          <w:color w:val="auto"/>
        </w:rPr>
        <w:t>” means, collectively, the following Persons and entities: (i) any direct or indirect Affiliates of the Holder, (ii) any Person acting or who could be deemed to be acting as a Group together with the Holder or any Attribution Parties and (iii) any other Persons whose beneficial ownership of the Company’s Common Stock would or could be aggregated with the Holder’s and/or any other Attribution Parties for purposes of Section 13(d) or Section 16 of the Exchange Act. For clarity, the purpose of the foregoing is to subject collectively the Holder and all other Attribution Parties to the Beneficial Ownership Limitation and the HSR Threshold (each as defined below).</w:t>
      </w:r>
    </w:p>
    <w:p>
      <w:pPr>
        <w:spacing w:after="0" w:line="179"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Sale Price</w:t>
      </w:r>
      <w:r>
        <w:rPr>
          <w:rFonts w:ascii="Times New Roman" w:cs="Times New Roman" w:eastAsia="Times New Roman" w:hAnsi="Times New Roman"/>
          <w:sz w:val="18"/>
          <w:szCs w:val="18"/>
          <w:color w:val="auto"/>
        </w:rPr>
        <w:t>” means, for any security as of any date, the last trade price for such security on the Principal Trading Market for such security, as reported by Bloomberg Financial Markets, or, if such Principal Trading Market begins to operate on an extended hours basis and does not designate the last trade price, then the last trade price of such security prior to 4:00 P.M., New York City time, as reported by Bloomberg Financial Markets, or if the foregoing do not apply, the last trade price of such security in the over-the-counter market on the electronic bulletin board for such security as reported by Bloomberg Financial Markets. If the Closing Sale Price cannot be calculated for a security on a particular date on any of the foregoing bases, the Closing Sale Price of such security on such date shall be the fair market value as mutually determined by the Company and the Holder. All such determinations shall be appropriately adjusted for any stock dividend, stock split, stock combination or other similar transaction during the applicable calculation period.</w:t>
      </w:r>
    </w:p>
    <w:p>
      <w:pPr>
        <w:spacing w:after="0" w:line="2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means the U.S. Securities and Exchange Commission.</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U.S. Securities Exchange Act of 1934, as amended, and all of the rules and regulations promulgated thereunder.</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Group</w:t>
      </w:r>
      <w:r>
        <w:rPr>
          <w:rFonts w:ascii="Times New Roman" w:cs="Times New Roman" w:eastAsia="Times New Roman" w:hAnsi="Times New Roman"/>
          <w:sz w:val="18"/>
          <w:szCs w:val="18"/>
          <w:color w:val="auto"/>
        </w:rPr>
        <w:t>” shall have the meaning ascribed to it in Section 13(d) of the Exchange Act, and all related rules, regulations and jurisprudence.</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HSR Act</w:t>
      </w:r>
      <w:r>
        <w:rPr>
          <w:rFonts w:ascii="Times New Roman" w:cs="Times New Roman" w:eastAsia="Times New Roman" w:hAnsi="Times New Roman"/>
          <w:sz w:val="18"/>
          <w:szCs w:val="18"/>
          <w:color w:val="auto"/>
        </w:rPr>
        <w:t>” means the Hart-Scott-Rodino Antitrust Improvements Act of 1976, as amended.</w:t>
      </w:r>
    </w:p>
    <w:p>
      <w:pPr>
        <w:spacing w:after="0" w:line="225" w:lineRule="exact"/>
        <w:rPr>
          <w:sz w:val="20"/>
          <w:szCs w:val="20"/>
          <w:color w:val="auto"/>
        </w:rPr>
      </w:pPr>
    </w:p>
    <w:p>
      <w:pPr>
        <w:ind w:right="600" w:firstLine="50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partnership, corporation, limited liability company, business trust, joint stock company, trust, unincorporated association, joint venture or any other entity or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854075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54" w:name="page55"/>
    <w:bookmarkEnd w:id="54"/>
    <w:p>
      <w:pPr>
        <w:spacing w:after="0" w:line="190" w:lineRule="exact"/>
        <w:rPr>
          <w:sz w:val="20"/>
          <w:szCs w:val="20"/>
          <w:color w:val="auto"/>
        </w:rPr>
      </w:pPr>
    </w:p>
    <w:p>
      <w:pPr>
        <w:ind w:firstLine="50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Principal Trading Market</w:t>
      </w:r>
      <w:r>
        <w:rPr>
          <w:rFonts w:ascii="Times New Roman" w:cs="Times New Roman" w:eastAsia="Times New Roman" w:hAnsi="Times New Roman"/>
          <w:sz w:val="18"/>
          <w:szCs w:val="18"/>
          <w:color w:val="auto"/>
        </w:rPr>
        <w:t>” means the national securities exchange or other trading market on which the Common Stock is primarily listed on and quoted for trading, which, as of the Original Issue Date, shall be The Nasdaq Global Market.</w:t>
      </w:r>
    </w:p>
    <w:p>
      <w:pPr>
        <w:spacing w:after="0" w:line="15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means the Company’s Registration Statement on Form S-3 (File No. 333-277419), declared effective on April 25, 2024.</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U.S. Securities Act of 1933, as amended, and all of the rules and regulations promulgated thereunder.</w:t>
      </w:r>
    </w:p>
    <w:p>
      <w:pPr>
        <w:spacing w:after="0" w:line="225" w:lineRule="exact"/>
        <w:rPr>
          <w:sz w:val="20"/>
          <w:szCs w:val="20"/>
          <w:color w:val="auto"/>
        </w:rPr>
      </w:pPr>
    </w:p>
    <w:p>
      <w:pPr>
        <w:ind w:right="40" w:firstLine="50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Standard Settlement Period</w:t>
      </w:r>
      <w:r>
        <w:rPr>
          <w:rFonts w:ascii="Times New Roman" w:cs="Times New Roman" w:eastAsia="Times New Roman" w:hAnsi="Times New Roman"/>
          <w:sz w:val="18"/>
          <w:szCs w:val="18"/>
          <w:color w:val="auto"/>
        </w:rPr>
        <w:t>” means the standard settlement period, expressed in a number of Trading Days, for the Principal Trading Market with respect to the Common Stock that is in effect on the date of delivery of an applicable Exercise Notice, which as of the Original Issue Date was “T+1.”</w:t>
      </w:r>
    </w:p>
    <w:p>
      <w:pPr>
        <w:spacing w:after="0" w:line="15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any weekday on which the Principal Trading Market is normally open for trading.</w:t>
      </w:r>
    </w:p>
    <w:p>
      <w:pPr>
        <w:spacing w:after="0" w:line="225" w:lineRule="exact"/>
        <w:rPr>
          <w:sz w:val="20"/>
          <w:szCs w:val="20"/>
          <w:color w:val="auto"/>
        </w:rPr>
      </w:pPr>
    </w:p>
    <w:p>
      <w:pPr>
        <w:ind w:right="600" w:firstLine="50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 Agent</w:t>
      </w:r>
      <w:r>
        <w:rPr>
          <w:rFonts w:ascii="Times New Roman" w:cs="Times New Roman" w:eastAsia="Times New Roman" w:hAnsi="Times New Roman"/>
          <w:sz w:val="18"/>
          <w:szCs w:val="18"/>
          <w:color w:val="auto"/>
        </w:rPr>
        <w:t>” means Computershare Trust Company, N.A., the Company’s transfer agent and registrar for the Common Stock, and any successor appointed in such capacity.</w:t>
      </w:r>
    </w:p>
    <w:p>
      <w:pPr>
        <w:spacing w:after="0" w:line="155" w:lineRule="exact"/>
        <w:rPr>
          <w:sz w:val="20"/>
          <w:szCs w:val="20"/>
          <w:color w:val="auto"/>
        </w:rPr>
      </w:pPr>
    </w:p>
    <w:p>
      <w:pPr>
        <w:ind w:right="200" w:firstLine="509"/>
        <w:spacing w:after="0" w:line="255" w:lineRule="auto"/>
        <w:rPr>
          <w:sz w:val="20"/>
          <w:szCs w:val="20"/>
          <w:color w:val="auto"/>
        </w:rPr>
      </w:pPr>
      <w:r>
        <w:rPr>
          <w:rFonts w:ascii="Times New Roman" w:cs="Times New Roman" w:eastAsia="Times New Roman" w:hAnsi="Times New Roman"/>
          <w:sz w:val="18"/>
          <w:szCs w:val="18"/>
          <w:b w:val="1"/>
          <w:bCs w:val="1"/>
          <w:color w:val="auto"/>
        </w:rPr>
        <w:t>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Issuance of Securities; Registration of Warrants</w:t>
      </w:r>
      <w:r>
        <w:rPr>
          <w:rFonts w:ascii="Times New Roman" w:cs="Times New Roman" w:eastAsia="Times New Roman" w:hAnsi="Times New Roman"/>
          <w:sz w:val="18"/>
          <w:szCs w:val="18"/>
          <w:color w:val="auto"/>
        </w:rPr>
        <w:t>. This Warrant, as initially issued by the Company, is offered and sold pursuant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Registration Statement. As of the Original Issue Date, the Warrant Shares are issuable under the Registration Statement. Accordingly, the Warrant and, assuming issuance pursuant to the Registration Statement or an exchange meeting the requirements of Section 3(a)(9) of the Securities Act, the Warrant Shares are not “restricted securities” under Rule 144 promulgated under the Securities Act as in effect on the Original Issue Date. The Company shall register ownership of this Warrant, upon records to be maintained by the Company for that purpose (the “</w:t>
      </w:r>
      <w:r>
        <w:rPr>
          <w:rFonts w:ascii="Times New Roman" w:cs="Times New Roman" w:eastAsia="Times New Roman" w:hAnsi="Times New Roman"/>
          <w:sz w:val="18"/>
          <w:szCs w:val="18"/>
          <w:b w:val="1"/>
          <w:bCs w:val="1"/>
          <w:color w:val="auto"/>
        </w:rPr>
        <w:t>Warrant Register</w:t>
      </w:r>
      <w:r>
        <w:rPr>
          <w:rFonts w:ascii="Times New Roman" w:cs="Times New Roman" w:eastAsia="Times New Roman" w:hAnsi="Times New Roman"/>
          <w:sz w:val="18"/>
          <w:szCs w:val="18"/>
          <w:color w:val="auto"/>
        </w:rPr>
        <w:t>”), in the name of the record Holder (which shall include the initial Holder or, as the case may be, any assignee to which this Warrant is permissibly assigned hereunder)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85"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b w:val="1"/>
          <w:bCs w:val="1"/>
          <w:color w:val="auto"/>
        </w:rPr>
        <w:t>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Registration of Transfers</w:t>
      </w:r>
      <w:r>
        <w:rPr>
          <w:rFonts w:ascii="Times New Roman" w:cs="Times New Roman" w:eastAsia="Times New Roman" w:hAnsi="Times New Roman"/>
          <w:sz w:val="18"/>
          <w:szCs w:val="18"/>
          <w:color w:val="auto"/>
        </w:rPr>
        <w:t>. Subject to compliance with all applicable securities laws, the Company shall, or will cause its Transfer Agent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register the transfer of all or any portion of this Warrant in the Warrant Register, upon surrender of this Warrant, together with a written assignment of this Warrant substantially in the form attached hereto as Schedule 2 duly executed by the Holder, and payment for all applicable transfer taxes accompanied by reasonable evidence of authority of the party making such request that may be required by the Warrant Agent including, but not limited to, the signature guarantee of a guarantor institution which is a participant in a signature guarantee program approved by the Securities Transfer Association . Upon any such registration or transfer, a new warrant to purchase Common Stock in substantially the form of this Warrant (any such new warrant, a “</w:t>
      </w:r>
      <w:r>
        <w:rPr>
          <w:rFonts w:ascii="Times New Roman" w:cs="Times New Roman" w:eastAsia="Times New Roman" w:hAnsi="Times New Roman"/>
          <w:sz w:val="18"/>
          <w:szCs w:val="18"/>
          <w:b w:val="1"/>
          <w:bCs w:val="1"/>
          <w:color w:val="auto"/>
        </w:rPr>
        <w:t>New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evidencing the portion of this Warrant so transferred shall be issued to the transferee, and a New Warrant evidencing the remaining portion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this Warrant not so transferred, if any, shall be issued to the transferring Holder. The acceptance of the New Warrant by the transferee thereof shall be deemed the acceptance by such transferee of all of the rights and obligations in respect of the New Warrant that the Holder has in respect of this Warrant. The Company shall, or will cause its Transfer Agent to, prepare, issue and deliver at the Company’s own expense any New Warrant under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Until due presentment for registration of transfer, the Company may treat the registered Holder hereof as the owner and holder for all purposes, and the Company shall not be affected by any notice to the contrary.</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Exercise of Warrants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160" w:firstLine="891"/>
        <w:spacing w:after="0" w:line="282" w:lineRule="auto"/>
        <w:rPr>
          <w:sz w:val="20"/>
          <w:szCs w:val="20"/>
          <w:color w:val="auto"/>
        </w:rPr>
      </w:pPr>
      <w:r>
        <w:rPr>
          <w:rFonts w:ascii="Times New Roman" w:cs="Times New Roman" w:eastAsia="Times New Roman" w:hAnsi="Times New Roman"/>
          <w:sz w:val="18"/>
          <w:szCs w:val="18"/>
          <w:color w:val="auto"/>
        </w:rPr>
        <w:t xml:space="preserve">(a)  All or any part of this Warrant shall be exercisable by the registered Holder in any manner permitted by this Warrant (including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w:t>
      </w:r>
      <w:r>
        <w:rPr>
          <w:rFonts w:ascii="Times New Roman" w:cs="Times New Roman" w:eastAsia="Times New Roman" w:hAnsi="Times New Roman"/>
          <w:sz w:val="18"/>
          <w:szCs w:val="18"/>
          <w:color w:val="auto"/>
        </w:rPr>
        <w:t>) at any time and from time to time on or after the Original Issue Date, and such rights shall not expire.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5" w:name="page56"/>
    <w:bookmarkEnd w:id="55"/>
    <w:p>
      <w:pPr>
        <w:spacing w:after="0" w:line="19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 xml:space="preserve">(b)   The Holder may exercise this Warrant by delivering to the Company (i) an exercise notice, in the form attached as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Exercise Notice</w:t>
      </w:r>
      <w:r>
        <w:rPr>
          <w:rFonts w:ascii="Times New Roman" w:cs="Times New Roman" w:eastAsia="Times New Roman" w:hAnsi="Times New Roman"/>
          <w:sz w:val="18"/>
          <w:szCs w:val="18"/>
          <w:color w:val="auto"/>
        </w:rPr>
        <w:t>”), completed and duly signed, and (ii) payment of the Exercise Price for the number of Warrant Shares as to which this Warrant is being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exercised (which may take the form of a “cashless exercise” if so indicated in the Exercise Notice pursuant to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below), and the date on which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last of such items is delivered to the Company (as determined in accordance with the notice provisions hereof) is an </w:t>
      </w:r>
      <w:r>
        <w:rPr>
          <w:rFonts w:ascii="Times New Roman" w:cs="Times New Roman" w:eastAsia="Times New Roman" w:hAnsi="Times New Roman"/>
          <w:sz w:val="18"/>
          <w:szCs w:val="18"/>
          <w:b w:val="1"/>
          <w:bCs w:val="1"/>
          <w:color w:val="auto"/>
        </w:rPr>
        <w:t>“Exercise Date</w:t>
      </w:r>
      <w:r>
        <w:rPr>
          <w:rFonts w:ascii="Times New Roman" w:cs="Times New Roman" w:eastAsia="Times New Roman" w:hAnsi="Times New Roman"/>
          <w:sz w:val="18"/>
          <w:szCs w:val="18"/>
          <w:color w:val="auto"/>
        </w:rPr>
        <w:t>.” The Holder shall not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 required to deliver the original Warrant in order to effect an exercise hereunder. Execution and delivery of the Exercise Notice shall have the same effect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cancellation of the original Warrant and issuance of a New Warrant evidencing the right to purchase the remaining number of Warrant Shares, if any.</w:t>
      </w:r>
    </w:p>
    <w:p>
      <w:pPr>
        <w:spacing w:after="0" w:line="207" w:lineRule="exact"/>
        <w:rPr>
          <w:sz w:val="20"/>
          <w:szCs w:val="20"/>
          <w:color w:val="auto"/>
        </w:rPr>
      </w:pPr>
    </w:p>
    <w:p>
      <w:pPr>
        <w:ind w:right="100" w:firstLine="891"/>
        <w:spacing w:after="0" w:line="261" w:lineRule="auto"/>
        <w:rPr>
          <w:sz w:val="20"/>
          <w:szCs w:val="20"/>
          <w:color w:val="auto"/>
        </w:rPr>
      </w:pPr>
      <w:r>
        <w:rPr>
          <w:rFonts w:ascii="Times New Roman" w:cs="Times New Roman" w:eastAsia="Times New Roman" w:hAnsi="Times New Roman"/>
          <w:sz w:val="18"/>
          <w:szCs w:val="18"/>
          <w:color w:val="auto"/>
        </w:rPr>
        <w:t>(c)  The aggregate exercise price of this Warrant, except for the Exercise Price, was pre-funded to the Company on or before the Original Issue Date, and consequently no additional consideration other than the Exercise Price) shall be required by to be paid by the Holder to effect any exercise of this Warrant. The Holder shall not be entitled to the return or refund of all, or any portion, of such pre-funded exercise price under any circumstance or for any reason whatsoever.</w:t>
      </w:r>
    </w:p>
    <w:p>
      <w:pPr>
        <w:spacing w:after="0" w:line="180" w:lineRule="exact"/>
        <w:rPr>
          <w:sz w:val="20"/>
          <w:szCs w:val="20"/>
          <w:color w:val="auto"/>
        </w:rPr>
      </w:pPr>
    </w:p>
    <w:p>
      <w:pPr>
        <w:ind w:firstLine="899"/>
        <w:spacing w:after="0" w:line="266" w:lineRule="auto"/>
        <w:tabs>
          <w:tab w:leader="none" w:pos="1251"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and any assignee, by acceptance of this Warrant, acknowledge and agree that, by reason of the provisions of this section, following the purchase of a portion of the Warrant Shares hereunder, the number of Warrant Shares available for purchase hereunder at any given time may be less than the amount stated on the face hereof.</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Delivery of Warrant Shares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20" w:firstLine="891"/>
        <w:spacing w:after="0" w:line="252" w:lineRule="auto"/>
        <w:rPr>
          <w:sz w:val="20"/>
          <w:szCs w:val="20"/>
          <w:color w:val="auto"/>
        </w:rPr>
      </w:pPr>
      <w:r>
        <w:rPr>
          <w:rFonts w:ascii="Times New Roman" w:cs="Times New Roman" w:eastAsia="Times New Roman" w:hAnsi="Times New Roman"/>
          <w:sz w:val="18"/>
          <w:szCs w:val="18"/>
          <w:color w:val="auto"/>
        </w:rPr>
        <w:t>(a)  Upon exercise of this Warrant, the Company shall promptly (but in no event later than the number of Trading Days comprising the Standard Settlement Period following the Exercise Date), upon the request of the Holder, cause the Transfer Agent to credit such aggregate number of shares of Common Stock specified by the Holder in the Exercise Notice and to which the Holder is entitled pursuant to such exercise (the “</w:t>
      </w:r>
      <w:r>
        <w:rPr>
          <w:rFonts w:ascii="Times New Roman" w:cs="Times New Roman" w:eastAsia="Times New Roman" w:hAnsi="Times New Roman"/>
          <w:sz w:val="18"/>
          <w:szCs w:val="18"/>
          <w:b w:val="1"/>
          <w:bCs w:val="1"/>
          <w:color w:val="auto"/>
        </w:rPr>
        <w:t>Exercise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to (i) the Holder’s or its designee’s balance account with The Depository Trust Company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through its Deposit Withdrawal At Custodian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system or (ii) in book-entry form via a direct registration system (“</w:t>
      </w:r>
      <w:r>
        <w:rPr>
          <w:rFonts w:ascii="Times New Roman" w:cs="Times New Roman" w:eastAsia="Times New Roman" w:hAnsi="Times New Roman"/>
          <w:sz w:val="18"/>
          <w:szCs w:val="18"/>
          <w:b w:val="1"/>
          <w:bCs w:val="1"/>
          <w:color w:val="auto"/>
        </w:rPr>
        <w:t>DRS</w:t>
      </w:r>
      <w:r>
        <w:rPr>
          <w:rFonts w:ascii="Times New Roman" w:cs="Times New Roman" w:eastAsia="Times New Roman" w:hAnsi="Times New Roman"/>
          <w:sz w:val="18"/>
          <w:szCs w:val="18"/>
          <w:color w:val="auto"/>
        </w:rPr>
        <w:t>”) maintained by or on behalf of the Transfer Agent or if the Transfer Agent is then a participant in the DTC Fast Automated Securities Transfer Program (the “</w:t>
      </w:r>
      <w:r>
        <w:rPr>
          <w:rFonts w:ascii="Times New Roman" w:cs="Times New Roman" w:eastAsia="Times New Roman" w:hAnsi="Times New Roman"/>
          <w:sz w:val="18"/>
          <w:szCs w:val="18"/>
          <w:b w:val="1"/>
          <w:bCs w:val="1"/>
          <w:color w:val="auto"/>
        </w:rPr>
        <w:t>FAST Program</w:t>
      </w:r>
      <w:r>
        <w:rPr>
          <w:rFonts w:ascii="Times New Roman" w:cs="Times New Roman" w:eastAsia="Times New Roman" w:hAnsi="Times New Roman"/>
          <w:sz w:val="18"/>
          <w:szCs w:val="18"/>
          <w:color w:val="auto"/>
        </w:rPr>
        <w:t>”) and either (A) there is an effective registration statement permitting the issuance of the Warrant Shares to or the resale of such Warrant Shares by the Holder or (B) the Exercise Shares are eligible for resale by the Holder without volume or manner-of-sale restrictions pursuant to Rule 144 promulgated under the Securities Act (assuming cashless exercise of this Warrant). If the Transfer Agent is not a member of the FAST Program or if (A) and (B) above are not true, the Transfer Agent will either (i) record the Exercise Shares in the name of the Holder or its designee on the certificates reflecting the Exercise Shares with an appropriate legend regarding restriction on transferability, which shall be issued and dispatched by overnight courier to the address as specified in the Exercise Notice, and on the Company’s share register or (ii) issue such Exercise Shares in restricted book-entry form in the Company’s share register. The Holder, or any Person so designated by the Holder to receive Warrant Shares, shall be deemed to have become the holder of record of such Warrant Shares as of the Exercise Date, irrespective of the date such Warrant Shares are credited to the Holder’s DTC account, the date of the book entry positions or the date of delivery of the certificates evidencing such Exercise Shares, as the case may be.</w:t>
      </w:r>
    </w:p>
    <w:p>
      <w:pPr>
        <w:spacing w:after="0" w:line="196" w:lineRule="exact"/>
        <w:rPr>
          <w:sz w:val="20"/>
          <w:szCs w:val="20"/>
          <w:color w:val="auto"/>
        </w:rPr>
      </w:pPr>
    </w:p>
    <w:p>
      <w:pPr>
        <w:ind w:firstLine="891"/>
        <w:spacing w:after="0" w:line="271" w:lineRule="auto"/>
        <w:rPr>
          <w:sz w:val="20"/>
          <w:szCs w:val="20"/>
          <w:color w:val="auto"/>
        </w:rPr>
      </w:pPr>
      <w:r>
        <w:rPr>
          <w:rFonts w:ascii="Times New Roman" w:cs="Times New Roman" w:eastAsia="Times New Roman" w:hAnsi="Times New Roman"/>
          <w:sz w:val="17"/>
          <w:szCs w:val="17"/>
          <w:color w:val="auto"/>
        </w:rPr>
        <w:t xml:space="preserve">(b)  In addition to any other rights available to the Holder, if the Company fails to cause the Transfer Agent to deliver to the Holder or its designee Exercise Shares in the manner required pursuant to </w:t>
      </w:r>
      <w:r>
        <w:rPr>
          <w:rFonts w:ascii="Times New Roman" w:cs="Times New Roman" w:eastAsia="Times New Roman" w:hAnsi="Times New Roman"/>
          <w:sz w:val="17"/>
          <w:szCs w:val="17"/>
          <w:u w:val="single" w:color="auto"/>
          <w:color w:val="auto"/>
        </w:rPr>
        <w:t>Section 5(a)</w:t>
      </w:r>
      <w:r>
        <w:rPr>
          <w:rFonts w:ascii="Times New Roman" w:cs="Times New Roman" w:eastAsia="Times New Roman" w:hAnsi="Times New Roman"/>
          <w:sz w:val="17"/>
          <w:szCs w:val="17"/>
          <w:color w:val="auto"/>
        </w:rPr>
        <w:t xml:space="preserve"> within the Standard Settlement Period following the Exercise Date (other than a failure caused by incorrect or incomplete information provided by Holder to the Company) and the Holder or the Holder’s broker on its behalf purchases (in an open market transaction or otherwise) shares of Common Stock to deliver in satisfaction of a sale by the Holder of the Warrant Shares which the Holder anticipated receiving upon such exercise (a “</w:t>
      </w:r>
      <w:r>
        <w:rPr>
          <w:rFonts w:ascii="Times New Roman" w:cs="Times New Roman" w:eastAsia="Times New Roman" w:hAnsi="Times New Roman"/>
          <w:sz w:val="17"/>
          <w:szCs w:val="17"/>
          <w:b w:val="1"/>
          <w:bCs w:val="1"/>
          <w:color w:val="auto"/>
        </w:rPr>
        <w:t>Buy-In</w:t>
      </w:r>
      <w:r>
        <w:rPr>
          <w:rFonts w:ascii="Times New Roman" w:cs="Times New Roman" w:eastAsia="Times New Roman" w:hAnsi="Times New Roman"/>
          <w:sz w:val="17"/>
          <w:szCs w:val="17"/>
          <w:color w:val="auto"/>
        </w:rPr>
        <w:t xml:space="preserve">”) but did not receive within the Standard Settlement Period, then the Company shall, within two Trading Days after the Holder’s request and in the Holder’s sole discretion, promptly honor its obligation to deliver to the Holder or its designee the Exercise Shares pursuant to </w:t>
      </w:r>
      <w:r>
        <w:rPr>
          <w:rFonts w:ascii="Times New Roman" w:cs="Times New Roman" w:eastAsia="Times New Roman" w:hAnsi="Times New Roman"/>
          <w:sz w:val="17"/>
          <w:szCs w:val="17"/>
          <w:u w:val="single" w:color="auto"/>
          <w:color w:val="auto"/>
        </w:rPr>
        <w:t>Section 5(a)</w:t>
      </w:r>
      <w:r>
        <w:rPr>
          <w:rFonts w:ascii="Times New Roman" w:cs="Times New Roman" w:eastAsia="Times New Roman" w:hAnsi="Times New Roman"/>
          <w:sz w:val="17"/>
          <w:szCs w:val="17"/>
          <w:color w:val="auto"/>
        </w:rPr>
        <w:t xml:space="preserve"> and pay cash to the Holder in an amount equal to the excess (if any) of the Holder’s total purchase price (including brokerage commissions, if any) for the shares of Common Stock so purchased in the Buy-In, less the product of (A) the number of shares of Common Stock purchased in the Buy-In, times (B) the Closing Sale Price of a share of Common Stock on the Exercise Date. The Holder shall provide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863600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6" w:name="page57"/>
    <w:bookmarkEnd w:id="56"/>
    <w:p>
      <w:pPr>
        <w:spacing w:after="0" w:line="194"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written notice promptly after the occurrence of a Buy-In, indicating the amounts payable to the Holder in respect of the Buy-In together with applicable confirmations and other evidence reasonably requested by the Company.</w:t>
      </w:r>
    </w:p>
    <w:p>
      <w:pPr>
        <w:spacing w:after="0" w:line="162" w:lineRule="exact"/>
        <w:rPr>
          <w:sz w:val="20"/>
          <w:szCs w:val="20"/>
          <w:color w:val="auto"/>
        </w:rPr>
      </w:pPr>
    </w:p>
    <w:p>
      <w:pPr>
        <w:ind w:right="20" w:firstLine="891"/>
        <w:spacing w:after="0" w:line="253" w:lineRule="auto"/>
        <w:rPr>
          <w:sz w:val="20"/>
          <w:szCs w:val="20"/>
          <w:color w:val="auto"/>
        </w:rPr>
      </w:pPr>
      <w:r>
        <w:rPr>
          <w:rFonts w:ascii="Times New Roman" w:cs="Times New Roman" w:eastAsia="Times New Roman" w:hAnsi="Times New Roman"/>
          <w:sz w:val="18"/>
          <w:szCs w:val="18"/>
          <w:color w:val="auto"/>
        </w:rPr>
        <w:t xml:space="preserve">(c)  To the extent permitted by law and subject to </w:t>
      </w:r>
      <w:r>
        <w:rPr>
          <w:rFonts w:ascii="Times New Roman" w:cs="Times New Roman" w:eastAsia="Times New Roman" w:hAnsi="Times New Roman"/>
          <w:sz w:val="18"/>
          <w:szCs w:val="18"/>
          <w:u w:val="single" w:color="auto"/>
          <w:color w:val="auto"/>
        </w:rPr>
        <w:t>Section 5(b)</w:t>
      </w:r>
      <w:r>
        <w:rPr>
          <w:rFonts w:ascii="Times New Roman" w:cs="Times New Roman" w:eastAsia="Times New Roman" w:hAnsi="Times New Roman"/>
          <w:sz w:val="18"/>
          <w:szCs w:val="18"/>
          <w:color w:val="auto"/>
        </w:rPr>
        <w:t xml:space="preserve">, the Company’s obligations to issue and deliver Warrant Shares in accordance with and subject to the terms hereof (including the limitations set forth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below)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 or any breach or alleged breach by the Holder or any other Person of any obligation to the Company or any violation or alleged violation of law by the Holder or any other Person, and irrespective of any other circumstance that might otherwise limit such obligation of the Company to the Holder in connection with the issuance of Warrant Shares. Subject to </w:t>
      </w:r>
      <w:r>
        <w:rPr>
          <w:rFonts w:ascii="Times New Roman" w:cs="Times New Roman" w:eastAsia="Times New Roman" w:hAnsi="Times New Roman"/>
          <w:sz w:val="18"/>
          <w:szCs w:val="18"/>
          <w:u w:val="single" w:color="auto"/>
          <w:color w:val="auto"/>
        </w:rPr>
        <w:t>Section 5(b)</w:t>
      </w:r>
      <w:r>
        <w:rPr>
          <w:rFonts w:ascii="Times New Roman" w:cs="Times New Roman" w:eastAsia="Times New Roman" w:hAnsi="Times New Roman"/>
          <w:sz w:val="18"/>
          <w:szCs w:val="18"/>
          <w:color w:val="auto"/>
        </w:rPr>
        <w:t>, nothing herein shall limit the Holder’s right to pursue any other remedies available to it hereunder, at law or in equity including, without limitation, a decree of specific performance and/or injunctive relief with respect to the Company’s failure to timely deliver Exercise Shares; provided, however, that the Holder shall not be entitled to both (i) require the Company to reinstate the portion of the Warrant and equivalent number of Warrant Shares for which such exercise was not timely honored and (ii) receive the number of shares of Common Stock that would have been issued if the Company had timely complied with its delivery requirements under Section 5(a).</w:t>
      </w:r>
    </w:p>
    <w:p>
      <w:pPr>
        <w:spacing w:after="0" w:line="188"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8"/>
          <w:szCs w:val="18"/>
          <w:b w:val="1"/>
          <w:bCs w:val="1"/>
          <w:color w:val="auto"/>
        </w:rPr>
        <w:t>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Charges, Taxes and Expenses</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Issuance and delivery of Exercise Shares shall be made without charge to the Holder for any issue or transfer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tax, transfer agent fee or other incidental tax or expense (excluding any applicable stamp duties) in respect of the issuance of such shares, all of which taxes and expenses shall be paid by the Company; provided, however, that the Company shall not be required to pay any tax that may be payable in respect of any transfer involved in the registration of any Warrant Shares or the Warrants in a name other than that of the Holder or an Affiliate thereof. The Holder shall be responsible for all other tax liability that may arise as a result of holding or transferring this Warrant or receiving Warrant Shares upon exercise hereof.</w:t>
      </w:r>
    </w:p>
    <w:p>
      <w:pPr>
        <w:spacing w:after="0" w:line="182" w:lineRule="exact"/>
        <w:rPr>
          <w:sz w:val="20"/>
          <w:szCs w:val="20"/>
          <w:color w:val="auto"/>
        </w:rPr>
      </w:pPr>
    </w:p>
    <w:p>
      <w:pPr>
        <w:ind w:firstLine="509"/>
        <w:spacing w:after="0" w:line="267" w:lineRule="auto"/>
        <w:rPr>
          <w:sz w:val="20"/>
          <w:szCs w:val="20"/>
          <w:color w:val="auto"/>
        </w:rPr>
      </w:pPr>
      <w:r>
        <w:rPr>
          <w:rFonts w:ascii="Times New Roman" w:cs="Times New Roman" w:eastAsia="Times New Roman" w:hAnsi="Times New Roman"/>
          <w:sz w:val="18"/>
          <w:szCs w:val="18"/>
          <w:b w:val="1"/>
          <w:bCs w:val="1"/>
          <w:color w:val="auto"/>
        </w:rPr>
        <w:t>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Replacement of Warrant</w:t>
      </w:r>
      <w:r>
        <w:rPr>
          <w:rFonts w:ascii="Times New Roman" w:cs="Times New Roman" w:eastAsia="Times New Roman" w:hAnsi="Times New Roman"/>
          <w:sz w:val="18"/>
          <w:szCs w:val="18"/>
          <w:color w:val="auto"/>
        </w:rPr>
        <w:t>. If this Warrant is mutilated, lost, stolen or destroyed, the Company shall issue or cause to be issued in exchange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substitution for and upon cancellation hereof, or in lieu of and substitution for this Warrant, a New Warrant, but only upon receipt of evidence reasonably satisfactory to the Company of such loss, theft or destruction (in such case) and, in each case, a customary and reasonable contractual indemnity, if requested by the Company. If a New Warrant is requested as a result of a mutilation of this Warrant, then the Holder shall deliver such mutilated Warrant to the Company as a condition precedent to the Company’s obligation to issue the New Warrant.</w:t>
      </w:r>
    </w:p>
    <w:p>
      <w:pPr>
        <w:spacing w:after="0" w:line="19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b w:val="1"/>
          <w:bCs w:val="1"/>
          <w:color w:val="auto"/>
        </w:rPr>
        <w:t>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Reservation of Warrant Shares</w:t>
      </w:r>
      <w:r>
        <w:rPr>
          <w:rFonts w:ascii="Times New Roman" w:cs="Times New Roman" w:eastAsia="Times New Roman" w:hAnsi="Times New Roman"/>
          <w:sz w:val="18"/>
          <w:szCs w:val="18"/>
          <w:color w:val="auto"/>
        </w:rPr>
        <w:t>. The Company covenants that it will, at all times while this Warrant is outstanding, reserve and keep available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out of the aggregate of its authorized but unissued and otherwise unreserved Common Stock, solely for the purpose of enabling it to issue Warrant Shares upon exercise of this Warrant as herein provided, the number of Warrant Shares that are initially issuable and deliverable upon the exercise of this entire Warrant, free from preemptive rights or any other contingent purchase rights of persons other than the Holder (taking into account the adjustments and restrictions of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The Company covenants that all Warrant Shares so issuable and deliverable shall, upon issuance and the payment of the applicable Exercise Price in accordance with the terms hereof, be duly and validly authorized, issued and fully paid and non-assessable. The Company will take all such action as may be reasonably necessary to assure that such shares of Common Stock may be issued as provided herein without violation of any applicable law or regulation, or of any requirements of any securities exchange or automated quotation system upon which the Common Stock may be listed. The Company further covenants that it will not, without the prior written consent of the Holder, take any actions to increase the par value of the Common Stock at any time while this Warrant is outstanding.</w:t>
      </w:r>
    </w:p>
    <w:p>
      <w:pPr>
        <w:spacing w:after="0" w:line="185" w:lineRule="exact"/>
        <w:rPr>
          <w:sz w:val="20"/>
          <w:szCs w:val="20"/>
          <w:color w:val="auto"/>
        </w:rPr>
      </w:pPr>
    </w:p>
    <w:p>
      <w:pPr>
        <w:ind w:right="240"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Certain Adjustments</w:t>
      </w:r>
      <w:r>
        <w:rPr>
          <w:rFonts w:ascii="Times New Roman" w:cs="Times New Roman" w:eastAsia="Times New Roman" w:hAnsi="Times New Roman"/>
          <w:sz w:val="18"/>
          <w:szCs w:val="18"/>
          <w:color w:val="auto"/>
        </w:rPr>
        <w:t>. The Exercise Price and number of Warrant Shares issuable upon exercise of this Warrant (the “</w:t>
      </w:r>
      <w:r>
        <w:rPr>
          <w:rFonts w:ascii="Times New Roman" w:cs="Times New Roman" w:eastAsia="Times New Roman" w:hAnsi="Times New Roman"/>
          <w:sz w:val="18"/>
          <w:szCs w:val="18"/>
          <w:b w:val="1"/>
          <w:bCs w:val="1"/>
          <w:color w:val="auto"/>
        </w:rPr>
        <w:t>Number of Warrant Shares</w:t>
      </w:r>
      <w:r>
        <w:rPr>
          <w:rFonts w:ascii="Times New Roman" w:cs="Times New Roman" w:eastAsia="Times New Roman" w:hAnsi="Times New Roman"/>
          <w:sz w:val="18"/>
          <w:szCs w:val="18"/>
          <w:color w:val="auto"/>
        </w:rPr>
        <w:t>”) are subject to adjustment from time to time as set forth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right="40" w:firstLine="891"/>
        <w:spacing w:after="0" w:line="266"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Stock Dividends and Splits</w:t>
      </w:r>
      <w:r>
        <w:rPr>
          <w:rFonts w:ascii="Times New Roman" w:cs="Times New Roman" w:eastAsia="Times New Roman" w:hAnsi="Times New Roman"/>
          <w:sz w:val="18"/>
          <w:szCs w:val="18"/>
          <w:color w:val="auto"/>
        </w:rPr>
        <w:t>. If the Company, at any time while this Warrant is outstanding, (i) pays a stock dividend on its Common Stock or otherwise makes a distribution on any class of capital stock issued and outstanding on the Original Issue Date and in accordance with the terms of such stock on the Original Issue Date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7" w:name="page58"/>
    <w:bookmarkEnd w:id="57"/>
    <w:p>
      <w:pPr>
        <w:spacing w:after="0" w:line="19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as amended, that is payable in shares of Common Stock, (ii) subdivides its outstanding shares of Common Stock into a larger number of shares of Common Stock, (iii) combines its outstanding shares of Common Stock into a smaller number of shares of Common Stock or (iv) issues by reclassification of shares of capital stock any additional shares of Common Stock of the Company, then in each such case the Number of Warrant Shares shall be multiplied by a fraction, the numerator of which shall be the number of shares of Common Stock outstanding immediately after such event and the denominator of which shall be the number of shares of Common Stock outstanding immediately before such event. Any adjustment made pursuant to clause (i) of this paragraph shall become effective immediately after the record date for the determination of stockholders entitled to receive such dividend or distribution, provided, however, that if such record date shall have been fixed and such dividend is not fully paid on the date fixed therefor, the Number of Warrant Shares shall be recomputed accordingly as of the close of business on such record date and thereafter the Number of Warrant Shares shall be adjusted pursuant to this paragraph as of the time of actual payment of such dividends. Any adjustment pursuant to clause (ii), (iii) or (iv) of this paragraph shall become effective immediately after the effective date of such subdivision, combination or issuance.</w:t>
      </w:r>
    </w:p>
    <w:p>
      <w:pPr>
        <w:spacing w:after="0" w:line="194" w:lineRule="exact"/>
        <w:rPr>
          <w:sz w:val="20"/>
          <w:szCs w:val="20"/>
          <w:color w:val="auto"/>
        </w:rPr>
      </w:pPr>
    </w:p>
    <w:p>
      <w:pPr>
        <w:ind w:right="20" w:firstLine="891"/>
        <w:spacing w:after="0" w:line="254"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Pro Rata Distributions</w:t>
      </w:r>
      <w:r>
        <w:rPr>
          <w:rFonts w:ascii="Times New Roman" w:cs="Times New Roman" w:eastAsia="Times New Roman" w:hAnsi="Times New Roman"/>
          <w:sz w:val="18"/>
          <w:szCs w:val="18"/>
          <w:color w:val="auto"/>
        </w:rPr>
        <w:t xml:space="preserve">. If, on or after the Original Issue Date, the Company shall declare or make any dividend or other pro rata distribution of its assets (or rights to acquire its assets) to holders of shares of Common Stock, by way of return of capital or otherwise (including, without limitation, any distribution of cash, stock or other securities, property, options, evidence of indebtedness or any other assets by way of a dividend, spin off, reclassification, corporate rearrangement, scheme of arrangement or other similar transaction, but, for the avoidance of doubt, excluding any distribution of shares of Common Stock subject to </w:t>
      </w:r>
      <w:r>
        <w:rPr>
          <w:rFonts w:ascii="Times New Roman" w:cs="Times New Roman" w:eastAsia="Times New Roman" w:hAnsi="Times New Roman"/>
          <w:sz w:val="18"/>
          <w:szCs w:val="18"/>
          <w:u w:val="single" w:color="auto"/>
          <w:color w:val="auto"/>
        </w:rPr>
        <w:t>Section 9(a)</w:t>
      </w:r>
      <w:r>
        <w:rPr>
          <w:rFonts w:ascii="Times New Roman" w:cs="Times New Roman" w:eastAsia="Times New Roman" w:hAnsi="Times New Roman"/>
          <w:sz w:val="18"/>
          <w:szCs w:val="18"/>
          <w:color w:val="auto"/>
        </w:rPr>
        <w:t xml:space="preserve">, any distribution of Purchase Rights (as defined below) subject to </w:t>
      </w:r>
      <w:r>
        <w:rPr>
          <w:rFonts w:ascii="Times New Roman" w:cs="Times New Roman" w:eastAsia="Times New Roman" w:hAnsi="Times New Roman"/>
          <w:sz w:val="18"/>
          <w:szCs w:val="18"/>
          <w:u w:val="single" w:color="auto"/>
          <w:color w:val="auto"/>
        </w:rPr>
        <w:t>Section 9(c)</w:t>
      </w:r>
      <w:r>
        <w:rPr>
          <w:rFonts w:ascii="Times New Roman" w:cs="Times New Roman" w:eastAsia="Times New Roman" w:hAnsi="Times New Roman"/>
          <w:sz w:val="18"/>
          <w:szCs w:val="18"/>
          <w:color w:val="auto"/>
        </w:rPr>
        <w:t xml:space="preserve"> and any Fundamental Transaction (as defined below) subject to </w:t>
      </w:r>
      <w:r>
        <w:rPr>
          <w:rFonts w:ascii="Times New Roman" w:cs="Times New Roman" w:eastAsia="Times New Roman" w:hAnsi="Times New Roman"/>
          <w:sz w:val="18"/>
          <w:szCs w:val="18"/>
          <w:u w:val="single" w:color="auto"/>
          <w:color w:val="auto"/>
        </w:rPr>
        <w:t>Section 9(d))</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b w:val="1"/>
          <w:bCs w:val="1"/>
          <w:color w:val="auto"/>
        </w:rPr>
        <w:t>Distribution</w:t>
      </w:r>
      <w:r>
        <w:rPr>
          <w:rFonts w:ascii="Times New Roman" w:cs="Times New Roman" w:eastAsia="Times New Roman" w:hAnsi="Times New Roman"/>
          <w:sz w:val="18"/>
          <w:szCs w:val="18"/>
          <w:color w:val="auto"/>
        </w:rPr>
        <w: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or restrictions on exercise of this Warrant, including without limitation, the Beneficial Ownership Limitation and/or the HSR Threshold) immediately before the date on which a record is taken for such Distribution, or, if no such record is taken, the date as of which the record holders of shares of Common Stock are to be determined for the participation in such Distribution (provided, that to the extent that the Holder’s right to participate in any such Distribution would result in the Holder and the other Attribution Parties exceeding the Beneficial Ownership Limitation and/or the HSR Threshold, then the Holder shall not be entitled to participate in such Distribution to such extent (and shall not be entitled to beneficial ownership of such shares of Common Stock as a result of such Distribution (and beneficial ownership) to such extent) and the portion of such Distribution shall be held in abeyance for the benefit of the Holder until such time or times as its right thereto would not result in the Holder and the other Attribution Parties exceeding the Beneficial Ownership Limitation and/or the HSR Threshold, at which time or times the Holder shall be granted such Distribution (and any Distributions declared or made on such initial Distribution or on any subsequent Distribution held similarly in abeyance) to the same extent as if there had been no such limitation).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2239010</wp:posOffset>
            </wp:positionH>
            <wp:positionV relativeFrom="paragraph">
              <wp:posOffset>-1692275</wp:posOffset>
            </wp:positionV>
            <wp:extent cx="2857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71" w:lineRule="exact"/>
        <w:rPr>
          <w:sz w:val="20"/>
          <w:szCs w:val="20"/>
          <w:color w:val="auto"/>
        </w:rPr>
      </w:pPr>
    </w:p>
    <w:p>
      <w:pPr>
        <w:ind w:firstLine="891"/>
        <w:spacing w:after="0" w:line="252"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If at any time on or after the Original Issue Date, the Company grants, issues or sells any Options, Convertible Securities or rights to purchase stock, warrants, securities or other property, in each case pro rata to the record holders of any class of Common Stock (the “</w:t>
      </w:r>
      <w:r>
        <w:rPr>
          <w:rFonts w:ascii="Times New Roman" w:cs="Times New Roman" w:eastAsia="Times New Roman" w:hAnsi="Times New Roman"/>
          <w:sz w:val="18"/>
          <w:szCs w:val="18"/>
          <w:b w:val="1"/>
          <w:bCs w:val="1"/>
          <w:color w:val="auto"/>
        </w:rPr>
        <w:t>Purchase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could have acquired if the Holder had held the number of shares of Common Stock acquirable upon complete exercise of this Warrant (without regard to any limitations or restrictions on exercise of this Warrant, including without limitation, the Beneficial Ownership Limitation and/or the HSR Threshold) immediately before the date on which a record is taken for the grant, issuance or sale of such Purchase Rights, or, if no such record is taken, the date as of which the record holders of Common Stock are to be determined for the grant, issuance or sale of such Purchase Rights (provided, that to the extent that the Holder’s right to participate in any such Purchase Right would result in the Holder and the other Attribution Parties exceeding Beneficial Ownership Limitation and/or the HSR Threshold, then the Holder shall not be entitled to participate in such Purchase Right to such extent (and shall not be entitled to beneficial ownership of such Common Stock as a result of such Purchase Right (and beneficial ownership) to such extent) and at the Holder’s election, in its sole discretion, either (1) such Purchase Right to such extent shall be held in abeyance for the benefit of the Holder until such time or times as its right thereto would not result in the Holder and the other Attribution Parties exceeding the Maximum Percentage, at which time or times the Holder shall be granted such right (and any Purchase Right granted, issued or sold on such initial Purchase Right or on any subsequent Purchase Right to be held similarly in abeyance) to the same extent as if there had been no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878840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spacing w:after="0" w:line="19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limitation or (2) the Company shall offer the Holder the right upon exercise of such Purchase Right to acquire a security (e.g. a pre-funded warrant) that would not result in the Holder and the other Attribution Parties exceeding the Beneficial Ownership Limitation and/or the HSR Threshold but will otherwise to the extent possible have economic and other rights, preferences and privileges substantially consistent and on par with the securities or other property issuable upon exercise of the originally offered Purchase Rights). As used in this </w:t>
      </w:r>
      <w:r>
        <w:rPr>
          <w:rFonts w:ascii="Times New Roman" w:cs="Times New Roman" w:eastAsia="Times New Roman" w:hAnsi="Times New Roman"/>
          <w:sz w:val="18"/>
          <w:szCs w:val="18"/>
          <w:u w:val="single" w:color="auto"/>
          <w:color w:val="auto"/>
        </w:rPr>
        <w:t>Section 9(c)</w:t>
      </w:r>
      <w:r>
        <w:rPr>
          <w:rFonts w:ascii="Times New Roman" w:cs="Times New Roman" w:eastAsia="Times New Roman" w:hAnsi="Times New Roman"/>
          <w:sz w:val="18"/>
          <w:szCs w:val="18"/>
          <w:color w:val="auto"/>
        </w:rPr>
        <w:t>, (i) “</w:t>
      </w:r>
      <w:r>
        <w:rPr>
          <w:rFonts w:ascii="Times New Roman" w:cs="Times New Roman" w:eastAsia="Times New Roman" w:hAnsi="Times New Roman"/>
          <w:sz w:val="18"/>
          <w:szCs w:val="18"/>
          <w:b w:val="1"/>
          <w:bCs w:val="1"/>
          <w:color w:val="auto"/>
        </w:rPr>
        <w:t>Options</w:t>
      </w:r>
      <w:r>
        <w:rPr>
          <w:rFonts w:ascii="Times New Roman" w:cs="Times New Roman" w:eastAsia="Times New Roman" w:hAnsi="Times New Roman"/>
          <w:sz w:val="18"/>
          <w:szCs w:val="18"/>
          <w:color w:val="auto"/>
        </w:rPr>
        <w:t>” means any rights, warrants or options to subscribe for or purchase shares of Common Stock or Convertible Securities and (ii) “</w:t>
      </w:r>
      <w:r>
        <w:rPr>
          <w:rFonts w:ascii="Times New Roman" w:cs="Times New Roman" w:eastAsia="Times New Roman" w:hAnsi="Times New Roman"/>
          <w:sz w:val="18"/>
          <w:szCs w:val="18"/>
          <w:b w:val="1"/>
          <w:bCs w:val="1"/>
          <w:color w:val="auto"/>
        </w:rPr>
        <w:t>Convertible Securities</w:t>
      </w:r>
      <w:r>
        <w:rPr>
          <w:rFonts w:ascii="Times New Roman" w:cs="Times New Roman" w:eastAsia="Times New Roman" w:hAnsi="Times New Roman"/>
          <w:sz w:val="18"/>
          <w:szCs w:val="18"/>
          <w:color w:val="auto"/>
        </w:rPr>
        <w:t>” mean any stock or securities (other than Options) directly or indirectly convertible into or exercisable or exchangeable for shares of Common Stock.</w:t>
      </w:r>
    </w:p>
    <w:p>
      <w:pPr>
        <w:spacing w:after="0" w:line="187" w:lineRule="exact"/>
        <w:rPr>
          <w:sz w:val="20"/>
          <w:szCs w:val="20"/>
          <w:color w:val="auto"/>
        </w:rPr>
      </w:pPr>
    </w:p>
    <w:p>
      <w:pPr>
        <w:ind w:right="20" w:firstLine="891"/>
        <w:spacing w:after="0" w:line="251"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Fundamental Transactions</w:t>
      </w:r>
      <w:r>
        <w:rPr>
          <w:rFonts w:ascii="Times New Roman" w:cs="Times New Roman" w:eastAsia="Times New Roman" w:hAnsi="Times New Roman"/>
          <w:sz w:val="18"/>
          <w:szCs w:val="18"/>
          <w:color w:val="auto"/>
        </w:rPr>
        <w:t xml:space="preserve">. If, at any time while this Warrant is outstanding (i) the Company effects any merger or consolidation of the Company with or into another Person, in which the Company is not the surviving entity or in which the stockholders of the Company immediately prior to such merger or consolidation do not own, directly or indirectly, at least 50% of the voting power of the surviving entity immediately after such merger or consolidation, (ii) the Company effects any sale to another Person of all or substantially all of its assets in one or a series of related transactions, (iii) pursuant to any tender offer or exchange offer (whether by the Company or another Person), holders of capital stock tender shares representing more than 50% of the voting power of the capital stock of the Company and the Company or such other Person, as applicable, accepts such tender for payment, (iv) the Company consummates a stock purchase agreement or other business combination (including, without limitation, a reorganization, recapitalization, spin-off or scheme of arrangement) with another Person whereby such other Person acquires more than 50% of the voting power of the capital stock of the Company (except for any such transaction in which the stockholders of the Company immediately prior to such transaction maintain, in substantially the same proportions, the voting power of such Person immediately after the transaction) or (v) the Company effects any reclassification of the Common Stock or any compulsory share exchange pursuant to which the Common Stock is effectively converted into or exchanged for other securities, cash or property (other than as a result of a subdivision or combination of shares of Common Stock covered by </w:t>
      </w:r>
      <w:r>
        <w:rPr>
          <w:rFonts w:ascii="Times New Roman" w:cs="Times New Roman" w:eastAsia="Times New Roman" w:hAnsi="Times New Roman"/>
          <w:sz w:val="18"/>
          <w:szCs w:val="18"/>
          <w:u w:val="single" w:color="auto"/>
          <w:color w:val="auto"/>
        </w:rPr>
        <w:t>Section 9(a)</w:t>
      </w:r>
      <w:r>
        <w:rPr>
          <w:rFonts w:ascii="Times New Roman" w:cs="Times New Roman" w:eastAsia="Times New Roman" w:hAnsi="Times New Roman"/>
          <w:sz w:val="18"/>
          <w:szCs w:val="18"/>
          <w:color w:val="auto"/>
        </w:rPr>
        <w:t xml:space="preserve"> above) (in any such case, a “</w:t>
      </w:r>
      <w:r>
        <w:rPr>
          <w:rFonts w:ascii="Times New Roman" w:cs="Times New Roman" w:eastAsia="Times New Roman" w:hAnsi="Times New Roman"/>
          <w:sz w:val="18"/>
          <w:szCs w:val="18"/>
          <w:b w:val="1"/>
          <w:bCs w:val="1"/>
          <w:color w:val="auto"/>
        </w:rPr>
        <w:t>Fundamental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Transaction</w:t>
      </w:r>
      <w:r>
        <w:rPr>
          <w:rFonts w:ascii="Times New Roman" w:cs="Times New Roman" w:eastAsia="Times New Roman" w:hAnsi="Times New Roman"/>
          <w:sz w:val="18"/>
          <w:szCs w:val="18"/>
          <w:color w:val="auto"/>
        </w:rPr>
        <w:t>”), then following such Fundamental Transaction the Holder shall have the right to receive, upon exercise of this Warrant, the same amount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kind of securities, cash or property as it would have been entitled to receive upon the occurrence of such Fundamental Transaction if it had been, immediately prior to such Fundamental Transaction, the holder of the number of Warrant Shares then issuable upon exercise in full of this Warrant (including any Distributions or Purchase Rights then held in abeyance pursuant to </w:t>
      </w:r>
      <w:r>
        <w:rPr>
          <w:rFonts w:ascii="Times New Roman" w:cs="Times New Roman" w:eastAsia="Times New Roman" w:hAnsi="Times New Roman"/>
          <w:sz w:val="18"/>
          <w:szCs w:val="18"/>
          <w:u w:val="single" w:color="auto"/>
          <w:color w:val="auto"/>
        </w:rPr>
        <w:t>Sections 9(b)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9(c)</w:t>
      </w:r>
      <w:r>
        <w:rPr>
          <w:rFonts w:ascii="Times New Roman" w:cs="Times New Roman" w:eastAsia="Times New Roman" w:hAnsi="Times New Roman"/>
          <w:sz w:val="18"/>
          <w:szCs w:val="18"/>
          <w:color w:val="auto"/>
        </w:rPr>
        <w:t xml:space="preserve"> above) without regard to any limitations or restriction on exercise contained herein, including without limitation, the Beneficial Ownership Limitation and/or the HSR Threshold (the “</w:t>
      </w:r>
      <w:r>
        <w:rPr>
          <w:rFonts w:ascii="Times New Roman" w:cs="Times New Roman" w:eastAsia="Times New Roman" w:hAnsi="Times New Roman"/>
          <w:sz w:val="18"/>
          <w:szCs w:val="18"/>
          <w:b w:val="1"/>
          <w:bCs w:val="1"/>
          <w:color w:val="auto"/>
        </w:rPr>
        <w:t>Alternate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Consideration</w:t>
      </w:r>
      <w:r>
        <w:rPr>
          <w:rFonts w:ascii="Times New Roman" w:cs="Times New Roman" w:eastAsia="Times New Roman" w:hAnsi="Times New Roman"/>
          <w:sz w:val="18"/>
          <w:szCs w:val="18"/>
          <w:color w:val="auto"/>
        </w:rPr>
        <w:t>”). The Company shall not effect any Fundamental Transaction in which the Company is not the surviving entity or the Alternate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Consideration includes securities of another Person unless (i) the Alternate Consideration is solely cash and the Company provides for the simultaneous “cashless exercise” of this Warrant pursuant to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below or (ii) prior to or simultaneously with the consummation thereof, any successor to the Company, surviving entity or other Person (including any purchaser of assets of the Company) shall assume the obligation to deliver to the Holder such Alternate Consideration as, in accordance with the foregoing provisions, the Holder may be entitled to receive, and the other obligations under this Warrant. The provisions of this paragraph (d) shall similarly apply to subsequent transactions analogous to a Fundamental Transaction type.</w:t>
      </w:r>
    </w:p>
    <w:p>
      <w:pPr>
        <w:spacing w:after="0" w:line="205" w:lineRule="exact"/>
        <w:rPr>
          <w:sz w:val="20"/>
          <w:szCs w:val="20"/>
          <w:color w:val="auto"/>
        </w:rPr>
      </w:pPr>
    </w:p>
    <w:p>
      <w:pPr>
        <w:ind w:right="20" w:firstLine="891"/>
        <w:spacing w:after="0" w:line="271"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Number of Warrant Shares</w:t>
      </w:r>
      <w:r>
        <w:rPr>
          <w:rFonts w:ascii="Times New Roman" w:cs="Times New Roman" w:eastAsia="Times New Roman" w:hAnsi="Times New Roman"/>
          <w:sz w:val="18"/>
          <w:szCs w:val="18"/>
          <w:color w:val="auto"/>
        </w:rPr>
        <w:t xml:space="preserve">. Simultaneously with any adjustment to the Number of Warrant Shares pursuant to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the Exercise Price shall be increased or decreased proportionately, so that after such adjustment the aggregate Exercise Price payable hereunder for the increased or decreased Number of Warrant Shares shall be the same as the aggregate Exercise Price in effect immediately prior to such adjustment. Notwithstanding the foregoing, in no event may the Exercise Price be adjusted below the par value of the Common Stock then in effect.</w:t>
      </w:r>
    </w:p>
    <w:p>
      <w:pPr>
        <w:spacing w:after="0" w:line="19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xml:space="preserve">. All calculations under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shall be made to the nearest one-tenth of one cent or the nearest share, as applicable.</w:t>
      </w:r>
    </w:p>
    <w:p>
      <w:pPr>
        <w:spacing w:after="0" w:line="225" w:lineRule="exact"/>
        <w:rPr>
          <w:sz w:val="20"/>
          <w:szCs w:val="20"/>
          <w:color w:val="auto"/>
        </w:rPr>
      </w:pPr>
    </w:p>
    <w:p>
      <w:pPr>
        <w:ind w:firstLine="891"/>
        <w:spacing w:after="0" w:line="261" w:lineRule="auto"/>
        <w:rPr>
          <w:sz w:val="20"/>
          <w:szCs w:val="20"/>
          <w:color w:val="auto"/>
        </w:rPr>
      </w:pP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u w:val="single" w:color="auto"/>
          <w:color w:val="auto"/>
        </w:rPr>
        <w:t>Notice of Adjustments</w:t>
      </w:r>
      <w:r>
        <w:rPr>
          <w:rFonts w:ascii="Times New Roman" w:cs="Times New Roman" w:eastAsia="Times New Roman" w:hAnsi="Times New Roman"/>
          <w:sz w:val="18"/>
          <w:szCs w:val="18"/>
          <w:color w:val="auto"/>
        </w:rPr>
        <w:t xml:space="preserve">. Upon the occurrence of each adjustment pursuant to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the Company at its expense will, at the written request of the Holder, promptly compute such adjustment, in good faith, in accordance with the terms of this Warrant and prepare a certificate setting forth such adjustment, including a statement of the adjusted Exercise Price and adjusted number or type of Warrant Shares or other securities issuable upon exercise of this Warrant (as applicable), describing the transactions giving rise to such adjustments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867410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9" w:name="page60"/>
    <w:bookmarkEnd w:id="59"/>
    <w:p>
      <w:pPr>
        <w:spacing w:after="0" w:line="194"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showing in detail the facts upon which such adjustment is based. Upon written request, the Company will promptly deliver a copy of each such certificate to the Holder and to the Company’s transfer agent.</w:t>
      </w:r>
    </w:p>
    <w:p>
      <w:pPr>
        <w:spacing w:after="0" w:line="162" w:lineRule="exact"/>
        <w:rPr>
          <w:sz w:val="20"/>
          <w:szCs w:val="20"/>
          <w:color w:val="auto"/>
        </w:rPr>
      </w:pPr>
    </w:p>
    <w:p>
      <w:pPr>
        <w:ind w:firstLine="891"/>
        <w:spacing w:after="0" w:line="253" w:lineRule="auto"/>
        <w:rPr>
          <w:sz w:val="20"/>
          <w:szCs w:val="20"/>
          <w:color w:val="auto"/>
        </w:rPr>
      </w:pPr>
      <w:r>
        <w:rPr>
          <w:rFonts w:ascii="Times New Roman" w:cs="Times New Roman" w:eastAsia="Times New Roman" w:hAnsi="Times New Roman"/>
          <w:sz w:val="18"/>
          <w:szCs w:val="18"/>
          <w:color w:val="auto"/>
        </w:rPr>
        <w:t xml:space="preserve">(h)  </w:t>
      </w:r>
      <w:r>
        <w:rPr>
          <w:rFonts w:ascii="Times New Roman" w:cs="Times New Roman" w:eastAsia="Times New Roman" w:hAnsi="Times New Roman"/>
          <w:sz w:val="18"/>
          <w:szCs w:val="18"/>
          <w:u w:val="single" w:color="auto"/>
          <w:color w:val="auto"/>
        </w:rPr>
        <w:t>Notice of Corporate Events</w:t>
      </w:r>
      <w:r>
        <w:rPr>
          <w:rFonts w:ascii="Times New Roman" w:cs="Times New Roman" w:eastAsia="Times New Roman" w:hAnsi="Times New Roman"/>
          <w:sz w:val="18"/>
          <w:szCs w:val="18"/>
          <w:color w:val="auto"/>
        </w:rPr>
        <w:t xml:space="preserve">. If, while this Warrant is outstanding, the Company (i) declares a dividend or any other distribution of cash, securities or other property in respect of its Common Stock, including, without limitation, any granting of rights or warrants to subscribe for or purchase any capital stock of the Company or any subsidiary, (ii) authorizes or approves, enters into any agreement contemplating or solicits stockholder approval for any Fundamental Transaction or (iii) authorizes the voluntary dissolution, liquidation or winding up of the affairs of the Company, then the Company shall deliver to the Holder a notice of such transaction at least ten days prior to the applicable record or effective date on which a Person would need to hold Common Stock in order to participate in or vote with respect to such transaction; provided, however, that the failure to deliver such notice or any defect therein shall not affect the validity of the corporate action required to be described in such notice. In addition, if while this Warrant is outstanding, the Company authorizes or approves, enters into any agreement contemplating or solicits stockholder approval for any Fundamental Transaction contemplated by </w:t>
      </w:r>
      <w:r>
        <w:rPr>
          <w:rFonts w:ascii="Times New Roman" w:cs="Times New Roman" w:eastAsia="Times New Roman" w:hAnsi="Times New Roman"/>
          <w:sz w:val="18"/>
          <w:szCs w:val="18"/>
          <w:u w:val="single" w:color="auto"/>
          <w:color w:val="auto"/>
        </w:rPr>
        <w:t>Section 9(d)</w:t>
      </w:r>
      <w:r>
        <w:rPr>
          <w:rFonts w:ascii="Times New Roman" w:cs="Times New Roman" w:eastAsia="Times New Roman" w:hAnsi="Times New Roman"/>
          <w:sz w:val="18"/>
          <w:szCs w:val="18"/>
          <w:color w:val="auto"/>
        </w:rPr>
        <w:t xml:space="preserve">, other than a Fundamental Transaction under clause (iii) of </w:t>
      </w:r>
      <w:r>
        <w:rPr>
          <w:rFonts w:ascii="Times New Roman" w:cs="Times New Roman" w:eastAsia="Times New Roman" w:hAnsi="Times New Roman"/>
          <w:sz w:val="18"/>
          <w:szCs w:val="18"/>
          <w:u w:val="single" w:color="auto"/>
          <w:color w:val="auto"/>
        </w:rPr>
        <w:t>Section 9(d),</w:t>
      </w:r>
      <w:r>
        <w:rPr>
          <w:rFonts w:ascii="Times New Roman" w:cs="Times New Roman" w:eastAsia="Times New Roman" w:hAnsi="Times New Roman"/>
          <w:sz w:val="18"/>
          <w:szCs w:val="18"/>
          <w:color w:val="auto"/>
        </w:rPr>
        <w:t xml:space="preserve"> the Company shall deliver to the Holder a notice of such Fundamental Transaction at least 30 days prior to the date such Fundamental Transaction is consummated. Holder agrees to maintain any information disclosed pursuant to this </w:t>
      </w:r>
      <w:r>
        <w:rPr>
          <w:rFonts w:ascii="Times New Roman" w:cs="Times New Roman" w:eastAsia="Times New Roman" w:hAnsi="Times New Roman"/>
          <w:sz w:val="18"/>
          <w:szCs w:val="18"/>
          <w:u w:val="single" w:color="auto"/>
          <w:color w:val="auto"/>
        </w:rPr>
        <w:t>Section 9(h)</w:t>
      </w:r>
      <w:r>
        <w:rPr>
          <w:rFonts w:ascii="Times New Roman" w:cs="Times New Roman" w:eastAsia="Times New Roman" w:hAnsi="Times New Roman"/>
          <w:sz w:val="18"/>
          <w:szCs w:val="18"/>
          <w:color w:val="auto"/>
        </w:rPr>
        <w:t xml:space="preserve"> in confidence until such information is publicly available, and shall comply with applicable law with respect to trading in the Company’s securities following receipt of any such information.</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Payment of Exercise Price</w:t>
      </w:r>
      <w:r>
        <w:rPr>
          <w:rFonts w:ascii="Times New Roman" w:cs="Times New Roman" w:eastAsia="Times New Roman" w:hAnsi="Times New Roman"/>
          <w:sz w:val="18"/>
          <w:szCs w:val="18"/>
          <w:color w:val="auto"/>
        </w:rPr>
        <w:t>. Notwithstanding anything contained herein to the</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contrary, the Holder may, in its sole discretion, satisfy its obligation to pay the Exercise Price through a “cashless exercise”, in which event the Company shall issue to the Holder the number of Warrant Shares in an exchange of securities effected pursuant to Section 3(a)(9) of the Securities Act, determined as follows:</w:t>
      </w:r>
    </w:p>
    <w:p>
      <w:pPr>
        <w:spacing w:after="0" w:line="17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X = Y [(A-B)/A]</w:t>
      </w:r>
    </w:p>
    <w:p>
      <w:pPr>
        <w:spacing w:after="0" w:line="22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where:</w:t>
      </w:r>
    </w:p>
    <w:p>
      <w:pPr>
        <w:sectPr>
          <w:pgSz w:w="11900" w:h="16838" w:orient="portrait"/>
          <w:cols w:equalWidth="0" w:num="1">
            <w:col w:w="11240"/>
          </w:cols>
          <w:pgMar w:left="320" w:top="1440" w:right="339" w:bottom="1440" w:gutter="0" w:footer="0" w:header="0"/>
        </w:sectPr>
      </w:pPr>
    </w:p>
    <w:p>
      <w:pPr>
        <w:spacing w:after="0" w:line="25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“X” </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equals the number of Warrant Shares to be issued to the Holder;</w:t>
      </w:r>
    </w:p>
    <w:p>
      <w:pPr>
        <w:spacing w:after="0" w:line="200" w:lineRule="exact"/>
        <w:rPr>
          <w:sz w:val="20"/>
          <w:szCs w:val="20"/>
          <w:color w:val="auto"/>
        </w:rPr>
      </w:pPr>
    </w:p>
    <w:p>
      <w:pPr>
        <w:sectPr>
          <w:pgSz w:w="11900" w:h="16838" w:orient="portrait"/>
          <w:cols w:equalWidth="0" w:num="2">
            <w:col w:w="1240" w:space="120"/>
            <w:col w:w="9880"/>
          </w:cols>
          <w:pgMar w:left="320" w:top="1440" w:right="339" w:bottom="1440" w:gutter="0" w:footer="0" w:header="0"/>
          <w:type w:val="continuous"/>
        </w:sectPr>
      </w:pPr>
    </w:p>
    <w:p>
      <w:pPr>
        <w:spacing w:after="0" w:line="5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“Y” </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equals the total number of Warrant Shares with respect to which this Warrant is then being exercised;</w:t>
      </w:r>
    </w:p>
    <w:p>
      <w:pPr>
        <w:spacing w:after="0" w:line="200" w:lineRule="exact"/>
        <w:rPr>
          <w:sz w:val="20"/>
          <w:szCs w:val="20"/>
          <w:color w:val="auto"/>
        </w:rPr>
      </w:pPr>
    </w:p>
    <w:p>
      <w:pPr>
        <w:sectPr>
          <w:pgSz w:w="11900" w:h="16838" w:orient="portrait"/>
          <w:cols w:equalWidth="0" w:num="2">
            <w:col w:w="1240" w:space="120"/>
            <w:col w:w="9880"/>
          </w:cols>
          <w:pgMar w:left="320" w:top="1440" w:right="339" w:bottom="1440" w:gutter="0" w:footer="0" w:header="0"/>
          <w:type w:val="continuous"/>
        </w:sectPr>
      </w:pPr>
    </w:p>
    <w:p>
      <w:pPr>
        <w:spacing w:after="0" w:line="2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“A” </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equals the Closing Sale Price of the shares of Common Stock as of the Trading Day on the date immediately preceding the Exercise</w:t>
      </w:r>
    </w:p>
    <w:p>
      <w:pPr>
        <w:spacing w:after="0" w:line="27" w:lineRule="exact"/>
        <w:rPr>
          <w:sz w:val="20"/>
          <w:szCs w:val="20"/>
          <w:color w:val="auto"/>
        </w:rPr>
      </w:pPr>
    </w:p>
    <w:p>
      <w:pPr>
        <w:sectPr>
          <w:pgSz w:w="11900" w:h="16838" w:orient="portrait"/>
          <w:cols w:equalWidth="0" w:num="2">
            <w:col w:w="1240" w:space="120"/>
            <w:col w:w="9880"/>
          </w:cols>
          <w:pgMar w:left="320" w:top="1440"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Date; and</w:t>
      </w:r>
    </w:p>
    <w:p>
      <w:pPr>
        <w:sectPr>
          <w:pgSz w:w="11900" w:h="16838" w:orient="portrait"/>
          <w:cols w:equalWidth="0" w:num="1">
            <w:col w:w="11240"/>
          </w:cols>
          <w:pgMar w:left="320" w:top="1440" w:right="339" w:bottom="1440" w:gutter="0" w:footer="0" w:header="0"/>
          <w:type w:val="continuous"/>
        </w:sectPr>
      </w:pPr>
    </w:p>
    <w:p>
      <w:pPr>
        <w:spacing w:after="0" w:line="20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2"/>
          <w:szCs w:val="12"/>
          <w:color w:val="auto"/>
        </w:rPr>
        <w:t>“B” </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equals the Exercise Price then in effect for the applicable Warrant Shares at the time of such exercise.</w:t>
      </w:r>
    </w:p>
    <w:p>
      <w:pPr>
        <w:spacing w:after="0" w:line="200" w:lineRule="exact"/>
        <w:rPr>
          <w:sz w:val="20"/>
          <w:szCs w:val="20"/>
          <w:color w:val="auto"/>
        </w:rPr>
      </w:pPr>
    </w:p>
    <w:p>
      <w:pPr>
        <w:sectPr>
          <w:pgSz w:w="11900" w:h="16838" w:orient="portrait"/>
          <w:cols w:equalWidth="0" w:num="2">
            <w:col w:w="1220" w:space="140"/>
            <w:col w:w="9880"/>
          </w:cols>
          <w:pgMar w:left="320" w:top="1440" w:right="339" w:bottom="1440" w:gutter="0" w:footer="0" w:header="0"/>
          <w:type w:val="continuous"/>
        </w:sectPr>
      </w:pPr>
    </w:p>
    <w:p>
      <w:pPr>
        <w:spacing w:after="0" w:line="25"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 xml:space="preserve">If the Warrant Shares are issued in such a cashless exercise, the Company acknowledges and agrees that, in accordance with Section 3(a)(9) of the Securities Act, the Exercise Shares issued in such exercise shall take on the registered characteristics of the Warrants being exercised and may be tacked on to the holding period of the Warrants being exercised. Except as set forth in </w:t>
      </w:r>
      <w:r>
        <w:rPr>
          <w:rFonts w:ascii="Times New Roman" w:cs="Times New Roman" w:eastAsia="Times New Roman" w:hAnsi="Times New Roman"/>
          <w:sz w:val="18"/>
          <w:szCs w:val="18"/>
          <w:u w:val="single" w:color="auto"/>
          <w:color w:val="auto"/>
        </w:rPr>
        <w:t>Section 5(b)</w:t>
      </w:r>
      <w:r>
        <w:rPr>
          <w:rFonts w:ascii="Times New Roman" w:cs="Times New Roman" w:eastAsia="Times New Roman" w:hAnsi="Times New Roman"/>
          <w:sz w:val="18"/>
          <w:szCs w:val="18"/>
          <w:color w:val="auto"/>
        </w:rPr>
        <w:t xml:space="preserve"> (buy-in remedy) and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(No Fractional Shares), in no event will the exercise of this Warrant be settled in cash. In the event that the Registration Statement or another registration statement registering the issuance of Warrant Shares is, for any reason, not effective at the time of exercise of this Warrant, then the Warrant may only be exercised through a cashless exercise, as set forth in this Section 10.</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Limitations on Exercise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right="100" w:firstLine="891"/>
        <w:spacing w:after="0" w:line="266" w:lineRule="auto"/>
        <w:rPr>
          <w:sz w:val="20"/>
          <w:szCs w:val="20"/>
          <w:color w:val="auto"/>
        </w:rPr>
      </w:pPr>
      <w:r>
        <w:rPr>
          <w:rFonts w:ascii="Times New Roman" w:cs="Times New Roman" w:eastAsia="Times New Roman" w:hAnsi="Times New Roman"/>
          <w:sz w:val="18"/>
          <w:szCs w:val="18"/>
          <w:color w:val="auto"/>
        </w:rPr>
        <w:t>(a)  Notwithstanding anything to the contrary contained herein, the Company shall not effect the exercise of any portion of this Warrant, and the Holder of this Warrant shall not exercise any portion of the Warrant, and any such exercise shall be null and void ab initio and treated as if the exercise had not been made, to the extent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60" w:name="page61"/>
    <w:bookmarkEnd w:id="60"/>
    <w:p>
      <w:pPr>
        <w:spacing w:after="0" w:line="194"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that immediately prior to or following such exercise, the Holder, together with the Attribution Parties, beneficially owns or would beneficially own as determined in accordance with Section 13(d) of the Exchange Act more than 4.99% (or, upon election by a Holder prior to the issuance of any Warrants, 9.99%) (the “</w:t>
      </w:r>
      <w:r>
        <w:rPr>
          <w:rFonts w:ascii="Times New Roman" w:cs="Times New Roman" w:eastAsia="Times New Roman" w:hAnsi="Times New Roman"/>
          <w:sz w:val="18"/>
          <w:szCs w:val="18"/>
          <w:b w:val="1"/>
          <w:bCs w:val="1"/>
          <w:color w:val="auto"/>
        </w:rPr>
        <w:t>Beneficial Ownership Limitation</w:t>
      </w:r>
      <w:r>
        <w:rPr>
          <w:rFonts w:ascii="Times New Roman" w:cs="Times New Roman" w:eastAsia="Times New Roman" w:hAnsi="Times New Roman"/>
          <w:sz w:val="18"/>
          <w:szCs w:val="18"/>
          <w:color w:val="auto"/>
        </w:rPr>
        <w:t xml:space="preserve">”) of the issued and outstanding Common Stock or any other class of equity security (other than an exempted security) of the Company that is registered pursuant to Section 12 of the Exchange Act. For purposes of calculating beneficial ownership, the aggregate number of shares of Common Stock held and/or beneficially owned by the Holder together with the Attribution Parties, shall include the number of shares of Common Stock held and/or beneficially owned by the Holder together with the Attribution Parties plus the number of shares of Common Stock issuable upon exercise of the relevant Warrant with respect to which the determination is being made but shall exclude the number of shares of Common Stock which would be issuable upon (i) exercise of the remaining, unexercised Warrant held and/or beneficially owned by the Holder or the Attribution Parties and (ii) exercise or conversion of the unexercised or unconverted portion of any other securities of the Company held and/or beneficially owned by such Holder or any Attribution Party (including, without limitation, any convertible notes, convertible stock or warrants) that are subject to a limitation on conversion or exercise analogous to the limitation contained herein. For purposes of this </w:t>
      </w:r>
      <w:r>
        <w:rPr>
          <w:rFonts w:ascii="Times New Roman" w:cs="Times New Roman" w:eastAsia="Times New Roman" w:hAnsi="Times New Roman"/>
          <w:sz w:val="18"/>
          <w:szCs w:val="18"/>
          <w:u w:val="single" w:color="auto"/>
          <w:color w:val="auto"/>
        </w:rPr>
        <w:t>Paragraph 11(a)</w:t>
      </w:r>
      <w:r>
        <w:rPr>
          <w:rFonts w:ascii="Times New Roman" w:cs="Times New Roman" w:eastAsia="Times New Roman" w:hAnsi="Times New Roman"/>
          <w:sz w:val="18"/>
          <w:szCs w:val="18"/>
          <w:color w:val="auto"/>
        </w:rPr>
        <w:t>, beneficial ownership of the Holder or the Attribution Parties shall, except as set forth in the immediately preceding sentence, be calculated and determined in accordance with Section 13(d) of the Exchange Act and the rules promulgated thereunder, it being acknowledged and agreed that the Holder is solely responsible for any schedules required to be filed in accordance therewith. For purposes of this Warrant, in determining the number of outstanding shares of Common Stock, the Holder may acquire upon the exercise of this Warrant without exceeding the Beneficial Ownership Limitation, the Holder of this Warrant may rely on the number of outstanding shares of Common Stock as reflected in (1) the Company’s most recent Form 10-K, Form 10-Q, Current Report on Form 8-K or other public filing with the Securities and Exchange Commission, as the case may be, (2) a more recent public announcement by the Company or (3) any other notice by the Company or the Company’s transfer agent setting forth the number of shares of Common Stock outstanding (such issued and outstanding shares, the “</w:t>
      </w:r>
      <w:r>
        <w:rPr>
          <w:rFonts w:ascii="Times New Roman" w:cs="Times New Roman" w:eastAsia="Times New Roman" w:hAnsi="Times New Roman"/>
          <w:sz w:val="18"/>
          <w:szCs w:val="18"/>
          <w:b w:val="1"/>
          <w:bCs w:val="1"/>
          <w:color w:val="auto"/>
        </w:rPr>
        <w:t>Reported Outstanding Share Number</w:t>
      </w:r>
      <w:r>
        <w:rPr>
          <w:rFonts w:ascii="Times New Roman" w:cs="Times New Roman" w:eastAsia="Times New Roman" w:hAnsi="Times New Roman"/>
          <w:sz w:val="18"/>
          <w:szCs w:val="18"/>
          <w:color w:val="auto"/>
        </w:rPr>
        <w:t>”). For any reason at any time, upon the written or oral request of the Holder, the Company shall within one Trading Day confirm orally and in writing or by electronic mail to the Holder the number of shares of Common Stock then outstanding. The Holder shall disclose to the Company the number of shares of Common Stock that it, together with the Attribution Parties holds and/or beneficially owns and has the right to acquire through the exercise of derivative securities and any limitations on exercise or conversion analogous to the limitation contained herein contemporaneously or immediately prior to submitting an Exercise Notice for the relevant Warrant. If the Company receives an Exercise Notice from the Holder at a time when the actual number of outstanding shares of Common Stock is less than the Reported Outstanding Share Number, the Company shall</w:t>
      </w:r>
    </w:p>
    <w:p>
      <w:pPr>
        <w:spacing w:after="0" w:line="7" w:lineRule="exact"/>
        <w:rPr>
          <w:sz w:val="20"/>
          <w:szCs w:val="20"/>
          <w:color w:val="auto"/>
        </w:rPr>
      </w:pPr>
    </w:p>
    <w:p>
      <w:pPr>
        <w:ind w:right="80" w:firstLine="8"/>
        <w:spacing w:after="0" w:line="251" w:lineRule="auto"/>
        <w:tabs>
          <w:tab w:leader="none" w:pos="21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notify the Holder in writing of the number of shares of Common Stock then outstanding and, to the extent that such Exercise Notice would otherwise cause the Holder’s, together with the Attribution Parties’, beneficial ownership, as determined pursuant to this </w:t>
      </w:r>
      <w:r>
        <w:rPr>
          <w:rFonts w:ascii="Times New Roman" w:cs="Times New Roman" w:eastAsia="Times New Roman" w:hAnsi="Times New Roman"/>
          <w:sz w:val="18"/>
          <w:szCs w:val="18"/>
          <w:u w:val="single" w:color="auto"/>
          <w:color w:val="auto"/>
        </w:rPr>
        <w:t>Section 11(a)</w:t>
      </w:r>
      <w:r>
        <w:rPr>
          <w:rFonts w:ascii="Times New Roman" w:cs="Times New Roman" w:eastAsia="Times New Roman" w:hAnsi="Times New Roman"/>
          <w:sz w:val="18"/>
          <w:szCs w:val="18"/>
          <w:color w:val="auto"/>
        </w:rPr>
        <w:t>, to exceed the Maximum Percentage, the Holder must notify the Company of a reduced number of Warrant Shares to be purchased pursuant to such Exercise Notice (the number of shares by which such purchase is reduced, the “</w:t>
      </w:r>
      <w:r>
        <w:rPr>
          <w:rFonts w:ascii="Times New Roman" w:cs="Times New Roman" w:eastAsia="Times New Roman" w:hAnsi="Times New Roman"/>
          <w:sz w:val="18"/>
          <w:szCs w:val="18"/>
          <w:b w:val="1"/>
          <w:bCs w:val="1"/>
          <w:color w:val="auto"/>
        </w:rPr>
        <w:t>Reduction Shares</w:t>
      </w:r>
      <w:r>
        <w:rPr>
          <w:rFonts w:ascii="Times New Roman" w:cs="Times New Roman" w:eastAsia="Times New Roman" w:hAnsi="Times New Roman"/>
          <w:sz w:val="18"/>
          <w:szCs w:val="18"/>
          <w:color w:val="auto"/>
        </w:rPr>
        <w:t>”) and (ii) as soon as reasonably practicable, the Company shall return to the Holder any exercise price paid by the Holder for the Reduction Shares. In any case, the number of outstanding shares of Common Stock shall be determined after giving effect to the conversion or exercise of securities of the Company, including this Warrant, by the Holder and the Attribution Parties since the date as of which the Reported Outstanding Share Number was reported. In the event that the issuance of Common Stock to the Holder upon exercise of this Warrant results in the Holder, together with the Attribution Parties, being deemed to beneficially own, in the aggregate, more than the Maximum Percentage of the number of outstanding shares of Common Stock (as determined under Section 13(d) of the Exchange Act), the number of shares so issued by which the Holder’s, together with the Attribution Parties’, aggregate beneficial ownership exceeds the Maximum Percentage (the “</w:t>
      </w:r>
      <w:r>
        <w:rPr>
          <w:rFonts w:ascii="Times New Roman" w:cs="Times New Roman" w:eastAsia="Times New Roman" w:hAnsi="Times New Roman"/>
          <w:sz w:val="18"/>
          <w:szCs w:val="18"/>
          <w:b w:val="1"/>
          <w:bCs w:val="1"/>
          <w:color w:val="auto"/>
        </w:rPr>
        <w:t>Excess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shall be deemed null and void and shall be cancelled ab initio, and the Holder and/or the Attribution Parties shall not have the power to vote or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transfer the Excess Shares. As soon as reasonably practicable after the issuance of the Excess Shares has been deemed null and void, the Company shall return to the Holder the exercise price paid by the Holder for the Excess Shares. Any purported delivery of any number of shares of Common Stock or any other security upon exercise of Warrants shall be void and have no effect to the extent, but only to the extent, that before or after such delivery, the exercising Holder, together with the other Attribution Parties would have beneficial ownership in excess of the Beneficial Ownership Limitation. By written notice to the Company, a Holder of this Warrant may from time to time increase or decrease the Beneficial Ownership Limitation to any other percentage not in excess of 19.99% specified in such notice; provided that any increase in the Beneficial Ownership Limitation will not be effective until the 61st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873760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such notice is delivered to the Company and shall not negatively affect any partial exercise effected prior to such change.</w:t>
      </w:r>
    </w:p>
    <w:p>
      <w:pPr>
        <w:spacing w:after="0" w:line="225" w:lineRule="exact"/>
        <w:rPr>
          <w:sz w:val="20"/>
          <w:szCs w:val="20"/>
          <w:color w:val="auto"/>
        </w:rPr>
      </w:pPr>
    </w:p>
    <w:p>
      <w:pPr>
        <w:ind w:right="40" w:firstLine="891"/>
        <w:spacing w:after="0" w:line="254" w:lineRule="auto"/>
        <w:rPr>
          <w:sz w:val="20"/>
          <w:szCs w:val="20"/>
          <w:color w:val="auto"/>
        </w:rPr>
      </w:pPr>
      <w:r>
        <w:rPr>
          <w:rFonts w:ascii="Times New Roman" w:cs="Times New Roman" w:eastAsia="Times New Roman" w:hAnsi="Times New Roman"/>
          <w:sz w:val="18"/>
          <w:szCs w:val="18"/>
          <w:color w:val="auto"/>
        </w:rPr>
        <w:t>(b)  Notwithstanding anything to the contrary contained herein, if any exercise of this Warrant would result in the Holder, together with the other Attribution Parties, acquiring beneficial ownership of Warrant Shares (together with all other equity of the Company owned by the Holder at such time) with a value equal to or in excess of the notification threshold applicable to the Holder under the HSR Act as of the date of delivery of the applicable Exercise Notice (the “</w:t>
      </w:r>
      <w:r>
        <w:rPr>
          <w:rFonts w:ascii="Times New Roman" w:cs="Times New Roman" w:eastAsia="Times New Roman" w:hAnsi="Times New Roman"/>
          <w:sz w:val="18"/>
          <w:szCs w:val="18"/>
          <w:b w:val="1"/>
          <w:bCs w:val="1"/>
          <w:color w:val="auto"/>
        </w:rPr>
        <w:t>HSR Threshold</w:t>
      </w:r>
      <w:r>
        <w:rPr>
          <w:rFonts w:ascii="Times New Roman" w:cs="Times New Roman" w:eastAsia="Times New Roman" w:hAnsi="Times New Roman"/>
          <w:sz w:val="18"/>
          <w:szCs w:val="18"/>
          <w:color w:val="auto"/>
        </w:rPr>
        <w:t>”), and no exemption to filing a notice and report form under the HSR Act is applicable, then only such portion of this Warrant, which when exercised does not exceed the HSR Threshold, shall be exercisable and the applicable Exercise Notice shall be deemed to relate only to such portion of this Warrant, and the remaining portion of this Warrant in excess of the HSR Threshold shall not be exercisable until the expiration or early termination of the applicable waiting period under the HSR Act or receipt of applicable approval. Upon expiration or early termination of the applicable waiting period under the HSR Act or receipt of applicable approval, such Holder shall not be subject to the HSR Threshold, notwithstanding any other provision thereof.</w:t>
      </w:r>
    </w:p>
    <w:p>
      <w:pPr>
        <w:spacing w:after="0" w:line="188" w:lineRule="exact"/>
        <w:rPr>
          <w:sz w:val="20"/>
          <w:szCs w:val="20"/>
          <w:color w:val="auto"/>
        </w:rPr>
      </w:pPr>
    </w:p>
    <w:p>
      <w:pPr>
        <w:ind w:firstLine="899"/>
        <w:spacing w:after="0" w:line="253" w:lineRule="auto"/>
        <w:tabs>
          <w:tab w:leader="none" w:pos="1251"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shall not restrict the number of shares of Common Stock which a Holder or the Attribution Parties may receive or beneficially own in order to determine the amount of securities or other consideration that such Holder or the Attribution Parties may receive in the event of a Fundamental Transaction as contemplated in </w:t>
      </w:r>
      <w:r>
        <w:rPr>
          <w:rFonts w:ascii="Times New Roman" w:cs="Times New Roman" w:eastAsia="Times New Roman" w:hAnsi="Times New Roman"/>
          <w:sz w:val="18"/>
          <w:szCs w:val="18"/>
          <w:u w:val="single" w:color="auto"/>
          <w:color w:val="auto"/>
        </w:rPr>
        <w:t>Section 9(c)</w:t>
      </w:r>
      <w:r>
        <w:rPr>
          <w:rFonts w:ascii="Times New Roman" w:cs="Times New Roman" w:eastAsia="Times New Roman" w:hAnsi="Times New Roman"/>
          <w:sz w:val="18"/>
          <w:szCs w:val="18"/>
          <w:color w:val="auto"/>
        </w:rPr>
        <w:t xml:space="preserve"> of this Warrant. For purposes of clarity, the shares of Common Stock issuable pursuant to the terms of this Warrant in excess of the Beneficial Ownership Limitation shall not be deemed to be beneficially owned by the Holder or the Attribution Parties for any purpose including for purposes of Section 13(d) of the Exchange Act and the rules promulgated thereunder or Section 16 of the Exchange Act and the rules promulgated thereunder, including Rule 16a-1(a)(1). No prior inability to exercise this Warrant pursuant to this paragraph shall have any effect on the applicability of the provisions of this paragraph with respect to any subsequent determination of exercisability. The provisions of this paragraph shall be construed and implemented in a manner otherwise than in strict conformity with the terms of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to the extent necessary to correct this paragraph or any portion of this paragraph which may be defective or inconsistent with the intended beneficial ownership limitation contained in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or to make changes or supplements necessary or desirable to properly give effect to such limitation. The limitation contained in this paragraph may not be waived and shall apply to a successor holder of this Warrant.</w:t>
      </w:r>
    </w:p>
    <w:p>
      <w:pPr>
        <w:spacing w:after="0" w:line="188" w:lineRule="exact"/>
        <w:rPr>
          <w:sz w:val="20"/>
          <w:szCs w:val="20"/>
          <w:color w:val="auto"/>
        </w:rPr>
      </w:pPr>
    </w:p>
    <w:p>
      <w:pPr>
        <w:ind w:right="200" w:firstLine="509"/>
        <w:spacing w:after="0" w:line="268" w:lineRule="auto"/>
        <w:rPr>
          <w:sz w:val="20"/>
          <w:szCs w:val="20"/>
          <w:color w:val="auto"/>
        </w:rPr>
      </w:pPr>
      <w:r>
        <w:rPr>
          <w:rFonts w:ascii="Times New Roman" w:cs="Times New Roman" w:eastAsia="Times New Roman" w:hAnsi="Times New Roman"/>
          <w:sz w:val="18"/>
          <w:szCs w:val="18"/>
          <w:b w:val="1"/>
          <w:bCs w:val="1"/>
          <w:color w:val="auto"/>
        </w:rPr>
        <w:t>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No Fractional Shares</w:t>
      </w:r>
      <w:r>
        <w:rPr>
          <w:rFonts w:ascii="Times New Roman" w:cs="Times New Roman" w:eastAsia="Times New Roman" w:hAnsi="Times New Roman"/>
          <w:sz w:val="18"/>
          <w:szCs w:val="18"/>
          <w:color w:val="auto"/>
        </w:rPr>
        <w:t>. No fractional Warrant Shares will be issued in connection with any exercise of this Warrant. In lieu of any fractional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that would otherwise be issuable, the number of Warrant Shares to be issued shall be rounded down to the next whole number and the Company shall pay the Holder in cash the fair market value (based on the Closing Sale Price) for any such fractional shares.</w:t>
      </w:r>
    </w:p>
    <w:p>
      <w:pPr>
        <w:spacing w:after="0" w:line="171"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b w:val="1"/>
          <w:bCs w:val="1"/>
          <w:color w:val="auto"/>
        </w:rPr>
        <w:t>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 Any and all notices or other communications or deliveries hereunder (including, without limitation, any Exercise Notice) shall be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writing and shall be deemed given and effective on the earliest of (i) the date of transmission, if such notice or communication is delivered confirmed e-mail at the e-mail address specified by the Company prior to 5:30 P.M., New York City time, on a Trading Day, (ii) the next Trading Day after the date of transmission, if such notice or communication is delivered via confirmed e-mail at the e-mail address specified by the Company on a day that is not a Trading Day or later than 5:30 P.M., New York City time, on any Trading Day, (iii) the Trading Day following the date of mailing, if sent by nationally recognized overnight courier service specifying next business day delivery, or (iv) upon actual receipt by the Person to whom such notice is required to be given, if by hand delivery.</w:t>
      </w:r>
    </w:p>
    <w:p>
      <w:pPr>
        <w:spacing w:after="0" w:line="183" w:lineRule="exact"/>
        <w:rPr>
          <w:sz w:val="20"/>
          <w:szCs w:val="20"/>
          <w:color w:val="auto"/>
        </w:rPr>
      </w:pPr>
    </w:p>
    <w:p>
      <w:pPr>
        <w:ind w:right="180" w:firstLine="509"/>
        <w:spacing w:after="0" w:line="257" w:lineRule="auto"/>
        <w:rPr>
          <w:sz w:val="20"/>
          <w:szCs w:val="20"/>
          <w:color w:val="auto"/>
        </w:rPr>
      </w:pPr>
      <w:r>
        <w:rPr>
          <w:rFonts w:ascii="Times New Roman" w:cs="Times New Roman" w:eastAsia="Times New Roman" w:hAnsi="Times New Roman"/>
          <w:sz w:val="18"/>
          <w:szCs w:val="18"/>
          <w:b w:val="1"/>
          <w:bCs w:val="1"/>
          <w:color w:val="auto"/>
        </w:rPr>
        <w:t>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Warrant Agent</w:t>
      </w:r>
      <w:r>
        <w:rPr>
          <w:rFonts w:ascii="Times New Roman" w:cs="Times New Roman" w:eastAsia="Times New Roman" w:hAnsi="Times New Roman"/>
          <w:sz w:val="18"/>
          <w:szCs w:val="18"/>
          <w:color w:val="auto"/>
        </w:rPr>
        <w:t>. The Company shall initially serve as warrant agent under this Warrant. Upon 30 days’ notice to the Holder,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appoint a new warrant agent. Any corporation into which the Company or any new warrant agent may be merged or any corporation resulting from any consolidation to which the Company or any new warrant agent shall be a party or any corporation to which the Company or any new warrant agent transfers substantially all of its corporate trust or shareholders services business shall be a successor warrant agent under this Warrant without any further act. Any such successor warrant agent shall promptly cause notice of its succession as warrant agent to be mailed (by first class mail, postage prepaid) to the Holder at the Holder’s last address as shown on the Warrant Register.</w:t>
      </w:r>
    </w:p>
    <w:p>
      <w:pPr>
        <w:spacing w:after="0" w:line="1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Miscellaneous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898525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line="194" w:lineRule="exact"/>
        <w:rPr>
          <w:sz w:val="20"/>
          <w:szCs w:val="20"/>
          <w:color w:val="auto"/>
        </w:rPr>
      </w:pPr>
    </w:p>
    <w:p>
      <w:pPr>
        <w:ind w:right="140" w:firstLine="891"/>
        <w:spacing w:after="0" w:line="258"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No Rights as a Stockholder</w:t>
      </w:r>
      <w:r>
        <w:rPr>
          <w:rFonts w:ascii="Times New Roman" w:cs="Times New Roman" w:eastAsia="Times New Roman" w:hAnsi="Times New Roman"/>
          <w:sz w:val="18"/>
          <w:szCs w:val="18"/>
          <w:color w:val="auto"/>
        </w:rPr>
        <w:t>. Except as otherwise set forth in this Warrant, the Holder, solely in such Person’s capacity as a holder of this Warrant, shall not be entitled to vote or receive dividends or be deemed the holder of share capital of the Company for any purpose, nor shall anything contained in this Warrant be construed to confer upon the Holder, solely in such Person’s capacity as the Holder of this Warrant, any of the rights of a stockholder of the Company or any right to vote, give or withhold consent to any corporate action (whether any reorganization, issue of stock, reclassification of stock, consolidation, merger, amalgamation, conveyance or otherwise), receive notice of meetings, receive dividends or subscription rights, or otherwise, prior to the issuance to the Holder of the Warrant Shares which such Person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w:t>
      </w:r>
    </w:p>
    <w:p>
      <w:pPr>
        <w:spacing w:after="0" w:line="211" w:lineRule="exact"/>
        <w:rPr>
          <w:sz w:val="20"/>
          <w:szCs w:val="20"/>
          <w:color w:val="auto"/>
        </w:rPr>
      </w:pPr>
    </w:p>
    <w:p>
      <w:pPr>
        <w:ind w:firstLine="891"/>
        <w:spacing w:after="0" w:line="253"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Except and to the extent as waived or consented to by the Holder, the Company shall not by any action, including, without limitation, amending its certificate or articles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(a) not increase the par value of any Warrant Shares above the amount payable therefor upon such exercise immediately prior to such increase in par value, (b) take all such action as may be necessary or appropriate in order that the Company may validly and legally issue fully paid and non-assessable Warrant Shares upon the exercise of this Warrant, and (c) use commercially reasonable efforts to obtain all such authorizations, exemptions or consents from any public regulatory body having jurisdiction thereof as may be necessary to enable the Company to perform its obligations under this Warrant. 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192" w:lineRule="exact"/>
        <w:rPr>
          <w:sz w:val="20"/>
          <w:szCs w:val="20"/>
          <w:color w:val="auto"/>
        </w:rPr>
      </w:pPr>
    </w:p>
    <w:p>
      <w:pPr>
        <w:ind w:right="20" w:firstLine="891"/>
        <w:spacing w:after="0" w:line="258"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Subject to compliance with applicable securities laws, this Warrant may be assigned by the Holder. This Warrant may not be assigned by the Company without the written consent of the Holder, except to a successor in the event of a Fundamental Transaction. This Warrant shall be binding on and inure to the benefit of the Company and the Holder and their respective successors and assigns. Subject to the preceding sentence, nothing in this Warrant shall be construed to give to any Person other than the Company and the Holder any legal or equitable right, remedy or cause of action under this Warrant.</w:t>
      </w:r>
    </w:p>
    <w:p>
      <w:pPr>
        <w:spacing w:after="0" w:line="183" w:lineRule="exact"/>
        <w:rPr>
          <w:sz w:val="20"/>
          <w:szCs w:val="20"/>
          <w:color w:val="auto"/>
        </w:rPr>
      </w:pPr>
    </w:p>
    <w:p>
      <w:pPr>
        <w:ind w:right="140" w:firstLine="891"/>
        <w:spacing w:after="0" w:line="266"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Restrictions. The Holder acknowledges that the Warrant Shares acquired upon the exercise of this Warrant, if not registered and if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Holder does not utilize cashless exercise after expiration of the Rule 144 holding period, will contain a legend to the effect that the Warrant Shares are not registered.</w:t>
      </w:r>
    </w:p>
    <w:p>
      <w:pPr>
        <w:spacing w:after="0" w:line="176" w:lineRule="exact"/>
        <w:rPr>
          <w:sz w:val="20"/>
          <w:szCs w:val="20"/>
          <w:color w:val="auto"/>
        </w:rPr>
      </w:pPr>
    </w:p>
    <w:p>
      <w:pPr>
        <w:ind w:right="200" w:firstLine="899"/>
        <w:spacing w:after="0" w:line="266" w:lineRule="auto"/>
        <w:tabs>
          <w:tab w:leader="none" w:pos="1251"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and Waiver</w:t>
      </w:r>
      <w:r>
        <w:rPr>
          <w:rFonts w:ascii="Times New Roman" w:cs="Times New Roman" w:eastAsia="Times New Roman" w:hAnsi="Times New Roman"/>
          <w:sz w:val="18"/>
          <w:szCs w:val="18"/>
          <w:color w:val="auto"/>
        </w:rPr>
        <w:t>. This Warrant may be amended only in writing signed by the Company and the Holder, or their successors and assigns. Except as otherwise provided herein, the Company may take any action herein prohibited, or omit to perform any act herein required to be performed by it, only if the Company has obtained the written consent of the Holder.</w:t>
      </w:r>
    </w:p>
    <w:p>
      <w:pPr>
        <w:spacing w:after="0" w:line="176" w:lineRule="exact"/>
        <w:rPr>
          <w:sz w:val="20"/>
          <w:szCs w:val="20"/>
          <w:color w:val="auto"/>
        </w:rPr>
      </w:pPr>
    </w:p>
    <w:p>
      <w:pPr>
        <w:ind w:right="660" w:firstLine="891"/>
        <w:spacing w:after="0" w:line="282"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u w:val="single" w:color="auto"/>
          <w:color w:val="auto"/>
        </w:rPr>
        <w:t>Acceptance</w:t>
      </w:r>
      <w:r>
        <w:rPr>
          <w:rFonts w:ascii="Times New Roman" w:cs="Times New Roman" w:eastAsia="Times New Roman" w:hAnsi="Times New Roman"/>
          <w:sz w:val="18"/>
          <w:szCs w:val="18"/>
          <w:color w:val="auto"/>
        </w:rPr>
        <w:t>. Receipt of this Warrant by the Holder shall constitute acceptance of and agreement to all of the terms and conditions contained herein.</w:t>
      </w:r>
    </w:p>
    <w:p>
      <w:pPr>
        <w:spacing w:after="0" w:line="162" w:lineRule="exact"/>
        <w:rPr>
          <w:sz w:val="20"/>
          <w:szCs w:val="20"/>
          <w:color w:val="auto"/>
        </w:rPr>
      </w:pPr>
    </w:p>
    <w:p>
      <w:pPr>
        <w:ind w:right="100" w:firstLine="891"/>
        <w:spacing w:after="0" w:line="256" w:lineRule="auto"/>
        <w:rPr>
          <w:sz w:val="20"/>
          <w:szCs w:val="20"/>
          <w:color w:val="auto"/>
        </w:rPr>
      </w:pP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u w:val="single" w:color="auto"/>
          <w:color w:val="auto"/>
        </w:rPr>
        <w:t>Governing Law; Jurisdiction</w:t>
      </w:r>
      <w:r>
        <w:rPr>
          <w:rFonts w:ascii="Times New Roman" w:cs="Times New Roman" w:eastAsia="Times New Roman" w:hAnsi="Times New Roman"/>
          <w:sz w:val="18"/>
          <w:szCs w:val="18"/>
          <w:color w:val="auto"/>
        </w:rPr>
        <w:t>. ALL QUESTIONS CONCERNING THE CONSTRUCTION, VALIDITY, ENFORCEMENT AND INTERPRETATION OF THIS WARRANT SHALL BE GOVERNED BY AND CONSTRUED AND ENFORCED IN ACCORDANCE WITH THE LAWS OF THE STATE OF NEW YORK WITHOUT REGARD TO THE PRINCIPLES OF CONFLICTS OF LAW THEREOF. EACH OF THE COMPANY AND THE HOLDER HEREBY IRREVOCABLY SUBMITS TO THE EXCLUSIVE JURISDICTION OF THE STATE AND FEDERAL COURTS SITTING IN THE CITY OF NEW YORK, BOROUGH OF MANHATTAN, FOR THE ADJUDICATION OF ANY DISPUTE HEREUNDER OR IN CONNECTION HEREWITH OR WITH ANY TRANSACTION CONTEMPLATED HEREBY OR DISCUSSED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872490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spacing w:after="0" w:line="19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(INCLUDING WITH RESPECT TO THE ENFORCEMENT OF ANY OF THE TRANSACTION DOCUMENTS), AND HEREBY IRREVOCABLY WAIVES, AND AGREES NOT TO ASSERT IN ANY SUIT, ACTION OR PROCEEDING, ANY CLAIM THAT IT IS NOT PERSONALLY SUBJECT TO THE JURISDICTION OF ANY SUCH COURT. EACH OF THE COMPANY AND THE HOLDER HEREBY IRREVOCABLY WAIVES PERSONAL SERVICE OF PROCESS AND CONSENTS TO PROCESS BEING SERVED IN ANY SUCH SUIT, ACTION OR PROCEEDING BY MAILING A COPY THEREOF VIA REGISTERED OR CERTIFIED MAIL OR OVERNIGHT DELIVERY (WITH EVIDENCE OF DELIVERY) TO SUCH PERSON AT THE ADDRESS IN EFFECT FOR NOTICES TO IT AND AGREES THAT SUCH SERVICE SHALL CONSTITUTE GOOD AND SUFFICIENT SERVICE OF PROCESS AND NOTICE THEREOF. NOTHING CONTAINED HEREIN SHALL BE DEEMED TO LIMIT IN ANY WAY ANY RIGHT TO SERVE PROCESS IN ANY MANNER PERMITTED BY LAW. EACH OF THE COMPANY AND THE HOLDER HEREBY WAIVES ALL RIGHTS TO A TRIAL BY JURY.</w:t>
      </w:r>
    </w:p>
    <w:p>
      <w:pPr>
        <w:spacing w:after="0" w:line="188" w:lineRule="exact"/>
        <w:rPr>
          <w:sz w:val="20"/>
          <w:szCs w:val="20"/>
          <w:color w:val="auto"/>
        </w:rPr>
      </w:pPr>
    </w:p>
    <w:p>
      <w:pPr>
        <w:ind w:firstLine="891"/>
        <w:spacing w:after="0" w:line="282" w:lineRule="auto"/>
        <w:rPr>
          <w:sz w:val="20"/>
          <w:szCs w:val="20"/>
          <w:color w:val="auto"/>
        </w:rPr>
      </w:pPr>
      <w:r>
        <w:rPr>
          <w:rFonts w:ascii="Times New Roman" w:cs="Times New Roman" w:eastAsia="Times New Roman" w:hAnsi="Times New Roman"/>
          <w:sz w:val="18"/>
          <w:szCs w:val="18"/>
          <w:color w:val="auto"/>
        </w:rPr>
        <w:t xml:space="preserve">(h)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herein are for convenience only, do not constitute a part of this Warrant and shall not be deemed to limit or affect any of the provisions hereof.</w:t>
      </w:r>
    </w:p>
    <w:p>
      <w:pPr>
        <w:spacing w:after="0" w:line="162" w:lineRule="exact"/>
        <w:rPr>
          <w:sz w:val="20"/>
          <w:szCs w:val="20"/>
          <w:color w:val="auto"/>
        </w:rPr>
      </w:pPr>
    </w:p>
    <w:p>
      <w:pPr>
        <w:ind w:right="320" w:firstLine="891"/>
        <w:spacing w:after="0" w:line="261" w:lineRule="auto"/>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part or provision of this Warrant is held unenforceable or in conflict with the applicable laws or regulations of any jurisdiction, the invalid or unenforceable part or provisions shall be replaced with a provision which accomplishes, to the extent possible, the original business purpose of such part or provision in a valid and enforceable manner, and the remainder of this Warrant shall remain binding upon the parties hereto.</w:t>
      </w:r>
    </w:p>
    <w:p>
      <w:pPr>
        <w:spacing w:after="0" w:line="3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898525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4" w:name="page65"/>
    <w:bookmarkEnd w:id="64"/>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WITNESS WHEREOF, the Company has caused this Warrant to be duly executed by its authorized officer as of the date first indicated above.</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FULCRUM THERAPEUTICS, INC.</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2782570</wp:posOffset>
            </wp:positionH>
            <wp:positionV relativeFrom="paragraph">
              <wp:posOffset>17145</wp:posOffset>
            </wp:positionV>
            <wp:extent cx="435483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354830" cy="8255"/>
                    </a:xfrm>
                    <a:prstGeom prst="rect">
                      <a:avLst/>
                    </a:prstGeom>
                    <a:noFill/>
                  </pic:spPr>
                </pic:pic>
              </a:graphicData>
            </a:graphic>
          </wp:anchor>
        </w:drawing>
      </w:r>
    </w:p>
    <w:p>
      <w:pPr>
        <w:spacing w:after="0" w:line="16"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20"/>
          </w:cols>
          <w:pgMar w:left="320" w:top="1440" w:right="1059" w:bottom="1440" w:gutter="0" w:footer="0" w:header="0"/>
        </w:sectPr>
      </w:pPr>
    </w:p>
    <w:bookmarkStart w:id="65" w:name="page66"/>
    <w:bookmarkEnd w:id="65"/>
    <w:p>
      <w:pPr>
        <w:spacing w:after="0" w:line="200" w:lineRule="exact"/>
        <w:rPr>
          <w:sz w:val="20"/>
          <w:szCs w:val="20"/>
          <w:color w:val="auto"/>
        </w:rPr>
      </w:pPr>
    </w:p>
    <w:p>
      <w:pPr>
        <w:spacing w:after="0" w:line="2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SCHEDULE 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FORM OF EXERCISE NOTICE</w:t>
      </w:r>
    </w:p>
    <w:p>
      <w:pPr>
        <w:spacing w:after="0" w:line="2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[To be executed by the Holder to purchase shares of Common Stock under the Warrant]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1092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auto"/>
              </w:rPr>
              <w:t>The undersigned is the Holder of Warrant No.   (the “Warrant”) issued by Fulcrum Therapeutics, Inc., a Delaware corporation (the “Company”).</w:t>
            </w:r>
          </w:p>
        </w:tc>
      </w:tr>
      <w:tr>
        <w:trPr>
          <w:trHeight w:val="20"/>
        </w:trPr>
        <w:tc>
          <w:tcPr>
            <w:tcW w:w="27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r>
      <w:tr>
        <w:trPr>
          <w:trHeight w:val="237"/>
        </w:trPr>
        <w:tc>
          <w:tcPr>
            <w:tcW w:w="111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Capitalized terms used herein and not otherwise defined herein have the respective meanings set forth in the Warrant.</w:t>
            </w:r>
          </w:p>
        </w:tc>
      </w:tr>
      <w:tr>
        <w:trPr>
          <w:trHeight w:val="392"/>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1092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auto"/>
              </w:rPr>
              <w:t>The undersigned hereby exercises its right to purchase          Warrant Shares pursuant to the Warrant.</w:t>
            </w:r>
          </w:p>
        </w:tc>
      </w:tr>
      <w:tr>
        <w:trPr>
          <w:trHeight w:val="20"/>
        </w:trPr>
        <w:tc>
          <w:tcPr>
            <w:tcW w:w="2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r>
      <w:tr>
        <w:trPr>
          <w:trHeight w:val="453"/>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1092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auto"/>
              </w:rPr>
              <w:t>The Holder intends that payment of the Exercise Price shall be made as (check one):</w:t>
            </w:r>
          </w:p>
        </w:tc>
      </w:tr>
      <w:tr>
        <w:trPr>
          <w:trHeight w:val="460"/>
        </w:trPr>
        <w:tc>
          <w:tcPr>
            <w:tcW w:w="240" w:type="dxa"/>
            <w:vAlign w:val="bottom"/>
          </w:tcPr>
          <w:p>
            <w:pPr>
              <w:spacing w:after="0"/>
              <w:rPr>
                <w:sz w:val="24"/>
                <w:szCs w:val="24"/>
                <w:color w:val="auto"/>
              </w:rPr>
            </w:pPr>
          </w:p>
        </w:tc>
        <w:tc>
          <w:tcPr>
            <w:tcW w:w="10920" w:type="dxa"/>
            <w:vAlign w:val="bottom"/>
            <w:gridSpan w:val="9"/>
          </w:tcPr>
          <w:p>
            <w:pPr>
              <w:ind w:left="14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Cash Exercise</w:t>
            </w:r>
          </w:p>
        </w:tc>
      </w:tr>
      <w:tr>
        <w:trPr>
          <w:trHeight w:val="363"/>
        </w:trPr>
        <w:tc>
          <w:tcPr>
            <w:tcW w:w="240" w:type="dxa"/>
            <w:vAlign w:val="bottom"/>
          </w:tcPr>
          <w:p>
            <w:pPr>
              <w:spacing w:after="0"/>
              <w:rPr>
                <w:sz w:val="24"/>
                <w:szCs w:val="24"/>
                <w:color w:val="auto"/>
              </w:rPr>
            </w:pPr>
          </w:p>
        </w:tc>
        <w:tc>
          <w:tcPr>
            <w:tcW w:w="10920" w:type="dxa"/>
            <w:vAlign w:val="bottom"/>
            <w:gridSpan w:val="9"/>
          </w:tcPr>
          <w:p>
            <w:pPr>
              <w:ind w:left="14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“Cashless Exercise” under Section 10 of the Warrant</w:t>
            </w:r>
          </w:p>
        </w:tc>
      </w:tr>
      <w:tr>
        <w:trPr>
          <w:trHeight w:val="20"/>
        </w:trPr>
        <w:tc>
          <w:tcPr>
            <w:tcW w:w="2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60" w:type="dxa"/>
            <w:vAlign w:val="bottom"/>
            <w:gridSpan w:val="5"/>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r>
      <w:tr>
        <w:trPr>
          <w:trHeight w:val="412"/>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1092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auto"/>
              </w:rPr>
              <w:t>If the Holder has elected a Cash Exercise, the Holder shall pay the sum of $          in immediately available funds to the Company in accordance with</w:t>
            </w:r>
          </w:p>
        </w:tc>
      </w:tr>
      <w:tr>
        <w:trPr>
          <w:trHeight w:val="20"/>
        </w:trPr>
        <w:tc>
          <w:tcPr>
            <w:tcW w:w="2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r>
    </w:tbl>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terms of the Warrant.</w:t>
      </w:r>
    </w:p>
    <w:p>
      <w:pPr>
        <w:spacing w:after="0" w:line="225" w:lineRule="exact"/>
        <w:rPr>
          <w:sz w:val="20"/>
          <w:szCs w:val="20"/>
          <w:color w:val="auto"/>
        </w:rPr>
      </w:pPr>
    </w:p>
    <w:p>
      <w:pPr>
        <w:ind w:right="100" w:firstLine="8"/>
        <w:spacing w:after="0" w:line="282" w:lineRule="auto"/>
        <w:tabs>
          <w:tab w:leader="none" w:pos="25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this Exercise Notice, the Company shall deliver to the Holder Warrant Shares determined in accordance with the terms of the Warrant. The Warrant Shares shall be delivered (check one):</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Pr>
          <w:p>
            <w:pPr>
              <w:ind w:left="38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p>
        </w:tc>
        <w:tc>
          <w:tcPr>
            <w:tcW w:w="32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w w:val="96"/>
              </w:rPr>
              <w:t>to the following DWAC Account Number: </w:t>
            </w:r>
          </w:p>
        </w:tc>
        <w:tc>
          <w:tcPr>
            <w:tcW w:w="260" w:type="dxa"/>
            <w:vAlign w:val="bottom"/>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436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0"/>
        </w:trPr>
        <w:tc>
          <w:tcPr>
            <w:tcW w:w="36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gridSpan w:val="3"/>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480"/>
        </w:trPr>
        <w:tc>
          <w:tcPr>
            <w:tcW w:w="4480" w:type="dxa"/>
            <w:vAlign w:val="bottom"/>
            <w:gridSpan w:val="6"/>
          </w:tcPr>
          <w:p>
            <w:pPr>
              <w:ind w:left="38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 book-entry form via a direct registration system</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364"/>
        </w:trPr>
        <w:tc>
          <w:tcPr>
            <w:tcW w:w="680" w:type="dxa"/>
            <w:vAlign w:val="bottom"/>
          </w:tcPr>
          <w:p>
            <w:pPr>
              <w:ind w:left="38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p>
        </w:tc>
        <w:tc>
          <w:tcPr>
            <w:tcW w:w="32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 xml:space="preserve">by physical delivery of a certificate to:     </w:t>
            </w:r>
          </w:p>
        </w:tc>
        <w:tc>
          <w:tcPr>
            <w:tcW w:w="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xml:space="preserve">    </w:t>
            </w:r>
          </w:p>
        </w:tc>
        <w:tc>
          <w:tcPr>
            <w:tcW w:w="280" w:type="dxa"/>
            <w:vAlign w:val="bottom"/>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43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425"/>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29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352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88"/>
              </w:rPr>
              <w:t> </w:t>
            </w:r>
          </w:p>
        </w:tc>
      </w:tr>
      <w:tr>
        <w:trPr>
          <w:trHeight w:val="196"/>
        </w:trPr>
        <w:tc>
          <w:tcPr>
            <w:tcW w:w="68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Borders>
              <w:bottom w:val="single" w:sz="8" w:color="auto"/>
            </w:tcBorders>
          </w:tcPr>
          <w:p>
            <w:pPr>
              <w:ind w:left="60"/>
              <w:spacing w:after="0" w:line="196" w:lineRule="exact"/>
              <w:rPr>
                <w:sz w:val="20"/>
                <w:szCs w:val="20"/>
                <w:color w:val="auto"/>
              </w:rPr>
            </w:pPr>
            <w:r>
              <w:rPr>
                <w:rFonts w:ascii="Times New Roman" w:cs="Times New Roman" w:eastAsia="Times New Roman" w:hAnsi="Times New Roman"/>
                <w:sz w:val="18"/>
                <w:szCs w:val="18"/>
                <w:color w:val="auto"/>
                <w:w w:val="88"/>
              </w:rPr>
              <w:t> </w:t>
            </w:r>
          </w:p>
        </w:tc>
      </w:tr>
      <w:tr>
        <w:trPr>
          <w:trHeight w:val="196"/>
        </w:trPr>
        <w:tc>
          <w:tcPr>
            <w:tcW w:w="68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Borders>
              <w:bottom w:val="single" w:sz="8" w:color="auto"/>
            </w:tcBorders>
          </w:tcPr>
          <w:p>
            <w:pPr>
              <w:ind w:left="60"/>
              <w:spacing w:after="0" w:line="196" w:lineRule="exact"/>
              <w:rPr>
                <w:sz w:val="20"/>
                <w:szCs w:val="20"/>
                <w:color w:val="auto"/>
              </w:rPr>
            </w:pPr>
            <w:r>
              <w:rPr>
                <w:rFonts w:ascii="Times New Roman" w:cs="Times New Roman" w:eastAsia="Times New Roman" w:hAnsi="Times New Roman"/>
                <w:sz w:val="18"/>
                <w:szCs w:val="18"/>
                <w:color w:val="auto"/>
                <w:w w:val="88"/>
              </w:rPr>
              <w:t> </w:t>
            </w:r>
          </w:p>
        </w:tc>
      </w:tr>
      <w:tr>
        <w:trPr>
          <w:trHeight w:val="196"/>
        </w:trPr>
        <w:tc>
          <w:tcPr>
            <w:tcW w:w="68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Borders>
              <w:bottom w:val="single" w:sz="8" w:color="auto"/>
            </w:tcBorders>
          </w:tcPr>
          <w:p>
            <w:pPr>
              <w:ind w:left="60"/>
              <w:spacing w:after="0" w:line="196" w:lineRule="exact"/>
              <w:rPr>
                <w:sz w:val="20"/>
                <w:szCs w:val="20"/>
                <w:color w:val="auto"/>
              </w:rPr>
            </w:pPr>
            <w:r>
              <w:rPr>
                <w:rFonts w:ascii="Times New Roman" w:cs="Times New Roman" w:eastAsia="Times New Roman" w:hAnsi="Times New Roman"/>
                <w:sz w:val="18"/>
                <w:szCs w:val="18"/>
                <w:color w:val="auto"/>
                <w:w w:val="88"/>
              </w:rPr>
              <w:t> </w:t>
            </w:r>
          </w:p>
        </w:tc>
      </w:tr>
      <w:tr>
        <w:trPr>
          <w:trHeight w:val="196"/>
        </w:trPr>
        <w:tc>
          <w:tcPr>
            <w:tcW w:w="68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Borders>
              <w:bottom w:val="single" w:sz="8" w:color="auto"/>
            </w:tcBorders>
          </w:tcPr>
          <w:p>
            <w:pPr>
              <w:ind w:left="60"/>
              <w:spacing w:after="0" w:line="196" w:lineRule="exact"/>
              <w:rPr>
                <w:sz w:val="20"/>
                <w:szCs w:val="20"/>
                <w:color w:val="auto"/>
              </w:rPr>
            </w:pPr>
            <w:r>
              <w:rPr>
                <w:rFonts w:ascii="Times New Roman" w:cs="Times New Roman" w:eastAsia="Times New Roman" w:hAnsi="Times New Roman"/>
                <w:sz w:val="18"/>
                <w:szCs w:val="18"/>
                <w:color w:val="auto"/>
                <w:w w:val="88"/>
              </w:rPr>
              <w:t> </w:t>
            </w:r>
          </w:p>
        </w:tc>
      </w:tr>
      <w:tr>
        <w:trPr>
          <w:trHeight w:val="196"/>
        </w:trPr>
        <w:tc>
          <w:tcPr>
            <w:tcW w:w="68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Borders>
              <w:bottom w:val="single" w:sz="8" w:color="auto"/>
            </w:tcBorders>
          </w:tcPr>
          <w:p>
            <w:pPr>
              <w:ind w:left="60"/>
              <w:spacing w:after="0" w:line="196" w:lineRule="exact"/>
              <w:rPr>
                <w:sz w:val="20"/>
                <w:szCs w:val="20"/>
                <w:color w:val="auto"/>
              </w:rPr>
            </w:pPr>
            <w:r>
              <w:rPr>
                <w:rFonts w:ascii="Times New Roman" w:cs="Times New Roman" w:eastAsia="Times New Roman" w:hAnsi="Times New Roman"/>
                <w:sz w:val="18"/>
                <w:szCs w:val="18"/>
                <w:color w:val="auto"/>
                <w:w w:val="88"/>
              </w:rPr>
              <w:t> </w:t>
            </w:r>
          </w:p>
        </w:tc>
      </w:tr>
    </w:tbl>
    <w:p>
      <w:pPr>
        <w:spacing w:after="0" w:line="184" w:lineRule="exact"/>
        <w:rPr>
          <w:sz w:val="20"/>
          <w:szCs w:val="20"/>
          <w:color w:val="auto"/>
        </w:rPr>
      </w:pPr>
    </w:p>
    <w:p>
      <w:pPr>
        <w:ind w:left="380"/>
        <w:spacing w:after="0" w:line="207" w:lineRule="exact"/>
        <w:tabs>
          <w:tab w:leader="none" w:pos="76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tab/>
        <w:t>in restricted book-entry form in the Company’s share register</w:t>
      </w:r>
    </w:p>
    <w:p>
      <w:pPr>
        <w:spacing w:after="0" w:line="266" w:lineRule="exact"/>
        <w:rPr>
          <w:sz w:val="20"/>
          <w:szCs w:val="20"/>
          <w:color w:val="auto"/>
        </w:rPr>
      </w:pPr>
    </w:p>
    <w:p>
      <w:pPr>
        <w:ind w:right="80" w:firstLine="8"/>
        <w:spacing w:after="0" w:line="261" w:lineRule="auto"/>
        <w:tabs>
          <w:tab w:leader="none" w:pos="2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its delivery of this Exercise Notice, the undersigned represents and warrants to the Company that in giving effect to the exercise evidenced hereby the Holder (i) the Holder is an “accredited investor” as defined in Regulation D promulgated under the Securities Act of 1933, as amended and (ii) will not beneficially own in excess of the number of shares of Common Stock (as determined in accordance with Section 13(d) of the Securities Exchange Act of 1934, as amended) permitted to be owned under </w:t>
      </w:r>
      <w:r>
        <w:rPr>
          <w:rFonts w:ascii="Times New Roman" w:cs="Times New Roman" w:eastAsia="Times New Roman" w:hAnsi="Times New Roman"/>
          <w:sz w:val="18"/>
          <w:szCs w:val="18"/>
          <w:u w:val="single" w:color="auto"/>
          <w:color w:val="auto"/>
        </w:rPr>
        <w:t>Section 11(a)</w:t>
      </w:r>
      <w:r>
        <w:rPr>
          <w:rFonts w:ascii="Times New Roman" w:cs="Times New Roman" w:eastAsia="Times New Roman" w:hAnsi="Times New Roman"/>
          <w:sz w:val="18"/>
          <w:szCs w:val="18"/>
          <w:color w:val="auto"/>
        </w:rPr>
        <w:t xml:space="preserve"> of the Warrant to which this notice relates.</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06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 </w:t>
            </w:r>
          </w:p>
        </w:tc>
      </w:tr>
      <w:tr>
        <w:trPr>
          <w:trHeight w:val="196"/>
        </w:trPr>
        <w:tc>
          <w:tcPr>
            <w:tcW w:w="11060" w:type="dxa"/>
            <w:vAlign w:val="bottom"/>
          </w:tcPr>
          <w:p>
            <w:pPr>
              <w:spacing w:after="0"/>
              <w:rPr>
                <w:sz w:val="17"/>
                <w:szCs w:val="17"/>
                <w:color w:val="auto"/>
              </w:rPr>
            </w:pPr>
          </w:p>
        </w:tc>
        <w:tc>
          <w:tcPr>
            <w:tcW w:w="18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w w:val="88"/>
              </w:rPr>
              <w:t> </w:t>
            </w:r>
          </w:p>
        </w:tc>
      </w:tr>
      <w:tr>
        <w:trPr>
          <w:trHeight w:val="196"/>
        </w:trPr>
        <w:tc>
          <w:tcPr>
            <w:tcW w:w="11060" w:type="dxa"/>
            <w:vAlign w:val="bottom"/>
          </w:tcPr>
          <w:p>
            <w:pPr>
              <w:spacing w:after="0"/>
              <w:rPr>
                <w:sz w:val="17"/>
                <w:szCs w:val="17"/>
                <w:color w:val="auto"/>
              </w:rPr>
            </w:pPr>
          </w:p>
        </w:tc>
        <w:tc>
          <w:tcPr>
            <w:tcW w:w="18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w w:val="88"/>
              </w:rPr>
              <w:t> </w:t>
            </w:r>
          </w:p>
        </w:tc>
      </w:tr>
      <w:tr>
        <w:trPr>
          <w:trHeight w:val="196"/>
        </w:trPr>
        <w:tc>
          <w:tcPr>
            <w:tcW w:w="11060" w:type="dxa"/>
            <w:vAlign w:val="bottom"/>
          </w:tcPr>
          <w:p>
            <w:pPr>
              <w:spacing w:after="0"/>
              <w:rPr>
                <w:sz w:val="17"/>
                <w:szCs w:val="17"/>
                <w:color w:val="auto"/>
              </w:rPr>
            </w:pPr>
          </w:p>
        </w:tc>
        <w:tc>
          <w:tcPr>
            <w:tcW w:w="18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w w:val="88"/>
              </w:rPr>
              <w:t> </w:t>
            </w:r>
          </w:p>
        </w:tc>
      </w:tr>
      <w:tr>
        <w:trPr>
          <w:trHeight w:val="304"/>
        </w:trPr>
        <w:tc>
          <w:tcPr>
            <w:tcW w:w="11060" w:type="dxa"/>
            <w:vAlign w:val="bottom"/>
          </w:tcPr>
          <w:p>
            <w:pPr>
              <w:spacing w:after="0"/>
              <w:rPr>
                <w:sz w:val="20"/>
                <w:szCs w:val="20"/>
                <w:color w:val="auto"/>
              </w:rPr>
            </w:pPr>
            <w:r>
              <w:rPr>
                <w:rFonts w:ascii="Times New Roman" w:cs="Times New Roman" w:eastAsia="Times New Roman" w:hAnsi="Times New Roman"/>
                <w:sz w:val="18"/>
                <w:szCs w:val="18"/>
                <w:color w:val="auto"/>
              </w:rPr>
              <w:t>Name of Holder:</w:t>
            </w: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 </w:t>
            </w:r>
          </w:p>
        </w:tc>
      </w:tr>
      <w:tr>
        <w:trPr>
          <w:trHeight w:val="196"/>
        </w:trPr>
        <w:tc>
          <w:tcPr>
            <w:tcW w:w="11060" w:type="dxa"/>
            <w:vAlign w:val="bottom"/>
          </w:tcPr>
          <w:p>
            <w:pPr>
              <w:spacing w:after="0"/>
              <w:rPr>
                <w:sz w:val="17"/>
                <w:szCs w:val="17"/>
                <w:color w:val="auto"/>
              </w:rPr>
            </w:pPr>
          </w:p>
        </w:tc>
        <w:tc>
          <w:tcPr>
            <w:tcW w:w="18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w w:val="88"/>
              </w:rPr>
              <w:t> </w:t>
            </w:r>
          </w:p>
        </w:tc>
      </w:tr>
      <w:tr>
        <w:trPr>
          <w:trHeight w:val="196"/>
        </w:trPr>
        <w:tc>
          <w:tcPr>
            <w:tcW w:w="11060" w:type="dxa"/>
            <w:vAlign w:val="bottom"/>
          </w:tcPr>
          <w:p>
            <w:pPr>
              <w:spacing w:after="0"/>
              <w:rPr>
                <w:sz w:val="17"/>
                <w:szCs w:val="17"/>
                <w:color w:val="auto"/>
              </w:rPr>
            </w:pPr>
          </w:p>
        </w:tc>
        <w:tc>
          <w:tcPr>
            <w:tcW w:w="18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w w:val="88"/>
              </w:rPr>
              <w:t> </w:t>
            </w:r>
          </w:p>
        </w:tc>
      </w:tr>
      <w:tr>
        <w:trPr>
          <w:trHeight w:val="196"/>
        </w:trPr>
        <w:tc>
          <w:tcPr>
            <w:tcW w:w="11060" w:type="dxa"/>
            <w:vAlign w:val="bottom"/>
          </w:tcPr>
          <w:p>
            <w:pPr>
              <w:spacing w:after="0"/>
              <w:rPr>
                <w:sz w:val="17"/>
                <w:szCs w:val="17"/>
                <w:color w:val="auto"/>
              </w:rPr>
            </w:pPr>
          </w:p>
        </w:tc>
        <w:tc>
          <w:tcPr>
            <w:tcW w:w="18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w w:val="88"/>
              </w:rPr>
              <w:t> </w:t>
            </w:r>
          </w:p>
        </w:tc>
      </w:tr>
      <w:tr>
        <w:trPr>
          <w:trHeight w:val="304"/>
        </w:trPr>
        <w:tc>
          <w:tcPr>
            <w:tcW w:w="110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 </w:t>
            </w:r>
          </w:p>
        </w:tc>
      </w:tr>
      <w:tr>
        <w:trPr>
          <w:trHeight w:val="196"/>
        </w:trPr>
        <w:tc>
          <w:tcPr>
            <w:tcW w:w="11060" w:type="dxa"/>
            <w:vAlign w:val="bottom"/>
          </w:tcPr>
          <w:p>
            <w:pPr>
              <w:spacing w:after="0"/>
              <w:rPr>
                <w:sz w:val="17"/>
                <w:szCs w:val="17"/>
                <w:color w:val="auto"/>
              </w:rPr>
            </w:pPr>
          </w:p>
        </w:tc>
        <w:tc>
          <w:tcPr>
            <w:tcW w:w="18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w w:val="88"/>
              </w:rPr>
              <w:t> </w:t>
            </w:r>
          </w:p>
        </w:tc>
      </w:tr>
      <w:tr>
        <w:trPr>
          <w:trHeight w:val="196"/>
        </w:trPr>
        <w:tc>
          <w:tcPr>
            <w:tcW w:w="11060" w:type="dxa"/>
            <w:vAlign w:val="bottom"/>
          </w:tcPr>
          <w:p>
            <w:pPr>
              <w:spacing w:after="0"/>
              <w:rPr>
                <w:sz w:val="17"/>
                <w:szCs w:val="17"/>
                <w:color w:val="auto"/>
              </w:rPr>
            </w:pPr>
          </w:p>
        </w:tc>
        <w:tc>
          <w:tcPr>
            <w:tcW w:w="18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w w:val="88"/>
              </w:rPr>
              <w:t> </w:t>
            </w:r>
          </w:p>
        </w:tc>
      </w:tr>
      <w:tr>
        <w:trPr>
          <w:trHeight w:val="196"/>
        </w:trPr>
        <w:tc>
          <w:tcPr>
            <w:tcW w:w="11060" w:type="dxa"/>
            <w:vAlign w:val="bottom"/>
          </w:tcPr>
          <w:p>
            <w:pPr>
              <w:spacing w:after="0"/>
              <w:rPr>
                <w:sz w:val="17"/>
                <w:szCs w:val="17"/>
                <w:color w:val="auto"/>
              </w:rPr>
            </w:pPr>
          </w:p>
        </w:tc>
        <w:tc>
          <w:tcPr>
            <w:tcW w:w="18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w w:val="88"/>
              </w:rPr>
              <w:t> </w:t>
            </w:r>
          </w:p>
        </w:tc>
      </w:tr>
      <w:tr>
        <w:trPr>
          <w:trHeight w:val="304"/>
        </w:trPr>
        <w:tc>
          <w:tcPr>
            <w:tcW w:w="110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 </w:t>
            </w:r>
          </w:p>
        </w:tc>
      </w:tr>
      <w:tr>
        <w:trPr>
          <w:trHeight w:val="196"/>
        </w:trPr>
        <w:tc>
          <w:tcPr>
            <w:tcW w:w="11060" w:type="dxa"/>
            <w:vAlign w:val="bottom"/>
          </w:tcPr>
          <w:p>
            <w:pPr>
              <w:spacing w:after="0"/>
              <w:rPr>
                <w:sz w:val="17"/>
                <w:szCs w:val="17"/>
                <w:color w:val="auto"/>
              </w:rPr>
            </w:pPr>
          </w:p>
        </w:tc>
        <w:tc>
          <w:tcPr>
            <w:tcW w:w="18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w w:val="88"/>
              </w:rPr>
              <w:t> </w:t>
            </w:r>
          </w:p>
        </w:tc>
      </w:tr>
      <w:tr>
        <w:trPr>
          <w:trHeight w:val="196"/>
        </w:trPr>
        <w:tc>
          <w:tcPr>
            <w:tcW w:w="11060" w:type="dxa"/>
            <w:vAlign w:val="bottom"/>
          </w:tcPr>
          <w:p>
            <w:pPr>
              <w:spacing w:after="0"/>
              <w:rPr>
                <w:sz w:val="17"/>
                <w:szCs w:val="17"/>
                <w:color w:val="auto"/>
              </w:rPr>
            </w:pPr>
          </w:p>
        </w:tc>
        <w:tc>
          <w:tcPr>
            <w:tcW w:w="18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w w:val="88"/>
              </w:rPr>
              <w:t> </w:t>
            </w:r>
          </w:p>
        </w:tc>
      </w:tr>
      <w:tr>
        <w:trPr>
          <w:trHeight w:val="196"/>
        </w:trPr>
        <w:tc>
          <w:tcPr>
            <w:tcW w:w="11060" w:type="dxa"/>
            <w:vAlign w:val="bottom"/>
          </w:tcPr>
          <w:p>
            <w:pPr>
              <w:spacing w:after="0"/>
              <w:rPr>
                <w:sz w:val="17"/>
                <w:szCs w:val="17"/>
                <w:color w:val="auto"/>
              </w:rPr>
            </w:pPr>
          </w:p>
        </w:tc>
        <w:tc>
          <w:tcPr>
            <w:tcW w:w="18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w w:val="88"/>
              </w:rPr>
              <w:t> </w:t>
            </w:r>
          </w:p>
        </w:tc>
      </w:tr>
      <w:tr>
        <w:trPr>
          <w:trHeight w:val="304"/>
        </w:trPr>
        <w:tc>
          <w:tcPr>
            <w:tcW w:w="110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 </w:t>
            </w:r>
          </w:p>
        </w:tc>
      </w:tr>
      <w:tr>
        <w:trPr>
          <w:trHeight w:val="196"/>
        </w:trPr>
        <w:tc>
          <w:tcPr>
            <w:tcW w:w="11060" w:type="dxa"/>
            <w:vAlign w:val="bottom"/>
          </w:tcPr>
          <w:p>
            <w:pPr>
              <w:spacing w:after="0"/>
              <w:rPr>
                <w:sz w:val="17"/>
                <w:szCs w:val="17"/>
                <w:color w:val="auto"/>
              </w:rPr>
            </w:pPr>
          </w:p>
        </w:tc>
        <w:tc>
          <w:tcPr>
            <w:tcW w:w="18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w w:val="88"/>
              </w:rPr>
              <w:t> </w:t>
            </w:r>
          </w:p>
        </w:tc>
      </w:tr>
      <w:tr>
        <w:trPr>
          <w:trHeight w:val="196"/>
        </w:trPr>
        <w:tc>
          <w:tcPr>
            <w:tcW w:w="11060" w:type="dxa"/>
            <w:vAlign w:val="bottom"/>
          </w:tcPr>
          <w:p>
            <w:pPr>
              <w:spacing w:after="0"/>
              <w:rPr>
                <w:sz w:val="17"/>
                <w:szCs w:val="17"/>
                <w:color w:val="auto"/>
              </w:rPr>
            </w:pPr>
          </w:p>
        </w:tc>
        <w:tc>
          <w:tcPr>
            <w:tcW w:w="18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w w:val="88"/>
              </w:rPr>
              <w:t> </w:t>
            </w:r>
          </w:p>
        </w:tc>
      </w:tr>
      <w:tr>
        <w:trPr>
          <w:trHeight w:val="196"/>
        </w:trPr>
        <w:tc>
          <w:tcPr>
            <w:tcW w:w="11060" w:type="dxa"/>
            <w:vAlign w:val="bottom"/>
          </w:tcPr>
          <w:p>
            <w:pPr>
              <w:spacing w:after="0"/>
              <w:rPr>
                <w:sz w:val="17"/>
                <w:szCs w:val="17"/>
                <w:color w:val="auto"/>
              </w:rPr>
            </w:pPr>
          </w:p>
        </w:tc>
        <w:tc>
          <w:tcPr>
            <w:tcW w:w="18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w w:val="88"/>
              </w:rPr>
              <w:t> </w:t>
            </w:r>
          </w:p>
        </w:tc>
      </w:tr>
    </w:tbl>
    <w:p>
      <w:pPr>
        <w:sectPr>
          <w:pgSz w:w="11900" w:h="16838" w:orient="portrait"/>
          <w:cols w:equalWidth="0" w:num="1">
            <w:col w:w="11240"/>
          </w:cols>
          <w:pgMar w:left="320" w:top="1440" w:right="339" w:bottom="0" w:gutter="0" w:footer="0" w:header="0"/>
        </w:sectPr>
      </w:pPr>
    </w:p>
    <w:bookmarkStart w:id="66" w:name="page67"/>
    <w:bookmarkEnd w:id="66"/>
    <w:p>
      <w:pPr>
        <w:jc w:val="center"/>
        <w:ind w:right="59"/>
        <w:spacing w:after="0"/>
        <w:rPr>
          <w:sz w:val="20"/>
          <w:szCs w:val="20"/>
          <w:color w:val="auto"/>
        </w:rPr>
      </w:pPr>
      <w:r>
        <w:rPr>
          <w:rFonts w:ascii="Times New Roman" w:cs="Times New Roman" w:eastAsia="Times New Roman" w:hAnsi="Times New Roman"/>
          <w:sz w:val="18"/>
          <w:szCs w:val="18"/>
          <w:color w:val="auto"/>
        </w:rPr>
        <w:t>(Signature must conform in all respects to name of Holder as specified on the face of the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895985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67" w:name="page68"/>
    <w:bookmarkEnd w:id="6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SCHEDULE 2</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ASSIGNMENT FORM</w:t>
      </w:r>
    </w:p>
    <w:p>
      <w:pPr>
        <w:spacing w:after="0" w:line="22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i w:val="1"/>
          <w:iCs w:val="1"/>
          <w:color w:val="auto"/>
        </w:rPr>
        <w:t>(To assign the foregoing Warrant, execute this form and supply required information. Do not use this form to purchase shares.)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VALUE RECEIVED, the foregoing Warrant and all rights evidenced thereby are hereby assigned to</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5285740</wp:posOffset>
            </wp:positionH>
            <wp:positionV relativeFrom="paragraph">
              <wp:posOffset>17145</wp:posOffset>
            </wp:positionV>
            <wp:extent cx="185166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851660" cy="8890"/>
                    </a:xfrm>
                    <a:prstGeom prst="rect">
                      <a:avLst/>
                    </a:prstGeom>
                    <a:noFill/>
                  </pic:spPr>
                </pic:pic>
              </a:graphicData>
            </a:graphic>
          </wp:anchor>
        </w:drawing>
      </w:r>
    </w:p>
    <w:p>
      <w:pPr>
        <w:spacing w:after="0" w:line="16" w:lineRule="exact"/>
        <w:rPr>
          <w:sz w:val="20"/>
          <w:szCs w:val="20"/>
          <w:color w:val="auto"/>
        </w:rPr>
      </w:pPr>
    </w:p>
    <w:p>
      <w:pPr>
        <w:ind w:left="8320"/>
        <w:spacing w:after="0"/>
        <w:rPr>
          <w:sz w:val="20"/>
          <w:szCs w:val="20"/>
          <w:color w:val="auto"/>
        </w:rPr>
      </w:pPr>
      <w:r>
        <w:rPr>
          <w:rFonts w:ascii="Times New Roman" w:cs="Times New Roman" w:eastAsia="Times New Roman" w:hAnsi="Times New Roman"/>
          <w:sz w:val="18"/>
          <w:szCs w:val="18"/>
          <w:color w:val="auto"/>
        </w:rPr>
        <w:t>(Please Print)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29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(Please Print)</w:t>
            </w:r>
          </w:p>
        </w:tc>
      </w:tr>
      <w:tr>
        <w:trPr>
          <w:trHeight w:val="313"/>
        </w:trPr>
        <w:tc>
          <w:tcPr>
            <w:tcW w:w="2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Phone Number:</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r>
      <w:tr>
        <w:trPr>
          <w:trHeight w:val="331"/>
        </w:trPr>
        <w:tc>
          <w:tcPr>
            <w:tcW w:w="2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Email Address:</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r>
      <w:tr>
        <w:trPr>
          <w:trHeight w:val="331"/>
        </w:trPr>
        <w:tc>
          <w:tcPr>
            <w:tcW w:w="2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Dated: _______________ __, ______</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283"/>
        </w:trPr>
        <w:tc>
          <w:tcPr>
            <w:tcW w:w="2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Holder’s Signature: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69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 </w:t>
            </w: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40" w:type="dxa"/>
            <w:vAlign w:val="bottom"/>
            <w:gridSpan w:val="2"/>
          </w:tcPr>
          <w:p>
            <w:pPr>
              <w:spacing w:after="0" w:line="20" w:lineRule="exact"/>
              <w:rPr>
                <w:sz w:val="1"/>
                <w:szCs w:val="1"/>
                <w:color w:val="auto"/>
              </w:rPr>
            </w:pPr>
          </w:p>
        </w:tc>
      </w:tr>
      <w:tr>
        <w:trPr>
          <w:trHeight w:val="304"/>
        </w:trPr>
        <w:tc>
          <w:tcPr>
            <w:tcW w:w="2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Holder’s Address: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69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 </w:t>
            </w:r>
          </w:p>
        </w:tc>
      </w:tr>
      <w:tr>
        <w:trPr>
          <w:trHeight w:val="2106"/>
        </w:trPr>
        <w:tc>
          <w:tcPr>
            <w:tcW w:w="1360" w:type="dxa"/>
            <w:vAlign w:val="bottom"/>
            <w:tcBorders>
              <w:bottom w:val="single" w:sz="8" w:color="9A9A9A"/>
            </w:tcBorders>
          </w:tcPr>
          <w:p>
            <w:pPr>
              <w:spacing w:after="0"/>
              <w:rPr>
                <w:sz w:val="24"/>
                <w:szCs w:val="24"/>
                <w:color w:val="auto"/>
              </w:rPr>
            </w:pPr>
          </w:p>
        </w:tc>
        <w:tc>
          <w:tcPr>
            <w:tcW w:w="100" w:type="dxa"/>
            <w:vAlign w:val="bottom"/>
            <w:tcBorders>
              <w:top w:val="single" w:sz="8" w:color="auto"/>
              <w:bottom w:val="single" w:sz="8" w:color="9A9A9A"/>
            </w:tcBorders>
          </w:tcPr>
          <w:p>
            <w:pPr>
              <w:spacing w:after="0"/>
              <w:rPr>
                <w:sz w:val="24"/>
                <w:szCs w:val="24"/>
                <w:color w:val="auto"/>
              </w:rPr>
            </w:pPr>
          </w:p>
        </w:tc>
        <w:tc>
          <w:tcPr>
            <w:tcW w:w="1420" w:type="dxa"/>
            <w:vAlign w:val="bottom"/>
            <w:tcBorders>
              <w:top w:val="single" w:sz="8" w:color="auto"/>
              <w:bottom w:val="single" w:sz="8" w:color="9A9A9A"/>
            </w:tcBorders>
          </w:tcPr>
          <w:p>
            <w:pPr>
              <w:spacing w:after="0"/>
              <w:rPr>
                <w:sz w:val="24"/>
                <w:szCs w:val="24"/>
                <w:color w:val="auto"/>
              </w:rPr>
            </w:pPr>
          </w:p>
        </w:tc>
        <w:tc>
          <w:tcPr>
            <w:tcW w:w="180" w:type="dxa"/>
            <w:vAlign w:val="bottom"/>
            <w:tcBorders>
              <w:top w:val="single" w:sz="8" w:color="auto"/>
              <w:bottom w:val="single" w:sz="8" w:color="9A9A9A"/>
            </w:tcBorders>
          </w:tcPr>
          <w:p>
            <w:pPr>
              <w:spacing w:after="0"/>
              <w:rPr>
                <w:sz w:val="24"/>
                <w:szCs w:val="24"/>
                <w:color w:val="auto"/>
              </w:rPr>
            </w:pPr>
          </w:p>
        </w:tc>
        <w:tc>
          <w:tcPr>
            <w:tcW w:w="180" w:type="dxa"/>
            <w:vAlign w:val="bottom"/>
            <w:tcBorders>
              <w:top w:val="single" w:sz="8" w:color="auto"/>
              <w:bottom w:val="single" w:sz="8" w:color="9A9A9A"/>
            </w:tcBorders>
          </w:tcPr>
          <w:p>
            <w:pPr>
              <w:spacing w:after="0"/>
              <w:rPr>
                <w:sz w:val="24"/>
                <w:szCs w:val="24"/>
                <w:color w:val="auto"/>
              </w:rPr>
            </w:pPr>
          </w:p>
        </w:tc>
        <w:tc>
          <w:tcPr>
            <w:tcW w:w="180" w:type="dxa"/>
            <w:vAlign w:val="bottom"/>
            <w:tcBorders>
              <w:top w:val="single" w:sz="8" w:color="auto"/>
              <w:bottom w:val="single" w:sz="8" w:color="9A9A9A"/>
            </w:tcBorders>
          </w:tcPr>
          <w:p>
            <w:pPr>
              <w:spacing w:after="0"/>
              <w:rPr>
                <w:sz w:val="24"/>
                <w:szCs w:val="24"/>
                <w:color w:val="auto"/>
              </w:rPr>
            </w:pPr>
          </w:p>
        </w:tc>
        <w:tc>
          <w:tcPr>
            <w:tcW w:w="180" w:type="dxa"/>
            <w:vAlign w:val="bottom"/>
            <w:tcBorders>
              <w:top w:val="single" w:sz="8" w:color="auto"/>
              <w:bottom w:val="single" w:sz="8" w:color="9A9A9A"/>
            </w:tcBorders>
          </w:tcPr>
          <w:p>
            <w:pPr>
              <w:spacing w:after="0"/>
              <w:rPr>
                <w:sz w:val="24"/>
                <w:szCs w:val="24"/>
                <w:color w:val="auto"/>
              </w:rPr>
            </w:pPr>
          </w:p>
        </w:tc>
        <w:tc>
          <w:tcPr>
            <w:tcW w:w="180" w:type="dxa"/>
            <w:vAlign w:val="bottom"/>
            <w:tcBorders>
              <w:top w:val="single" w:sz="8" w:color="auto"/>
              <w:bottom w:val="single" w:sz="8" w:color="9A9A9A"/>
            </w:tcBorders>
          </w:tcPr>
          <w:p>
            <w:pPr>
              <w:spacing w:after="0"/>
              <w:rPr>
                <w:sz w:val="24"/>
                <w:szCs w:val="24"/>
                <w:color w:val="auto"/>
              </w:rPr>
            </w:pPr>
          </w:p>
        </w:tc>
        <w:tc>
          <w:tcPr>
            <w:tcW w:w="180" w:type="dxa"/>
            <w:vAlign w:val="bottom"/>
            <w:tcBorders>
              <w:top w:val="single" w:sz="8" w:color="auto"/>
              <w:bottom w:val="single" w:sz="8" w:color="9A9A9A"/>
            </w:tcBorders>
          </w:tcPr>
          <w:p>
            <w:pPr>
              <w:spacing w:after="0"/>
              <w:rPr>
                <w:sz w:val="24"/>
                <w:szCs w:val="24"/>
                <w:color w:val="auto"/>
              </w:rPr>
            </w:pPr>
          </w:p>
        </w:tc>
        <w:tc>
          <w:tcPr>
            <w:tcW w:w="180" w:type="dxa"/>
            <w:vAlign w:val="bottom"/>
            <w:tcBorders>
              <w:top w:val="single" w:sz="8" w:color="auto"/>
              <w:bottom w:val="single" w:sz="8" w:color="9A9A9A"/>
            </w:tcBorders>
          </w:tcPr>
          <w:p>
            <w:pPr>
              <w:spacing w:after="0"/>
              <w:rPr>
                <w:sz w:val="24"/>
                <w:szCs w:val="24"/>
                <w:color w:val="auto"/>
              </w:rPr>
            </w:pPr>
          </w:p>
        </w:tc>
        <w:tc>
          <w:tcPr>
            <w:tcW w:w="180" w:type="dxa"/>
            <w:vAlign w:val="bottom"/>
            <w:tcBorders>
              <w:top w:val="single" w:sz="8" w:color="auto"/>
              <w:bottom w:val="single" w:sz="8" w:color="9A9A9A"/>
            </w:tcBorders>
          </w:tcPr>
          <w:p>
            <w:pPr>
              <w:spacing w:after="0"/>
              <w:rPr>
                <w:sz w:val="24"/>
                <w:szCs w:val="24"/>
                <w:color w:val="auto"/>
              </w:rPr>
            </w:pPr>
          </w:p>
        </w:tc>
        <w:tc>
          <w:tcPr>
            <w:tcW w:w="200" w:type="dxa"/>
            <w:vAlign w:val="bottom"/>
            <w:tcBorders>
              <w:top w:val="single" w:sz="8" w:color="auto"/>
              <w:bottom w:val="single" w:sz="8" w:color="9A9A9A"/>
            </w:tcBorders>
          </w:tcPr>
          <w:p>
            <w:pPr>
              <w:spacing w:after="0"/>
              <w:rPr>
                <w:sz w:val="24"/>
                <w:szCs w:val="24"/>
                <w:color w:val="auto"/>
              </w:rPr>
            </w:pPr>
          </w:p>
        </w:tc>
        <w:tc>
          <w:tcPr>
            <w:tcW w:w="80" w:type="dxa"/>
            <w:vAlign w:val="bottom"/>
            <w:tcBorders>
              <w:top w:val="single" w:sz="8" w:color="auto"/>
              <w:bottom w:val="single" w:sz="8" w:color="9A9A9A"/>
            </w:tcBorders>
          </w:tcPr>
          <w:p>
            <w:pPr>
              <w:spacing w:after="0"/>
              <w:rPr>
                <w:sz w:val="24"/>
                <w:szCs w:val="24"/>
                <w:color w:val="auto"/>
              </w:rPr>
            </w:pPr>
          </w:p>
        </w:tc>
        <w:tc>
          <w:tcPr>
            <w:tcW w:w="3720" w:type="dxa"/>
            <w:vAlign w:val="bottom"/>
            <w:tcBorders>
              <w:bottom w:val="single" w:sz="8" w:color="9A9A9A"/>
            </w:tcBorders>
          </w:tcPr>
          <w:p>
            <w:pPr>
              <w:spacing w:after="0"/>
              <w:rPr>
                <w:sz w:val="24"/>
                <w:szCs w:val="24"/>
                <w:color w:val="auto"/>
              </w:rPr>
            </w:pPr>
          </w:p>
        </w:tc>
        <w:tc>
          <w:tcPr>
            <w:tcW w:w="2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8" w:name="page69"/>
    <w:bookmarkEnd w:id="68"/>
    <w:p>
      <w:pPr>
        <w:jc w:val="right"/>
        <w:spacing w:after="0"/>
        <w:rPr>
          <w:sz w:val="20"/>
          <w:szCs w:val="20"/>
          <w:color w:val="auto"/>
        </w:rPr>
      </w:pPr>
      <w:r>
        <w:rPr>
          <w:rFonts w:ascii="Arial" w:cs="Arial" w:eastAsia="Arial" w:hAnsi="Arial"/>
          <w:sz w:val="16"/>
          <w:szCs w:val="16"/>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166370</wp:posOffset>
            </wp:positionV>
            <wp:extent cx="1714500" cy="3771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714500" cy="377190"/>
                    </a:xfrm>
                    <a:prstGeom prst="rect">
                      <a:avLst/>
                    </a:prstGeom>
                    <a:noFill/>
                  </pic:spPr>
                </pic:pic>
              </a:graphicData>
            </a:graphic>
          </wp:anchor>
        </w:drawing>
      </w:r>
    </w:p>
    <w:p>
      <w:pPr>
        <w:spacing w:after="0" w:line="341" w:lineRule="exact"/>
        <w:rPr>
          <w:sz w:val="20"/>
          <w:szCs w:val="20"/>
          <w:color w:val="auto"/>
        </w:rPr>
      </w:pPr>
    </w:p>
    <w:p>
      <w:pPr>
        <w:ind w:left="8360"/>
        <w:spacing w:after="0"/>
        <w:rPr>
          <w:sz w:val="20"/>
          <w:szCs w:val="20"/>
          <w:color w:val="auto"/>
        </w:rPr>
      </w:pPr>
      <w:r>
        <w:rPr>
          <w:rFonts w:ascii="Arial" w:cs="Arial" w:eastAsia="Arial" w:hAnsi="Arial"/>
          <w:sz w:val="14"/>
          <w:szCs w:val="14"/>
          <w:color w:val="848A8E"/>
        </w:rPr>
        <w:t xml:space="preserve">Goodwin Procter </w:t>
      </w:r>
      <w:r>
        <w:rPr>
          <w:rFonts w:ascii="Arial" w:cs="Arial" w:eastAsia="Arial" w:hAnsi="Arial"/>
          <w:sz w:val="10"/>
          <w:szCs w:val="10"/>
          <w:color w:val="848A8E"/>
        </w:rPr>
        <w:t>LLP</w:t>
      </w:r>
    </w:p>
    <w:p>
      <w:pPr>
        <w:ind w:left="8360"/>
        <w:spacing w:after="0" w:line="227" w:lineRule="auto"/>
        <w:rPr>
          <w:sz w:val="20"/>
          <w:szCs w:val="20"/>
          <w:color w:val="auto"/>
        </w:rPr>
      </w:pPr>
      <w:r>
        <w:rPr>
          <w:rFonts w:ascii="Arial" w:cs="Arial" w:eastAsia="Arial" w:hAnsi="Arial"/>
          <w:sz w:val="14"/>
          <w:szCs w:val="14"/>
          <w:color w:val="848A8E"/>
        </w:rPr>
        <w:t>525 Market Street</w:t>
      </w:r>
    </w:p>
    <w:p>
      <w:pPr>
        <w:ind w:left="8360"/>
        <w:spacing w:after="0" w:line="205" w:lineRule="auto"/>
        <w:rPr>
          <w:sz w:val="20"/>
          <w:szCs w:val="20"/>
          <w:color w:val="auto"/>
        </w:rPr>
      </w:pPr>
      <w:r>
        <w:rPr>
          <w:rFonts w:ascii="Arial" w:cs="Arial" w:eastAsia="Arial" w:hAnsi="Arial"/>
          <w:sz w:val="14"/>
          <w:szCs w:val="14"/>
          <w:color w:val="848A8E"/>
        </w:rPr>
        <w:t>32</w:t>
      </w:r>
      <w:r>
        <w:rPr>
          <w:rFonts w:ascii="Arial" w:cs="Arial" w:eastAsia="Arial" w:hAnsi="Arial"/>
          <w:sz w:val="19"/>
          <w:szCs w:val="19"/>
          <w:color w:val="848A8E"/>
          <w:vertAlign w:val="superscript"/>
        </w:rPr>
        <w:t>nd</w:t>
      </w:r>
      <w:r>
        <w:rPr>
          <w:rFonts w:ascii="Arial" w:cs="Arial" w:eastAsia="Arial" w:hAnsi="Arial"/>
          <w:sz w:val="14"/>
          <w:szCs w:val="14"/>
          <w:color w:val="848A8E"/>
        </w:rPr>
        <w:t xml:space="preserve"> Floor</w:t>
      </w:r>
    </w:p>
    <w:p>
      <w:pPr>
        <w:ind w:left="8360"/>
        <w:spacing w:after="0"/>
        <w:rPr>
          <w:sz w:val="20"/>
          <w:szCs w:val="20"/>
          <w:color w:val="auto"/>
        </w:rPr>
      </w:pPr>
      <w:r>
        <w:rPr>
          <w:rFonts w:ascii="Arial" w:cs="Arial" w:eastAsia="Arial" w:hAnsi="Arial"/>
          <w:sz w:val="14"/>
          <w:szCs w:val="14"/>
          <w:color w:val="848A8E"/>
        </w:rPr>
        <w:t>San Francisco, CA 94105</w:t>
      </w:r>
    </w:p>
    <w:p>
      <w:pPr>
        <w:spacing w:after="0" w:line="1" w:lineRule="exact"/>
        <w:rPr>
          <w:sz w:val="20"/>
          <w:szCs w:val="20"/>
          <w:color w:val="auto"/>
        </w:rPr>
      </w:pPr>
    </w:p>
    <w:p>
      <w:pPr>
        <w:ind w:left="8360"/>
        <w:spacing w:after="0"/>
        <w:rPr>
          <w:sz w:val="20"/>
          <w:szCs w:val="20"/>
          <w:color w:val="auto"/>
        </w:rPr>
      </w:pPr>
      <w:r>
        <w:rPr>
          <w:rFonts w:ascii="Arial" w:cs="Arial" w:eastAsia="Arial" w:hAnsi="Arial"/>
          <w:sz w:val="14"/>
          <w:szCs w:val="14"/>
          <w:color w:val="848A8E"/>
        </w:rPr>
        <w:t>goodwinlaw.com</w:t>
      </w:r>
    </w:p>
    <w:p>
      <w:pPr>
        <w:spacing w:after="0" w:line="1" w:lineRule="exact"/>
        <w:rPr>
          <w:sz w:val="20"/>
          <w:szCs w:val="20"/>
          <w:color w:val="auto"/>
        </w:rPr>
      </w:pPr>
    </w:p>
    <w:p>
      <w:pPr>
        <w:ind w:left="8360"/>
        <w:spacing w:after="0"/>
        <w:rPr>
          <w:sz w:val="20"/>
          <w:szCs w:val="20"/>
          <w:color w:val="auto"/>
        </w:rPr>
      </w:pPr>
      <w:r>
        <w:rPr>
          <w:rFonts w:ascii="Arial" w:cs="Arial" w:eastAsia="Arial" w:hAnsi="Arial"/>
          <w:sz w:val="14"/>
          <w:szCs w:val="14"/>
          <w:color w:val="848A8E"/>
        </w:rPr>
        <w:t>+1 (415) 733-6000</w:t>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0"/>
          <w:szCs w:val="20"/>
          <w:color w:val="auto"/>
        </w:rPr>
        <w:t>December 10, 2025</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Fulcrum Therapeutics, Inc.</w:t>
      </w:r>
    </w:p>
    <w:p>
      <w:pPr>
        <w:spacing w:after="0" w:line="229" w:lineRule="auto"/>
        <w:rPr>
          <w:sz w:val="20"/>
          <w:szCs w:val="20"/>
          <w:color w:val="auto"/>
        </w:rPr>
      </w:pPr>
      <w:r>
        <w:rPr>
          <w:rFonts w:ascii="Arial" w:cs="Arial" w:eastAsia="Arial" w:hAnsi="Arial"/>
          <w:sz w:val="20"/>
          <w:szCs w:val="20"/>
          <w:color w:val="auto"/>
        </w:rPr>
        <w:t>26 Landsdowne Street</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Cambridge, Massachusetts 02139</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Re:  </w:t>
      </w:r>
      <w:r>
        <w:rPr>
          <w:rFonts w:ascii="Arial" w:cs="Arial" w:eastAsia="Arial" w:hAnsi="Arial"/>
          <w:sz w:val="20"/>
          <w:szCs w:val="20"/>
          <w:u w:val="single" w:color="auto"/>
          <w:color w:val="auto"/>
        </w:rPr>
        <w:t>Securities Being Registered under Registration Statement on Form S-3</w:t>
      </w:r>
    </w:p>
    <w:p>
      <w:pPr>
        <w:spacing w:after="0" w:line="202" w:lineRule="exact"/>
        <w:rPr>
          <w:sz w:val="20"/>
          <w:szCs w:val="20"/>
          <w:color w:val="auto"/>
        </w:rPr>
      </w:pPr>
    </w:p>
    <w:p>
      <w:pPr>
        <w:ind w:right="40"/>
        <w:spacing w:after="0" w:line="228" w:lineRule="auto"/>
        <w:rPr>
          <w:sz w:val="20"/>
          <w:szCs w:val="20"/>
          <w:color w:val="auto"/>
        </w:rPr>
      </w:pPr>
      <w:r>
        <w:rPr>
          <w:rFonts w:ascii="Arial" w:cs="Arial" w:eastAsia="Arial" w:hAnsi="Arial"/>
          <w:sz w:val="20"/>
          <w:szCs w:val="20"/>
          <w:color w:val="auto"/>
        </w:rPr>
        <w:t>We have acted as counsel to you in connection with your filing of a Registration Statement on Form S-3 (File No. 333-277419) (as amended or supplemented, the “Registration Statement”), filed on February 27, 2024 with the Securities and Exchange Commission (the “Commission”) pursuant to the Securities Act of 1933, as amended (the “Securities Act”), relating to the registration of the offer by Fulcrum Therapeutics, Inc., a Delaware corporation (the “Company”), of up to $350,000,000 of any combination of securities of the types specified therein. The Registration Statement was declared effective by the Commission on April 25, 2024. Reference is made to our opinion letter dated February 27, 2024 and included as Exhibit 5.1 to the Registration Statement. We are delivering this supplemental opinion letter in connection with the prospectus supplement (the “Prospectus Supplement”) dated December 10, 2025 and filed by the Company with the Commission pursuant to Rule 424 under the Securities Act. The Prospectus Supplement relates to the offering by the Company of up to (i) 13,796,309 shares (the “Shares”) of the Company’s common stock, par value $0.001 per share (the “Common Stock”) covered by the Registration Statement and (ii) pre-funded warrants (the “Pre-Funded Warrants”) to purchase up to 1,111,193 shares of Common Stock (such shares issuable upon exercise of the Pre-Funded Warrants, the “Pre-Funded Warrant Shares”). The Shares include an option to purchase up to 1,944,456 additional Shares granted to the underwriters of the offering. The Shares and Pre-Funded Warrants are being sold to the several underwriters named in, and pursuant to, an underwriting agreement among the Company and such underwriters (the “Underwriting Agreement”).</w:t>
      </w:r>
    </w:p>
    <w:p>
      <w:pPr>
        <w:spacing w:after="0" w:line="179" w:lineRule="exact"/>
        <w:rPr>
          <w:sz w:val="20"/>
          <w:szCs w:val="20"/>
          <w:color w:val="auto"/>
        </w:rPr>
      </w:pPr>
    </w:p>
    <w:p>
      <w:pPr>
        <w:ind w:right="80"/>
        <w:spacing w:after="0" w:line="232" w:lineRule="auto"/>
        <w:rPr>
          <w:sz w:val="20"/>
          <w:szCs w:val="20"/>
          <w:color w:val="auto"/>
        </w:rPr>
      </w:pPr>
      <w:r>
        <w:rPr>
          <w:rFonts w:ascii="Arial" w:cs="Arial" w:eastAsia="Arial" w:hAnsi="Arial"/>
          <w:sz w:val="20"/>
          <w:szCs w:val="20"/>
          <w:color w:val="auto"/>
        </w:rPr>
        <w:t>We have reviewed such documents and made such examination of law as we have deemed appropriate to give the opinion set forth below. We have relied, without independent verification, on certificates of public officials and, as to matters of fact material to the opinion set forth below, on certificates of officers of the Company. For purposes of the opinion set forth in paragraph 3 set forth below, we have assumed that before the Pre-Funded Warrant Shares are issued, the Company does not issue shares of Common Stock or reduce the total number of shares of Common Stock the Company is authorized to issue under its certificate of incorporation such that the number of unissued shares of Common Stock authorized under the Company’s certificate of incorporation is less than the number of Pre-Funded Warrant Shares.</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color w:val="auto"/>
        </w:rPr>
        <w:t>The opinions set forth below are limited to the Delaware General Corporation Law and New York Law.</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Based on the foregoing, we are of the opinion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883920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69" w:name="page70"/>
    <w:bookmarkEnd w:id="69"/>
    <w:p>
      <w:pPr>
        <w:spacing w:after="0" w:line="190" w:lineRule="exact"/>
        <w:rPr>
          <w:sz w:val="20"/>
          <w:szCs w:val="20"/>
          <w:color w:val="auto"/>
        </w:rPr>
      </w:pPr>
    </w:p>
    <w:p>
      <w:pPr>
        <w:ind w:left="760" w:right="1000" w:hanging="378"/>
        <w:spacing w:after="0" w:line="257" w:lineRule="auto"/>
        <w:tabs>
          <w:tab w:leader="none" w:pos="760" w:val="left"/>
        </w:tabs>
        <w:numPr>
          <w:ilvl w:val="0"/>
          <w:numId w:val="52"/>
        </w:numPr>
        <w:rPr>
          <w:rFonts w:ascii="Arial" w:cs="Arial" w:eastAsia="Arial" w:hAnsi="Arial"/>
          <w:sz w:val="20"/>
          <w:szCs w:val="20"/>
          <w:color w:val="auto"/>
        </w:rPr>
      </w:pPr>
      <w:r>
        <w:rPr>
          <w:rFonts w:ascii="Arial" w:cs="Arial" w:eastAsia="Arial" w:hAnsi="Arial"/>
          <w:sz w:val="20"/>
          <w:szCs w:val="20"/>
          <w:color w:val="auto"/>
        </w:rPr>
        <w:t>The Shares have been duly authorized and, when delivered and paid for in accordance with the terms of the Underwriting Agreement, will be validly issued, fully paid and non-assessable.</w:t>
      </w:r>
    </w:p>
    <w:p>
      <w:pPr>
        <w:spacing w:after="0" w:line="371" w:lineRule="exact"/>
        <w:rPr>
          <w:rFonts w:ascii="Arial" w:cs="Arial" w:eastAsia="Arial" w:hAnsi="Arial"/>
          <w:sz w:val="20"/>
          <w:szCs w:val="20"/>
          <w:color w:val="auto"/>
        </w:rPr>
      </w:pPr>
    </w:p>
    <w:p>
      <w:pPr>
        <w:ind w:left="760" w:right="100" w:hanging="378"/>
        <w:spacing w:after="0" w:line="284" w:lineRule="auto"/>
        <w:tabs>
          <w:tab w:leader="none" w:pos="760" w:val="left"/>
        </w:tabs>
        <w:numPr>
          <w:ilvl w:val="0"/>
          <w:numId w:val="52"/>
        </w:numPr>
        <w:rPr>
          <w:rFonts w:ascii="Arial" w:cs="Arial" w:eastAsia="Arial" w:hAnsi="Arial"/>
          <w:sz w:val="19"/>
          <w:szCs w:val="19"/>
          <w:color w:val="auto"/>
        </w:rPr>
      </w:pPr>
      <w:r>
        <w:rPr>
          <w:rFonts w:ascii="Arial" w:cs="Arial" w:eastAsia="Arial" w:hAnsi="Arial"/>
          <w:sz w:val="19"/>
          <w:szCs w:val="19"/>
          <w:color w:val="auto"/>
        </w:rPr>
        <w:t>The Pre-Funded Warrants have been duly authorized and executed by the Company and, when delivered and paid for in accordance with the terms of the Underwriting Agreement, will be valid and binding obligations of the Company.</w:t>
      </w:r>
    </w:p>
    <w:p>
      <w:pPr>
        <w:spacing w:after="0" w:line="130" w:lineRule="exact"/>
        <w:rPr>
          <w:rFonts w:ascii="Arial" w:cs="Arial" w:eastAsia="Arial" w:hAnsi="Arial"/>
          <w:sz w:val="19"/>
          <w:szCs w:val="19"/>
          <w:color w:val="auto"/>
        </w:rPr>
      </w:pPr>
    </w:p>
    <w:p>
      <w:pPr>
        <w:ind w:left="760" w:right="840" w:hanging="378"/>
        <w:spacing w:after="0" w:line="257" w:lineRule="auto"/>
        <w:tabs>
          <w:tab w:leader="none" w:pos="760" w:val="left"/>
        </w:tabs>
        <w:numPr>
          <w:ilvl w:val="0"/>
          <w:numId w:val="52"/>
        </w:numPr>
        <w:rPr>
          <w:rFonts w:ascii="Arial" w:cs="Arial" w:eastAsia="Arial" w:hAnsi="Arial"/>
          <w:sz w:val="20"/>
          <w:szCs w:val="20"/>
          <w:color w:val="auto"/>
        </w:rPr>
      </w:pPr>
      <w:r>
        <w:rPr>
          <w:rFonts w:ascii="Arial" w:cs="Arial" w:eastAsia="Arial" w:hAnsi="Arial"/>
          <w:sz w:val="20"/>
          <w:szCs w:val="20"/>
          <w:color w:val="auto"/>
        </w:rPr>
        <w:t>Assuming the Pre-Funded Warrant Shares were issued today in accordance with the terms of the Pre-Funded Warrants, they would be validly issued, fully paid and non-assessable.</w:t>
      </w:r>
    </w:p>
    <w:p>
      <w:pPr>
        <w:spacing w:after="0" w:line="155" w:lineRule="exact"/>
        <w:rPr>
          <w:sz w:val="20"/>
          <w:szCs w:val="20"/>
          <w:color w:val="auto"/>
        </w:rPr>
      </w:pPr>
    </w:p>
    <w:p>
      <w:pPr>
        <w:ind w:right="120"/>
        <w:spacing w:after="0" w:line="257" w:lineRule="auto"/>
        <w:rPr>
          <w:sz w:val="20"/>
          <w:szCs w:val="20"/>
          <w:color w:val="auto"/>
        </w:rPr>
      </w:pPr>
      <w:r>
        <w:rPr>
          <w:rFonts w:ascii="Arial" w:cs="Arial" w:eastAsia="Arial" w:hAnsi="Arial"/>
          <w:sz w:val="20"/>
          <w:szCs w:val="20"/>
          <w:color w:val="auto"/>
        </w:rPr>
        <w:t>The opinions expressed above are subject to bankruptcy, insolvency, fraudulent transfer, reorganization, moratorium and other similar laws of general application affecting the rights and remedies of creditors and to general principles of equity.</w:t>
      </w:r>
    </w:p>
    <w:p>
      <w:pPr>
        <w:spacing w:after="0" w:line="155" w:lineRule="exact"/>
        <w:rPr>
          <w:sz w:val="20"/>
          <w:szCs w:val="20"/>
          <w:color w:val="auto"/>
        </w:rPr>
      </w:pPr>
    </w:p>
    <w:p>
      <w:pPr>
        <w:spacing w:after="0" w:line="257" w:lineRule="auto"/>
        <w:rPr>
          <w:sz w:val="20"/>
          <w:szCs w:val="20"/>
          <w:color w:val="auto"/>
        </w:rPr>
      </w:pPr>
      <w:r>
        <w:rPr>
          <w:rFonts w:ascii="Arial" w:cs="Arial" w:eastAsia="Arial" w:hAnsi="Arial"/>
          <w:sz w:val="20"/>
          <w:szCs w:val="20"/>
          <w:color w:val="auto"/>
        </w:rPr>
        <w:t>This opinion letter and the opinion it contains shall be interpreted in accordance with the Core Opinion Principles as published in 74 Business Lawyer 815 (Summer 2019).</w:t>
      </w:r>
    </w:p>
    <w:p>
      <w:pPr>
        <w:spacing w:after="0" w:line="155" w:lineRule="exact"/>
        <w:rPr>
          <w:sz w:val="20"/>
          <w:szCs w:val="20"/>
          <w:color w:val="auto"/>
        </w:rPr>
      </w:pPr>
    </w:p>
    <w:p>
      <w:pPr>
        <w:ind w:right="300"/>
        <w:spacing w:after="0" w:line="237" w:lineRule="auto"/>
        <w:rPr>
          <w:sz w:val="20"/>
          <w:szCs w:val="20"/>
          <w:color w:val="auto"/>
        </w:rPr>
      </w:pPr>
      <w:r>
        <w:rPr>
          <w:rFonts w:ascii="Arial" w:cs="Arial" w:eastAsia="Arial" w:hAnsi="Arial"/>
          <w:sz w:val="20"/>
          <w:szCs w:val="20"/>
          <w:color w:val="auto"/>
        </w:rPr>
        <w:t>We hereby consent to the inclusion of this opinion as Exhibit 5.1 to the Company’s Current Report on Form 8-K and to the references to our firm under the caption “Legal Matters” in the Registration Statement. In giving our consent, we do not admit that we are in the category of persons whose consent is required under Section 7 of the Securities Act or the rules and regulations thereunder.</w:t>
      </w:r>
    </w:p>
    <w:p>
      <w:pPr>
        <w:spacing w:after="0" w:line="172" w:lineRule="exact"/>
        <w:rPr>
          <w:sz w:val="20"/>
          <w:szCs w:val="20"/>
          <w:color w:val="auto"/>
        </w:rPr>
      </w:pPr>
    </w:p>
    <w:p>
      <w:pPr>
        <w:ind w:left="6760"/>
        <w:spacing w:after="0"/>
        <w:rPr>
          <w:sz w:val="20"/>
          <w:szCs w:val="20"/>
          <w:color w:val="auto"/>
        </w:rPr>
      </w:pPr>
      <w:r>
        <w:rPr>
          <w:rFonts w:ascii="Arial" w:cs="Arial" w:eastAsia="Arial" w:hAnsi="Arial"/>
          <w:sz w:val="20"/>
          <w:szCs w:val="20"/>
          <w:color w:val="auto"/>
        </w:rPr>
        <w:t>Very truly yours,</w:t>
      </w:r>
    </w:p>
    <w:p>
      <w:pPr>
        <w:spacing w:after="0" w:line="202" w:lineRule="exact"/>
        <w:rPr>
          <w:sz w:val="20"/>
          <w:szCs w:val="20"/>
          <w:color w:val="auto"/>
        </w:rPr>
      </w:pPr>
    </w:p>
    <w:p>
      <w:pPr>
        <w:ind w:left="6760"/>
        <w:spacing w:after="0"/>
        <w:rPr>
          <w:sz w:val="20"/>
          <w:szCs w:val="20"/>
          <w:color w:val="auto"/>
        </w:rPr>
      </w:pPr>
      <w:r>
        <w:rPr>
          <w:rFonts w:ascii="Arial" w:cs="Arial" w:eastAsia="Arial" w:hAnsi="Arial"/>
          <w:sz w:val="20"/>
          <w:szCs w:val="20"/>
          <w:color w:val="auto"/>
        </w:rPr>
        <w:t>/s/ Goodwin Procter LLP</w:t>
      </w:r>
    </w:p>
    <w:p>
      <w:pPr>
        <w:spacing w:after="0" w:line="202" w:lineRule="exact"/>
        <w:rPr>
          <w:sz w:val="20"/>
          <w:szCs w:val="20"/>
          <w:color w:val="auto"/>
        </w:rPr>
      </w:pPr>
    </w:p>
    <w:p>
      <w:pPr>
        <w:ind w:left="6760"/>
        <w:spacing w:after="0"/>
        <w:rPr>
          <w:sz w:val="20"/>
          <w:szCs w:val="20"/>
          <w:color w:val="auto"/>
        </w:rPr>
      </w:pPr>
      <w:r>
        <w:rPr>
          <w:rFonts w:ascii="Arial" w:cs="Arial" w:eastAsia="Arial" w:hAnsi="Arial"/>
          <w:sz w:val="20"/>
          <w:szCs w:val="20"/>
          <w:color w:val="auto"/>
        </w:rPr>
        <w:t>GOODWIN PROCTER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1021080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1560195" cy="3771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560195"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Fulcrum Therapeutics Announces Pricing of Upsized $175.0 Million Public Offering of Common Stock and Pre-Funded Warrants</w:t>
      </w:r>
    </w:p>
    <w:p>
      <w:pPr>
        <w:spacing w:after="0" w:line="232"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8"/>
          <w:szCs w:val="18"/>
          <w:color w:val="auto"/>
        </w:rPr>
        <w:t xml:space="preserve">CAMBRIDGE, Mass., December 10, 2025 (GLOBE NEWSWIRE) -- Fulcrum Therapeutics, Inc. </w:t>
      </w:r>
      <w:r>
        <w:rPr>
          <w:rFonts w:ascii="Times New Roman" w:cs="Times New Roman" w:eastAsia="Times New Roman" w:hAnsi="Times New Roman"/>
          <w:sz w:val="24"/>
          <w:szCs w:val="24"/>
          <w:b w:val="1"/>
          <w:bCs w:val="1"/>
          <w:color w:val="auto"/>
          <w:vertAlign w:val="superscript"/>
        </w:rPr>
        <w:t>®</w:t>
      </w:r>
      <w:r>
        <w:rPr>
          <w:rFonts w:ascii="Times New Roman" w:cs="Times New Roman" w:eastAsia="Times New Roman" w:hAnsi="Times New Roman"/>
          <w:sz w:val="18"/>
          <w:szCs w:val="18"/>
          <w:color w:val="auto"/>
        </w:rPr>
        <w:t xml:space="preserve"> (“Fulcrum”) (Nasdaq: FULC), a clinical-stage biopharmaceutical company focused on developing small molecules to improve the lives of patients with genetically defined rare diseases, today announced the pricing of its previously announced underwritten public offering of 11,851,853 shares of its common stock at a public offering price of $13.50 per share, and, in lieu of common stock to certain investors, pre-funded warrants to purchase up to 1,111,193 shares of common stock at a public offering price of $13.499 per pre-funded warrant, which represents the per share public offering price of each share of common stock less the $0.001 per share exercise price of each pre-funded warrant. The gross proceeds to Fulcrum from the offering, before deducting underwriting discounts and commissions and other offering expenses, are expected to be $175.0 million. In addition, Fulcrum has granted the underwriters a 30-day option to purchase up to an additional 1,944,456 shares of its common stock on the same terms and conditions. All of the securities in the offering are to be sold by Fulcrum.</w:t>
      </w:r>
    </w:p>
    <w:p>
      <w:pPr>
        <w:spacing w:after="0" w:line="19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Fulcrum currently intends to use the net proceeds from the sale of the securities offered in the public offering primarily for general corporate purposes, which may include working capital and capital expenditures, research and development expenses, including to fund clinical trials, regulatory submissions, commercialization, discovery and additional preclinical research and development of additional product candidates and platform enhancement, general and administrative expenses, and potential acquisitions of, or investments in, companies, technologies, products or assets that complement its business.</w:t>
      </w:r>
    </w:p>
    <w:p>
      <w:pPr>
        <w:spacing w:after="0" w:line="18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J.P. Morgan, Leerink Partners, and Cantor are acting as book-running managers for the offering. Oppenheimer &amp; Co. and Truist Securities are also acting as book-running managers for the offering. The offering is subject to the satisfaction of customary closing conditions and expected to close on or about December 11, 2025.</w:t>
      </w:r>
    </w:p>
    <w:p>
      <w:pPr>
        <w:spacing w:after="0" w:line="17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securities are being offered by Fulcrum pursuant to an effective shelf registration statement that was previously filed with the U.S. Securities and Exchange Commission (the “SEC”) on February 27, 2024 and declared effective by the SEC on April 25, 2024. The offering is being made only by means of a written prospectus and prospectus supplement that form a part of the registration statement. A preliminary prospectus supplement and accompanying prospectus relating to and describing the terms of the offering was filed with the SEC on December 8, 2025 and is available on the SEC’s website at www.sec.gov, and a final prospectus supplement and accompanying prospectus relating to the final terms of the offering will be filed with the SEC.</w:t>
      </w:r>
    </w:p>
    <w:p>
      <w:pPr>
        <w:spacing w:after="0" w:line="18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When available, copies of the final prospectus supplement and accompanying prospectus relating to the offering may be obtained from J.P. Morgan Securities LLC, c/o Broadridge Financial Solutions, 1155 Long Island Avenue, Edgewood, NY 11717, or by email at prospectus-eq_fi@jpmorgan.com and postsalemanualrequests@broadridge.com; Leerink Partners LLC, Attention: Syndicate Department, 53 State Street, 40th Floor, Boston, MA 02109, by telephone at (800) 808-7525, ext. 6105, or by email at syndicate@leerink.com; Cantor Fitzgerald &amp; Co. by mail at Attention: Capital Markets, 110 East 59th Street, New York 10022 or by email at prospectus@cantor.com; Oppenheimer &amp; Co. Inc. Attention: Syndicate Prospectus Department, 85 Broad Street, 26th Floor, New York, NY 10004, or by telephone at (212) 667-8055, or by email at EquityProspectus@opco.com; or Truist Securities, Inc., Attention: Equity Capital Markets, 740 Battery Ave SE, Atlanta, Georgia 30339, by telephone at (800) 685-4786 or by email at truistsecurities.prospectus@truist.com.</w:t>
      </w:r>
    </w:p>
    <w:p>
      <w:pPr>
        <w:spacing w:after="0" w:line="192"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This press release shall not constitute an offer to sell or a solicitation of an offer to buy these securities, nor shall there be any sale of these securities in any state or jurisdiction in which such offer, solicitation or sale would be unlawful prior to the registration or qualification under the securities laws of any such state or jurisdiction.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Fulcrum Therapeutics</w:t>
      </w:r>
    </w:p>
    <w:p>
      <w:pPr>
        <w:spacing w:after="0" w:line="3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Fulcrum Therapeutics is a clinical-stage biopharmaceutical company focused on developing small molecules to improve the lives of patients with genetically defined rare diseases in areas of high unmet medical need. Fulcrum’s lead clinical program is pociredir, a small molecule designed to increase expression of fetal hemoglobin for the treatment of sickle cell disease. Fulcrum uses proprietary technology to identify drug targets that can modulate gene expression to treat the known root cause of gene mis-expression.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3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including, but not limited to, statements regarding the completion of the public offering and the use of proceeds from the public offering. All such forward-looking statements are based on management’s current expectations of future events and are subject to a number of risks and uncertainties that could cause actual results to differ materially and adversely from those set forth in or implied by such forward-looking statements. These risks and uncertainties related to fluctuations in Fulcrum’s stock price, changes in market conditions and satisfaction of customary closing conditions related to the public offering, as well as the other factors discussed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599440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1" w:name="page72"/>
    <w:bookmarkEnd w:id="71"/>
    <w:p>
      <w:pPr>
        <w:jc w:val="both"/>
        <w:spacing w:after="0" w:line="261" w:lineRule="auto"/>
        <w:rPr>
          <w:sz w:val="20"/>
          <w:szCs w:val="20"/>
          <w:color w:val="auto"/>
        </w:rPr>
      </w:pPr>
      <w:r>
        <w:rPr>
          <w:rFonts w:ascii="Times New Roman" w:cs="Times New Roman" w:eastAsia="Times New Roman" w:hAnsi="Times New Roman"/>
          <w:sz w:val="18"/>
          <w:szCs w:val="18"/>
          <w:color w:val="auto"/>
        </w:rPr>
        <w:t>“Risk Factors” section in the prospectus supplement and registration statement referenced above and in Fulcrum’s most recently filed Quarterly Report on Form 10-Q, as well as other risks detailed in Fulcrum’s filings with the Securities and Exchange Commission. There can be no assurance that Fulcrum will be able to complete the public offering on the anticipated terms. All information in this press release is as of the date of the release, and Fulcrum undertakes no duty to update this information, even if subsequent events cause its views to change, unless required by law.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Kevin Gardner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LifeSci Advisors,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kgardner@lifesciadvisors.com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617-283-2856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72" w:name="page73"/>
    <w:bookmarkEnd w:id="7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1)"/>
      <w:numFmt w:val="lowerLetter"/>
      <w:start w:val="4"/>
    </w:lvl>
  </w:abstractNum>
  <w:abstractNum w:abstractNumId="2">
    <w:nsid w:val="71F32454"/>
    <w:multiLevelType w:val="hybridMultilevel"/>
    <w:lvl w:ilvl="0">
      <w:lvlJc w:val="left"/>
      <w:lvlText w:val="%1."/>
      <w:numFmt w:val="decimal"/>
      <w:start w:val="1"/>
    </w:lvl>
    <w:lvl w:ilvl="1">
      <w:lvlJc w:val="left"/>
      <w:lvlText w:val="(%2)"/>
      <w:numFmt w:val="lowerLetter"/>
      <w:start w:val="1"/>
    </w:lvl>
  </w:abstractNum>
  <w:abstractNum w:abstractNumId="3">
    <w:nsid w:val="2CA88611"/>
    <w:multiLevelType w:val="hybridMultilevel"/>
    <w:lvl w:ilvl="0">
      <w:lvlJc w:val="left"/>
      <w:lvlText w:val="(%1)"/>
      <w:numFmt w:val="lowerLetter"/>
      <w:start w:val="2"/>
    </w:lvl>
  </w:abstractNum>
  <w:abstractNum w:abstractNumId="4">
    <w:nsid w:val="836C40E"/>
    <w:multiLevelType w:val="hybridMultilevel"/>
    <w:lvl w:ilvl="0">
      <w:lvlJc w:val="left"/>
      <w:lvlText w:val="(%1)"/>
      <w:numFmt w:val="lowerLetter"/>
      <w:start w:val="3"/>
    </w:lvl>
  </w:abstractNum>
  <w:abstractNum w:abstractNumId="5">
    <w:nsid w:val="2901D82"/>
    <w:multiLevelType w:val="hybridMultilevel"/>
    <w:lvl w:ilvl="0">
      <w:lvlJc w:val="left"/>
      <w:lvlText w:val="(%1)"/>
      <w:numFmt w:val="lowerLetter"/>
      <w:start w:val="7"/>
    </w:lvl>
  </w:abstractNum>
  <w:abstractNum w:abstractNumId="6">
    <w:nsid w:val="3A95F874"/>
    <w:multiLevelType w:val="hybridMultilevel"/>
    <w:lvl w:ilvl="0">
      <w:lvlJc w:val="left"/>
      <w:lvlText w:val="(%1)"/>
      <w:numFmt w:val="lowerLetter"/>
      <w:start w:val="10"/>
    </w:lvl>
  </w:abstractNum>
  <w:abstractNum w:abstractNumId="7">
    <w:nsid w:val="8138641"/>
    <w:multiLevelType w:val="hybridMultilevel"/>
    <w:lvl w:ilvl="0">
      <w:lvlJc w:val="left"/>
      <w:lvlText w:val="%1"/>
      <w:numFmt w:val="lowerLetter"/>
      <w:start w:val="1"/>
    </w:lvl>
    <w:lvl w:ilvl="1">
      <w:lvlJc w:val="left"/>
      <w:lvlText w:val="(%2)"/>
      <w:numFmt w:val="lowerLetter"/>
      <w:start w:val="14"/>
    </w:lvl>
  </w:abstractNum>
  <w:abstractNum w:abstractNumId="8">
    <w:nsid w:val="1E7FF521"/>
    <w:multiLevelType w:val="hybridMultilevel"/>
    <w:lvl w:ilvl="0">
      <w:lvlJc w:val="left"/>
      <w:lvlText w:val="(%1)"/>
      <w:numFmt w:val="lowerLetter"/>
      <w:start w:val="61"/>
    </w:lvl>
    <w:lvl w:ilvl="1">
      <w:lvlJc w:val="left"/>
      <w:lvlText w:val="(%2)"/>
      <w:numFmt w:val="lowerLetter"/>
      <w:start w:val="18"/>
    </w:lvl>
  </w:abstractNum>
  <w:abstractNum w:abstractNumId="9">
    <w:nsid w:val="7C3DBD3D"/>
    <w:multiLevelType w:val="hybridMultilevel"/>
    <w:lvl w:ilvl="0">
      <w:lvlJc w:val="left"/>
      <w:lvlText w:val="(%1)"/>
      <w:numFmt w:val="lowerLetter"/>
      <w:start w:val="21"/>
    </w:lvl>
  </w:abstractNum>
  <w:abstractNum w:abstractNumId="10">
    <w:nsid w:val="737B8DDC"/>
    <w:multiLevelType w:val="hybridMultilevel"/>
    <w:lvl w:ilvl="0">
      <w:lvlJc w:val="left"/>
      <w:lvlText w:val="(%1)"/>
      <w:numFmt w:val="lowerLetter"/>
      <w:start w:val="24"/>
    </w:lvl>
  </w:abstractNum>
  <w:abstractNum w:abstractNumId="11">
    <w:nsid w:val="6CEAF087"/>
    <w:multiLevelType w:val="hybridMultilevel"/>
    <w:lvl w:ilvl="0">
      <w:lvlJc w:val="left"/>
      <w:lvlText w:val="(%1)"/>
      <w:numFmt w:val="lowerLetter"/>
      <w:start w:val="26"/>
    </w:lvl>
  </w:abstractNum>
  <w:abstractNum w:abstractNumId="12">
    <w:nsid w:val="22221A70"/>
    <w:multiLevelType w:val="hybridMultilevel"/>
    <w:lvl w:ilvl="0">
      <w:lvlJc w:val="left"/>
      <w:lvlText w:val="(%1)"/>
      <w:numFmt w:val="lowerLetter"/>
      <w:start w:val="35"/>
    </w:lvl>
  </w:abstractNum>
  <w:abstractNum w:abstractNumId="13">
    <w:nsid w:val="4516DDE9"/>
    <w:multiLevelType w:val="hybridMultilevel"/>
    <w:lvl w:ilvl="0">
      <w:lvlJc w:val="left"/>
      <w:lvlText w:val="(%1)"/>
      <w:numFmt w:val="lowerLetter"/>
      <w:start w:val="38"/>
    </w:lvl>
  </w:abstractNum>
  <w:abstractNum w:abstractNumId="14">
    <w:nsid w:val="3006C83E"/>
    <w:multiLevelType w:val="hybridMultilevel"/>
    <w:lvl w:ilvl="0">
      <w:lvlJc w:val="left"/>
      <w:lvlText w:val="%1"/>
      <w:numFmt w:val="decimal"/>
      <w:start w:val="1"/>
    </w:lvl>
    <w:lvl w:ilvl="1">
      <w:lvlJc w:val="left"/>
      <w:lvlText w:val="(%2)"/>
      <w:numFmt w:val="lowerLetter"/>
      <w:start w:val="46"/>
    </w:lvl>
  </w:abstractNum>
  <w:abstractNum w:abstractNumId="15">
    <w:nsid w:val="614FD4A1"/>
    <w:multiLevelType w:val="hybridMultilevel"/>
    <w:lvl w:ilvl="0">
      <w:lvlJc w:val="left"/>
      <w:lvlText w:val="%1."/>
      <w:numFmt w:val="decimal"/>
      <w:start w:val="2"/>
    </w:lvl>
    <w:lvl w:ilvl="1">
      <w:lvlJc w:val="left"/>
      <w:lvlText w:val="%2"/>
      <w:numFmt w:val="lowerLetter"/>
      <w:start w:val="1"/>
    </w:lvl>
  </w:abstractNum>
  <w:abstractNum w:abstractNumId="16">
    <w:nsid w:val="419AC241"/>
    <w:multiLevelType w:val="hybridMultilevel"/>
    <w:lvl w:ilvl="0">
      <w:lvlJc w:val="left"/>
      <w:lvlText w:val="%1."/>
      <w:numFmt w:val="decimal"/>
      <w:start w:val="3"/>
    </w:lvl>
    <w:lvl w:ilvl="1">
      <w:lvlJc w:val="left"/>
      <w:lvlText w:val="(%2)"/>
      <w:numFmt w:val="lowerLetter"/>
      <w:start w:val="2"/>
    </w:lvl>
  </w:abstractNum>
  <w:abstractNum w:abstractNumId="17">
    <w:nsid w:val="5577F8E1"/>
    <w:multiLevelType w:val="hybridMultilevel"/>
    <w:lvl w:ilvl="0">
      <w:lvlJc w:val="left"/>
      <w:lvlText w:val="%1"/>
      <w:numFmt w:val="decimal"/>
      <w:start w:val="1"/>
    </w:lvl>
    <w:lvl w:ilvl="1">
      <w:lvlJc w:val="left"/>
      <w:lvlText w:val="(%2)"/>
      <w:numFmt w:val="lowerLetter"/>
      <w:start w:val="3"/>
    </w:lvl>
  </w:abstractNum>
  <w:abstractNum w:abstractNumId="18">
    <w:nsid w:val="440BADFC"/>
    <w:multiLevelType w:val="hybridMultilevel"/>
    <w:lvl w:ilvl="0">
      <w:lvlJc w:val="left"/>
      <w:lvlText w:val="%1."/>
      <w:numFmt w:val="decimal"/>
      <w:start w:val="5"/>
    </w:lvl>
    <w:lvl w:ilvl="1">
      <w:lvlJc w:val="left"/>
      <w:lvlText w:val="(%2)"/>
      <w:numFmt w:val="lowerLetter"/>
      <w:start w:val="1"/>
    </w:lvl>
  </w:abstractNum>
  <w:abstractNum w:abstractNumId="19">
    <w:nsid w:val="5072367"/>
    <w:multiLevelType w:val="hybridMultilevel"/>
    <w:lvl w:ilvl="0">
      <w:lvlJc w:val="left"/>
      <w:lvlText w:val="(%1)"/>
      <w:numFmt w:val="lowerLetter"/>
      <w:start w:val="3"/>
    </w:lvl>
  </w:abstractNum>
  <w:abstractNum w:abstractNumId="20">
    <w:nsid w:val="3804823E"/>
    <w:multiLevelType w:val="hybridMultilevel"/>
    <w:lvl w:ilvl="0">
      <w:lvlJc w:val="left"/>
      <w:lvlText w:val="%1"/>
      <w:numFmt w:val="decimal"/>
      <w:start w:val="1"/>
    </w:lvl>
    <w:lvl w:ilvl="1">
      <w:lvlJc w:val="left"/>
      <w:lvlText w:val="(%2)"/>
      <w:numFmt w:val="lowerLetter"/>
      <w:start w:val="7"/>
    </w:lvl>
  </w:abstractNum>
  <w:abstractNum w:abstractNumId="21">
    <w:nsid w:val="77465F01"/>
    <w:multiLevelType w:val="hybridMultilevel"/>
    <w:lvl w:ilvl="0">
      <w:lvlJc w:val="left"/>
      <w:lvlText w:val="%1."/>
      <w:numFmt w:val="decimal"/>
      <w:start w:val="6"/>
    </w:lvl>
    <w:lvl w:ilvl="1">
      <w:lvlJc w:val="left"/>
      <w:lvlText w:val="%2"/>
      <w:numFmt w:val="lowerLetter"/>
      <w:start w:val="1"/>
    </w:lvl>
  </w:abstractNum>
  <w:abstractNum w:abstractNumId="22">
    <w:nsid w:val="7724C67E"/>
    <w:multiLevelType w:val="hybridMultilevel"/>
    <w:lvl w:ilvl="0">
      <w:lvlJc w:val="left"/>
      <w:lvlText w:val="%1"/>
      <w:numFmt w:val="decimal"/>
      <w:start w:val="1"/>
    </w:lvl>
    <w:lvl w:ilvl="1">
      <w:lvlJc w:val="left"/>
      <w:lvlText w:val="(%2)"/>
      <w:numFmt w:val="lowerLetter"/>
      <w:start w:val="2"/>
    </w:lvl>
  </w:abstractNum>
  <w:abstractNum w:abstractNumId="23">
    <w:nsid w:val="5C482A97"/>
    <w:multiLevelType w:val="hybridMultilevel"/>
    <w:lvl w:ilvl="0">
      <w:lvlJc w:val="left"/>
      <w:lvlText w:val="%1."/>
      <w:numFmt w:val="decimal"/>
      <w:start w:val="7"/>
    </w:lvl>
    <w:lvl w:ilvl="1">
      <w:lvlJc w:val="left"/>
      <w:lvlText w:val="%2"/>
      <w:numFmt w:val="lowerLetter"/>
      <w:start w:val="1"/>
    </w:lvl>
  </w:abstractNum>
  <w:abstractNum w:abstractNumId="24">
    <w:nsid w:val="2463B9EA"/>
    <w:multiLevelType w:val="hybridMultilevel"/>
    <w:lvl w:ilvl="0">
      <w:lvlJc w:val="left"/>
      <w:lvlText w:val="%1."/>
      <w:numFmt w:val="decimal"/>
      <w:start w:val="8"/>
    </w:lvl>
    <w:lvl w:ilvl="1">
      <w:lvlJc w:val="left"/>
      <w:lvlText w:val="(%2)"/>
      <w:numFmt w:val="lowerLetter"/>
      <w:start w:val="1"/>
    </w:lvl>
  </w:abstractNum>
  <w:abstractNum w:abstractNumId="25">
    <w:nsid w:val="5E884ADC"/>
    <w:multiLevelType w:val="hybridMultilevel"/>
    <w:lvl w:ilvl="0">
      <w:lvlJc w:val="left"/>
      <w:lvlText w:val="(%1)"/>
      <w:numFmt w:val="lowerLetter"/>
      <w:start w:val="7"/>
    </w:lvl>
  </w:abstractNum>
  <w:abstractNum w:abstractNumId="26">
    <w:nsid w:val="51EAD36B"/>
    <w:multiLevelType w:val="hybridMultilevel"/>
    <w:lvl w:ilvl="0">
      <w:lvlJc w:val="left"/>
      <w:lvlText w:val="%1."/>
      <w:numFmt w:val="decimal"/>
      <w:start w:val="9"/>
    </w:lvl>
    <w:lvl w:ilvl="1">
      <w:lvlJc w:val="left"/>
      <w:lvlText w:val="(%2)"/>
      <w:numFmt w:val="lowerLetter"/>
      <w:start w:val="2"/>
    </w:lvl>
  </w:abstractNum>
  <w:abstractNum w:abstractNumId="27">
    <w:nsid w:val="2D517796"/>
    <w:multiLevelType w:val="hybridMultilevel"/>
    <w:lvl w:ilvl="0">
      <w:lvlJc w:val="left"/>
      <w:lvlText w:val="(%1)"/>
      <w:numFmt w:val="lowerLetter"/>
      <w:start w:val="4"/>
    </w:lvl>
  </w:abstractNum>
  <w:abstractNum w:abstractNumId="28">
    <w:nsid w:val="580BD78F"/>
    <w:multiLevelType w:val="hybridMultilevel"/>
    <w:lvl w:ilvl="0">
      <w:lvlJc w:val="left"/>
      <w:lvlText w:val="%1"/>
      <w:numFmt w:val="decimal"/>
      <w:start w:val="1"/>
    </w:lvl>
    <w:lvl w:ilvl="1">
      <w:lvlJc w:val="left"/>
      <w:lvlText w:val="(%2)"/>
      <w:numFmt w:val="lowerLetter"/>
      <w:start w:val="5"/>
    </w:lvl>
  </w:abstractNum>
  <w:abstractNum w:abstractNumId="29">
    <w:nsid w:val="153EA438"/>
    <w:multiLevelType w:val="hybridMultilevel"/>
    <w:lvl w:ilvl="0">
      <w:lvlJc w:val="left"/>
      <w:lvlText w:val="%1."/>
      <w:numFmt w:val="decimal"/>
      <w:start w:val="10"/>
    </w:lvl>
    <w:lvl w:ilvl="1">
      <w:lvlJc w:val="left"/>
      <w:lvlText w:val="(%2)"/>
      <w:numFmt w:val="lowerLetter"/>
      <w:start w:val="2"/>
    </w:lvl>
  </w:abstractNum>
  <w:abstractNum w:abstractNumId="30">
    <w:nsid w:val="3855585C"/>
    <w:multiLevelType w:val="hybridMultilevel"/>
    <w:lvl w:ilvl="0">
      <w:lvlJc w:val="left"/>
      <w:lvlText w:val="%1."/>
      <w:numFmt w:val="decimal"/>
      <w:start w:val="11"/>
    </w:lvl>
  </w:abstractNum>
  <w:abstractNum w:abstractNumId="31">
    <w:nsid w:val="70A64E2A"/>
    <w:multiLevelType w:val="hybridMultilevel"/>
    <w:lvl w:ilvl="0">
      <w:lvlJc w:val="left"/>
      <w:lvlText w:val="%1."/>
      <w:numFmt w:val="decimal"/>
      <w:start w:val="14"/>
    </w:lvl>
  </w:abstractNum>
  <w:abstractNum w:abstractNumId="32">
    <w:nsid w:val="6A2342EC"/>
    <w:multiLevelType w:val="hybridMultilevel"/>
    <w:lvl w:ilvl="0">
      <w:lvlJc w:val="left"/>
      <w:lvlText w:val="%1."/>
      <w:numFmt w:val="decimal"/>
      <w:start w:val="15"/>
    </w:lvl>
  </w:abstractNum>
  <w:abstractNum w:abstractNumId="33">
    <w:nsid w:val="2A487CB0"/>
    <w:multiLevelType w:val="hybridMultilevel"/>
    <w:lvl w:ilvl="0">
      <w:lvlJc w:val="left"/>
      <w:lvlText w:val="(%1)"/>
      <w:numFmt w:val="lowerLetter"/>
      <w:start w:val="1"/>
    </w:lvl>
  </w:abstractNum>
  <w:abstractNum w:abstractNumId="34">
    <w:nsid w:val="1D4ED43B"/>
    <w:multiLevelType w:val="hybridMultilevel"/>
    <w:lvl w:ilvl="0">
      <w:lvlJc w:val="left"/>
      <w:lvlText w:val="(%1)"/>
      <w:numFmt w:val="lowerRoman"/>
      <w:start w:val="1"/>
    </w:lvl>
  </w:abstractNum>
  <w:abstractNum w:abstractNumId="35">
    <w:nsid w:val="725A06FB"/>
    <w:multiLevelType w:val="hybridMultilevel"/>
    <w:lvl w:ilvl="0">
      <w:lvlJc w:val="left"/>
      <w:lvlText w:val="(%1)"/>
      <w:numFmt w:val="lowerLetter"/>
      <w:start w:val="1"/>
    </w:lvl>
  </w:abstractNum>
  <w:abstractNum w:abstractNumId="36">
    <w:nsid w:val="2CD89A32"/>
    <w:multiLevelType w:val="hybridMultilevel"/>
    <w:lvl w:ilvl="0">
      <w:lvlJc w:val="left"/>
      <w:lvlText w:val="(%1)"/>
      <w:numFmt w:val="lowerLetter"/>
      <w:start w:val="3"/>
    </w:lvl>
  </w:abstractNum>
  <w:abstractNum w:abstractNumId="37">
    <w:nsid w:val="57E4CCAF"/>
    <w:multiLevelType w:val="hybridMultilevel"/>
    <w:lvl w:ilvl="0">
      <w:lvlJc w:val="left"/>
      <w:lvlText w:val="(%1)"/>
      <w:numFmt w:val="lowerLetter"/>
      <w:start w:val="4"/>
    </w:lvl>
  </w:abstractNum>
  <w:abstractNum w:abstractNumId="38">
    <w:nsid w:val="7A6D8D3C"/>
    <w:multiLevelType w:val="hybridMultilevel"/>
    <w:lvl w:ilvl="0">
      <w:lvlJc w:val="left"/>
      <w:lvlText w:val="(%1)"/>
      <w:numFmt w:val="lowerLetter"/>
      <w:start w:val="3"/>
    </w:lvl>
  </w:abstractNum>
  <w:abstractNum w:abstractNumId="39">
    <w:nsid w:val="4B588F54"/>
    <w:multiLevelType w:val="hybridMultilevel"/>
    <w:lvl w:ilvl="0">
      <w:lvlJc w:val="left"/>
      <w:lvlText w:val="(%1)"/>
      <w:numFmt w:val="lowerLetter"/>
      <w:start w:val="5"/>
    </w:lvl>
  </w:abstractNum>
  <w:abstractNum w:abstractNumId="40">
    <w:nsid w:val="542289EC"/>
    <w:multiLevelType w:val="hybridMultilevel"/>
    <w:lvl w:ilvl="0">
      <w:lvlJc w:val="left"/>
      <w:lvlText w:val="(%1)"/>
      <w:numFmt w:val="decimal"/>
      <w:start w:val="5"/>
    </w:lvl>
  </w:abstractNum>
  <w:abstractNum w:abstractNumId="41">
    <w:nsid w:val="6DE91B18"/>
    <w:multiLevelType w:val="hybridMultilevel"/>
    <w:lvl w:ilvl="0">
      <w:lvlJc w:val="left"/>
      <w:lvlText w:val="(%1)"/>
      <w:numFmt w:val="decimal"/>
      <w:start w:val="6"/>
    </w:lvl>
  </w:abstractNum>
  <w:abstractNum w:abstractNumId="42">
    <w:nsid w:val="38437FDB"/>
    <w:multiLevelType w:val="hybridMultilevel"/>
    <w:lvl w:ilvl="0">
      <w:lvlJc w:val="left"/>
      <w:lvlText w:val="%1"/>
      <w:numFmt w:val="lowerLetter"/>
      <w:start w:val="1"/>
    </w:lvl>
    <w:lvl w:ilvl="1">
      <w:lvlJc w:val="left"/>
      <w:lvlText w:val="(%2)"/>
      <w:numFmt w:val="lowerLetter"/>
      <w:start w:val="1"/>
    </w:lvl>
  </w:abstractNum>
  <w:abstractNum w:abstractNumId="43">
    <w:nsid w:val="7644A45C"/>
    <w:multiLevelType w:val="hybridMultilevel"/>
    <w:lvl w:ilvl="0">
      <w:lvlJc w:val="left"/>
      <w:lvlText w:val="(%1)"/>
      <w:numFmt w:val="lowerLetter"/>
      <w:start w:val="9"/>
    </w:lvl>
    <w:lvl w:ilvl="1">
      <w:lvlJc w:val="left"/>
      <w:lvlText w:val="%2"/>
      <w:numFmt w:val="lowerLetter"/>
      <w:start w:val="1"/>
    </w:lvl>
  </w:abstractNum>
  <w:abstractNum w:abstractNumId="44">
    <w:nsid w:val="32FFF902"/>
    <w:multiLevelType w:val="hybridMultilevel"/>
    <w:lvl w:ilvl="0">
      <w:lvlJc w:val="left"/>
      <w:lvlText w:val="(%1)"/>
      <w:numFmt w:val="upperLetter"/>
      <w:start w:val="2"/>
    </w:lvl>
    <w:lvl w:ilvl="1">
      <w:lvlJc w:val="left"/>
      <w:lvlText w:val="(%2)"/>
      <w:numFmt w:val="lowerLetter"/>
      <w:start w:val="2"/>
    </w:lvl>
  </w:abstractNum>
  <w:abstractNum w:abstractNumId="45">
    <w:nsid w:val="684A481A"/>
    <w:multiLevelType w:val="hybridMultilevel"/>
    <w:lvl w:ilvl="0">
      <w:lvlJc w:val="left"/>
      <w:lvlText w:val="(%1)"/>
      <w:numFmt w:val="lowerLetter"/>
      <w:start w:val="4"/>
    </w:lvl>
  </w:abstractNum>
  <w:abstractNum w:abstractNumId="46">
    <w:nsid w:val="579478FE"/>
    <w:multiLevelType w:val="hybridMultilevel"/>
    <w:lvl w:ilvl="0">
      <w:lvlJc w:val="left"/>
      <w:lvlText w:val="(%1)"/>
      <w:numFmt w:val="lowerRoman"/>
      <w:start w:val="1"/>
    </w:lvl>
  </w:abstractNum>
  <w:abstractNum w:abstractNumId="47">
    <w:nsid w:val="749ABB43"/>
    <w:multiLevelType w:val="hybridMultilevel"/>
    <w:lvl w:ilvl="0">
      <w:lvlJc w:val="left"/>
      <w:lvlText w:val="(%1)"/>
      <w:numFmt w:val="lowerLetter"/>
      <w:start w:val="3"/>
    </w:lvl>
  </w:abstractNum>
  <w:abstractNum w:abstractNumId="48">
    <w:nsid w:val="3DC240FB"/>
    <w:multiLevelType w:val="hybridMultilevel"/>
    <w:lvl w:ilvl="0">
      <w:lvlJc w:val="left"/>
      <w:lvlText w:val="(%1)"/>
      <w:numFmt w:val="lowerLetter"/>
      <w:start w:val="5"/>
    </w:lvl>
  </w:abstractNum>
  <w:abstractNum w:abstractNumId="49">
    <w:nsid w:val="1BA026FA"/>
    <w:multiLevelType w:val="hybridMultilevel"/>
    <w:lvl w:ilvl="0">
      <w:lvlJc w:val="left"/>
      <w:lvlText w:val="(%1)"/>
      <w:numFmt w:val="decimal"/>
      <w:start w:val="5"/>
    </w:lvl>
  </w:abstractNum>
  <w:abstractNum w:abstractNumId="50">
    <w:nsid w:val="79A1DEAA"/>
    <w:multiLevelType w:val="hybridMultilevel"/>
    <w:lvl w:ilvl="0">
      <w:lvlJc w:val="left"/>
      <w:lvlText w:val="(%1)"/>
      <w:numFmt w:val="decimal"/>
      <w:start w:val="6"/>
    </w:lvl>
  </w:abstractNum>
  <w:abstractNum w:abstractNumId="51">
    <w:nsid w:val="75C6C3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2025-12-11T05:28:15Z</dcterms:created>
  <dcterms:modified xsi:type="dcterms:W3CDTF">2025-12-11T05:28:15Z</dcterms:modified>
</cp:coreProperties>
</file>