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Gould Robert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02/02/2021</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180340</wp:posOffset>
            </wp:positionV>
            <wp:extent cx="6969760" cy="86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235"/>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02/02/2021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269,390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02/01/2031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269,390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269,390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This option was granted on February 2, 2021 and is scheduled to vest in equal quarterly installments over four years beginning on the vesting commencement date of January 1, 2021, subject to continued service.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&amp; Chief Executive Officer</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Peter Thomson, as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Robert J. Gould</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2021-02-04T15:37:09Z</dcterms:created>
  <dcterms:modified xsi:type="dcterms:W3CDTF">2021-02-04T15:37:09Z</dcterms:modified>
</cp:coreProperties>
</file>