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660" w:right="1580" w:hanging="3652"/>
        <w:spacing w:after="0" w:line="407" w:lineRule="auto"/>
        <w:tabs>
          <w:tab w:leader="none" w:pos="51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-418465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5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34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-7620</wp:posOffset>
            </wp:positionV>
            <wp:extent cx="1237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616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20" w:type="dxa"/>
            <w:vAlign w:val="bottom"/>
          </w:tcPr>
          <w:p>
            <w:pPr>
              <w:spacing w:after="0"/>
              <w:rPr>
                <w:sz w:val="20"/>
                <w:szCs w:val="20"/>
                <w:color w:val="auto"/>
              </w:rPr>
            </w:pPr>
          </w:p>
        </w:tc>
      </w:tr>
      <w:tr>
        <w:trPr>
          <w:trHeight w:val="94"/>
        </w:trPr>
        <w:tc>
          <w:tcPr>
            <w:tcW w:w="28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308"/>
        </w:trPr>
        <w:tc>
          <w:tcPr>
            <w:tcW w:w="616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Delaware</w:t>
            </w:r>
          </w:p>
        </w:tc>
        <w:tc>
          <w:tcPr>
            <w:tcW w:w="122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6160" w:type="dxa"/>
            <w:vAlign w:val="bottom"/>
            <w:gridSpan w:val="3"/>
          </w:tcPr>
          <w:p>
            <w:pPr>
              <w:jc w:val="center"/>
              <w:ind w:right="37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6160" w:type="dxa"/>
            <w:vAlign w:val="bottom"/>
            <w:gridSpan w:val="3"/>
          </w:tcPr>
          <w:p>
            <w:pPr>
              <w:jc w:val="center"/>
              <w:ind w:right="3760"/>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616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8"/>
              </w:rPr>
              <w:t>26 Landsdowne Street</w:t>
            </w:r>
          </w:p>
        </w:tc>
        <w:tc>
          <w:tcPr>
            <w:tcW w:w="1220" w:type="dxa"/>
            <w:vAlign w:val="bottom"/>
          </w:tcPr>
          <w:p>
            <w:pPr>
              <w:spacing w:after="0"/>
              <w:rPr>
                <w:sz w:val="18"/>
                <w:szCs w:val="18"/>
                <w:color w:val="auto"/>
              </w:rPr>
            </w:pPr>
          </w:p>
        </w:tc>
      </w:tr>
      <w:tr>
        <w:trPr>
          <w:trHeight w:val="212"/>
        </w:trPr>
        <w:tc>
          <w:tcPr>
            <w:tcW w:w="616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88"/>
              </w:rPr>
              <w:t>Cambridge, Massachusetts</w:t>
            </w:r>
          </w:p>
        </w:tc>
        <w:tc>
          <w:tcPr>
            <w:tcW w:w="122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616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Common stock, par value $0.001 per share</w:t>
            </w: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FULC</w:t>
            </w:r>
          </w:p>
        </w:tc>
        <w:tc>
          <w:tcPr>
            <w:tcW w:w="12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Nasdaq Global Market</w:t>
            </w:r>
          </w:p>
        </w:tc>
      </w:tr>
    </w:tbl>
    <w:p>
      <w:pPr>
        <w:spacing w:after="0" w:line="90" w:lineRule="exact"/>
        <w:rPr>
          <w:sz w:val="24"/>
          <w:szCs w:val="24"/>
          <w:color w:val="auto"/>
        </w:rPr>
      </w:pPr>
    </w:p>
    <w:p>
      <w:pPr>
        <w:ind w:right="80" w:firstLine="51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ind w:right="400" w:firstLine="510"/>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196" w:lineRule="exact"/>
        <w:tabs>
          <w:tab w:leader="none" w:pos="8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260" w:firstLine="51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19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0"/>
                <w:szCs w:val="20"/>
                <w:color w:val="auto"/>
              </w:rPr>
            </w:pPr>
            <w:r>
              <w:rPr>
                <w:rFonts w:ascii="Arial" w:cs="Arial" w:eastAsia="Arial" w:hAnsi="Arial"/>
                <w:sz w:val="17"/>
                <w:szCs w:val="17"/>
                <w:color w:val="auto"/>
              </w:rPr>
              <w:t>Non-accelerated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88" w:lineRule="exact"/>
        <w:rPr>
          <w:sz w:val="24"/>
          <w:szCs w:val="24"/>
          <w:color w:val="auto"/>
        </w:rPr>
      </w:pPr>
    </w:p>
    <w:p>
      <w:pPr>
        <w:jc w:val="both"/>
        <w:ind w:right="20" w:firstLine="51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6" w:lineRule="exact"/>
        <w:rPr>
          <w:sz w:val="24"/>
          <w:szCs w:val="24"/>
          <w:color w:val="auto"/>
        </w:rPr>
      </w:pPr>
    </w:p>
    <w:p>
      <w:pPr>
        <w:ind w:left="520" w:right="156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4, 2020, the registrant had 27,462,565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section and include, among other things:</w:t>
      </w:r>
    </w:p>
    <w:p>
      <w:pPr>
        <w:spacing w:after="0" w:line="86" w:lineRule="exact"/>
        <w:rPr>
          <w:sz w:val="20"/>
          <w:szCs w:val="20"/>
          <w:color w:val="auto"/>
        </w:rPr>
      </w:pPr>
    </w:p>
    <w:p>
      <w:pPr>
        <w:ind w:left="880" w:right="400" w:hanging="373"/>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ongoing clinical trials of losmapimod, including our ongoing Phase 2b and Phase 2 open label clinical trials for the treatment of facioscapulohumeral muscular dystrophy, and our ongoing Phase 3 clinical trial for the treatment of the novel coronavirus, or COVID-19;</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Phase 1 clinical trial of FTX-6058;</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 and our future financial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and any other product candidates, including in combination with other drugs and therapies;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and our ability to submit applications for, obtain and maintain regulatory approvals for losmapimod and other product candidates;</w:t>
      </w:r>
    </w:p>
    <w:p>
      <w:pPr>
        <w:spacing w:after="0" w:line="140" w:lineRule="exact"/>
        <w:rPr>
          <w:rFonts w:ascii="Arial" w:cs="Arial" w:eastAsia="Arial" w:hAnsi="Arial"/>
          <w:sz w:val="16"/>
          <w:szCs w:val="16"/>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collaborations with Acceleron Pharma Inc. and MyoKardia, Inc.;</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ind w:left="880" w:right="2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225"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2"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60" w:type="dxa"/>
            <w:vAlign w:val="bottom"/>
            <w:gridSpan w:val="3"/>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w:t>
              </w:r>
            </w:hyperlink>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80" w:type="dxa"/>
            <w:vAlign w:val="bottom"/>
            <w:vMerge w:val="continue"/>
          </w:tcPr>
          <w:p>
            <w:pPr>
              <w:spacing w:after="0"/>
              <w:rPr>
                <w:sz w:val="19"/>
                <w:szCs w:val="19"/>
                <w:color w:val="auto"/>
              </w:rPr>
            </w:pPr>
          </w:p>
        </w:tc>
        <w:tc>
          <w:tcPr>
            <w:tcW w:w="986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86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September 30, 2020 and December 31,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860" w:type="dxa"/>
            <w:vAlign w:val="bottom"/>
            <w:gridSpan w:val="3"/>
          </w:tcPr>
          <w:p>
            <w:pPr>
              <w:spacing w:after="0"/>
              <w:rPr>
                <w:rFonts w:ascii="Arial" w:cs="Arial" w:eastAsia="Arial" w:hAnsi="Arial"/>
                <w:sz w:val="18"/>
                <w:szCs w:val="18"/>
                <w:u w:val="single" w:color="auto"/>
                <w:color w:val="0000EE"/>
                <w:w w:val="92"/>
              </w:rPr>
            </w:pPr>
            <w:hyperlink w:anchor="page6">
              <w:r>
                <w:rPr>
                  <w:rFonts w:ascii="Arial" w:cs="Arial" w:eastAsia="Arial" w:hAnsi="Arial"/>
                  <w:sz w:val="18"/>
                  <w:szCs w:val="18"/>
                  <w:u w:val="single" w:color="auto"/>
                  <w:color w:val="0000EE"/>
                  <w:w w:val="92"/>
                </w:rPr>
                <w:t>Consolidated Statements of Operations and Comprehensive Loss for the three and nine months ended September 30,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922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Convertible Preferred Stock and Stockholders’ Equity (Deficit) for the three and nine months ended</w:t>
              </w:r>
            </w:hyperlink>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16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September 30, 2020 and 2019</w:t>
              </w:r>
            </w:hyperlink>
          </w:p>
        </w:tc>
        <w:tc>
          <w:tcPr>
            <w:tcW w:w="770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986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for the nine months ended September 30,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986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86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860" w:type="dxa"/>
            <w:vAlign w:val="bottom"/>
            <w:gridSpan w:val="3"/>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60" w:type="dxa"/>
            <w:vAlign w:val="bottom"/>
            <w:gridSpan w:val="3"/>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860" w:type="dxa"/>
            <w:vAlign w:val="bottom"/>
            <w:gridSpan w:val="3"/>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3"/>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860" w:type="dxa"/>
            <w:vAlign w:val="bottom"/>
            <w:gridSpan w:val="3"/>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rFonts w:ascii="Arial" w:cs="Arial" w:eastAsia="Arial" w:hAnsi="Arial"/>
                <w:sz w:val="18"/>
                <w:szCs w:val="18"/>
                <w:u w:val="single" w:color="auto"/>
                <w:color w:val="0000EE"/>
                <w:w w:val="99"/>
              </w:rPr>
            </w:pPr>
            <w:hyperlink w:anchor="page87">
              <w:r>
                <w:rPr>
                  <w:rFonts w:ascii="Arial" w:cs="Arial" w:eastAsia="Arial" w:hAnsi="Arial"/>
                  <w:sz w:val="18"/>
                  <w:szCs w:val="18"/>
                  <w:u w:val="single" w:color="auto"/>
                  <w:color w:val="0000EE"/>
                  <w:w w:val="99"/>
                </w:rPr>
                <w:t>Signatures</w:t>
              </w:r>
            </w:hyperlink>
          </w:p>
        </w:tc>
        <w:tc>
          <w:tcPr>
            <w:tcW w:w="21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5"/>
        </w:trPr>
        <w:tc>
          <w:tcPr>
            <w:tcW w:w="8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5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85,221</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96,713</w:t>
            </w: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41,804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Unbilled accounts receivable</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4,495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132,112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100,083</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8,395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616</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142,215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110,439</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8,743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Deferred lease incentive, current portion</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 portion</w:t>
            </w: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13,609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26,455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rent, excluding current portion</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1,634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lease incentive, excluding current portion</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3,169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excluding current portion</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5,965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excluding current portion</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37,230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23,286</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w w:val="97"/>
              </w:rPr>
              <w:t>Preferred stock, $0.001 par value; 5,000,000 shares authorized; no shares issued or outstanding</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Common stock, $0.001 par value; 200,000,000 shares authorized; 27,459,196 and 23,335,514 shares</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issued as of September 30, 2020 and December 31, 2019, respectively; 27,277,983 and 22,654,444</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outstanding as of September 30, 2020 and December 31, 2019, respectively</w:t>
            </w: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Treasury stock, at cost; no shares as of September 30, 2020 and December 31, 2019</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308,827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237,931</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(203,900)</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(150,801)</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104,985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87,153</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142,215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110,439</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4,598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15,640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13,496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42,897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58,985</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5,312</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3,510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15,525</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8,742</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20,952</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17,006</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58,422</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67,727</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(67,727)</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(18,962)</w:t>
            </w:r>
          </w:p>
        </w:tc>
        <w:tc>
          <w:tcPr>
            <w:tcW w:w="1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(16,542)</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(53,099)</w:t>
            </w:r>
          </w:p>
        </w:tc>
        <w:tc>
          <w:tcPr>
            <w:tcW w:w="1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(66,554)</w:t>
            </w: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Cumulative convertible preferred stock dividends</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(18,962)</w:t>
            </w:r>
          </w:p>
        </w:tc>
        <w:tc>
          <w:tcPr>
            <w:tcW w:w="1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(17,338)</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(53,099)</w:t>
            </w:r>
          </w:p>
        </w:tc>
        <w:tc>
          <w:tcPr>
            <w:tcW w:w="1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(73,682)</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used in net loss per share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attributable to common stockholders, basic and diluted</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27,261</w:t>
            </w:r>
          </w:p>
        </w:tc>
        <w:tc>
          <w:tcPr>
            <w:tcW w:w="12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17,785</w:t>
            </w:r>
          </w:p>
        </w:tc>
        <w:tc>
          <w:tcPr>
            <w:tcW w:w="1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24,621</w:t>
            </w:r>
          </w:p>
        </w:tc>
        <w:tc>
          <w:tcPr>
            <w:tcW w:w="12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(18,962)</w:t>
            </w:r>
          </w:p>
        </w:tc>
        <w:tc>
          <w:tcPr>
            <w:tcW w:w="5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(16,542)</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(53,099)</w:t>
            </w:r>
          </w:p>
        </w:tc>
        <w:tc>
          <w:tcPr>
            <w:tcW w:w="50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(66,554)</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(19,012)</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(16,542)</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(53,068)</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(66,554)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Fulcrum Therapeutics,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Convertible Preferred Stock and Stockholders’ Equity (Deficit)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46"/>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26"/>
              <w:spacing w:after="0"/>
              <w:rPr>
                <w:sz w:val="20"/>
                <w:szCs w:val="20"/>
                <w:color w:val="auto"/>
              </w:rPr>
            </w:pPr>
            <w:r>
              <w:rPr>
                <w:rFonts w:ascii="Arial" w:cs="Arial" w:eastAsia="Arial" w:hAnsi="Arial"/>
                <w:sz w:val="12"/>
                <w:szCs w:val="12"/>
                <w:b w:val="1"/>
                <w:bCs w:val="1"/>
                <w:color w:val="auto"/>
                <w:w w:val="90"/>
              </w:rPr>
              <w:t>Total</w:t>
            </w:r>
          </w:p>
        </w:tc>
      </w:tr>
      <w:tr>
        <w:trPr>
          <w:trHeight w:val="135"/>
        </w:trPr>
        <w:tc>
          <w:tcPr>
            <w:tcW w:w="2060" w:type="dxa"/>
            <w:vAlign w:val="bottom"/>
          </w:tcPr>
          <w:p>
            <w:pPr>
              <w:spacing w:after="0"/>
              <w:rPr>
                <w:sz w:val="11"/>
                <w:szCs w:val="11"/>
                <w:color w:val="auto"/>
              </w:rPr>
            </w:pPr>
          </w:p>
        </w:tc>
        <w:tc>
          <w:tcPr>
            <w:tcW w:w="148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Series A Convertible</w:t>
            </w:r>
          </w:p>
        </w:tc>
        <w:tc>
          <w:tcPr>
            <w:tcW w:w="1520" w:type="dxa"/>
            <w:vAlign w:val="bottom"/>
            <w:tcBorders>
              <w:right w:val="single" w:sz="8" w:color="auto"/>
            </w:tcBorders>
            <w:gridSpan w:val="5"/>
          </w:tcPr>
          <w:p>
            <w:pPr>
              <w:ind w:left="140"/>
              <w:spacing w:after="0" w:line="135" w:lineRule="exact"/>
              <w:rPr>
                <w:sz w:val="20"/>
                <w:szCs w:val="20"/>
                <w:color w:val="auto"/>
              </w:rPr>
            </w:pPr>
            <w:r>
              <w:rPr>
                <w:rFonts w:ascii="Arial" w:cs="Arial" w:eastAsia="Arial" w:hAnsi="Arial"/>
                <w:sz w:val="12"/>
                <w:szCs w:val="12"/>
                <w:b w:val="1"/>
                <w:bCs w:val="1"/>
                <w:color w:val="auto"/>
              </w:rPr>
              <w:t>Series B Convertible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206"/>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0"/>
              </w:rPr>
              <w:t>Stockholders’</w:t>
            </w:r>
          </w:p>
        </w:tc>
      </w:tr>
      <w:tr>
        <w:trPr>
          <w:trHeight w:val="143"/>
        </w:trPr>
        <w:tc>
          <w:tcPr>
            <w:tcW w:w="2060" w:type="dxa"/>
            <w:vAlign w:val="bottom"/>
          </w:tcPr>
          <w:p>
            <w:pPr>
              <w:spacing w:after="0"/>
              <w:rPr>
                <w:sz w:val="12"/>
                <w:szCs w:val="12"/>
                <w:color w:val="auto"/>
              </w:rPr>
            </w:pPr>
          </w:p>
        </w:tc>
        <w:tc>
          <w:tcPr>
            <w:tcW w:w="1400" w:type="dxa"/>
            <w:vAlign w:val="bottom"/>
            <w:tcBorders>
              <w:bottom w:val="single" w:sz="8" w:color="auto"/>
            </w:tcBorders>
            <w:gridSpan w:val="4"/>
          </w:tcPr>
          <w:p>
            <w:pPr>
              <w:jc w:val="right"/>
              <w:ind w:right="306"/>
              <w:spacing w:after="0"/>
              <w:rPr>
                <w:sz w:val="20"/>
                <w:szCs w:val="20"/>
                <w:color w:val="auto"/>
              </w:rPr>
            </w:pPr>
            <w:r>
              <w:rPr>
                <w:rFonts w:ascii="Arial" w:cs="Arial" w:eastAsia="Arial" w:hAnsi="Arial"/>
                <w:sz w:val="12"/>
                <w:szCs w:val="12"/>
                <w:b w:val="1"/>
                <w:bCs w:val="1"/>
                <w:color w:val="auto"/>
              </w:rPr>
              <w:t>Preferred Stock</w:t>
            </w:r>
          </w:p>
        </w:tc>
        <w:tc>
          <w:tcPr>
            <w:tcW w:w="80" w:type="dxa"/>
            <w:vAlign w:val="bottom"/>
          </w:tcPr>
          <w:p>
            <w:pPr>
              <w:spacing w:after="0"/>
              <w:rPr>
                <w:sz w:val="12"/>
                <w:szCs w:val="12"/>
                <w:color w:val="auto"/>
              </w:rPr>
            </w:pPr>
          </w:p>
        </w:tc>
        <w:tc>
          <w:tcPr>
            <w:tcW w:w="1400" w:type="dxa"/>
            <w:vAlign w:val="bottom"/>
            <w:tcBorders>
              <w:bottom w:val="single" w:sz="8" w:color="auto"/>
            </w:tcBorders>
            <w:gridSpan w:val="4"/>
          </w:tcPr>
          <w:p>
            <w:pPr>
              <w:jc w:val="right"/>
              <w:ind w:right="306"/>
              <w:spacing w:after="0"/>
              <w:rPr>
                <w:sz w:val="20"/>
                <w:szCs w:val="20"/>
                <w:color w:val="auto"/>
              </w:rPr>
            </w:pPr>
            <w:r>
              <w:rPr>
                <w:rFonts w:ascii="Arial" w:cs="Arial" w:eastAsia="Arial" w:hAnsi="Arial"/>
                <w:sz w:val="12"/>
                <w:szCs w:val="12"/>
                <w:b w:val="1"/>
                <w:bCs w:val="1"/>
                <w:color w:val="auto"/>
              </w:rPr>
              <w:t>Preferred Stock</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2"/>
                <w:szCs w:val="12"/>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Treasury Stock</w:t>
            </w: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126"/>
              <w:spacing w:after="0"/>
              <w:rPr>
                <w:sz w:val="20"/>
                <w:szCs w:val="20"/>
                <w:color w:val="auto"/>
              </w:rPr>
            </w:pPr>
            <w:r>
              <w:rPr>
                <w:rFonts w:ascii="Arial" w:cs="Arial" w:eastAsia="Arial" w:hAnsi="Arial"/>
                <w:sz w:val="12"/>
                <w:szCs w:val="12"/>
                <w:b w:val="1"/>
                <w:bCs w:val="1"/>
                <w:color w:val="auto"/>
                <w:w w:val="94"/>
              </w:rPr>
              <w:t>Paid-In</w:t>
            </w: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comprehensive</w:t>
            </w:r>
          </w:p>
        </w:tc>
        <w:tc>
          <w:tcPr>
            <w:tcW w:w="86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26"/>
              <w:spacing w:after="0"/>
              <w:rPr>
                <w:sz w:val="20"/>
                <w:szCs w:val="20"/>
                <w:color w:val="auto"/>
              </w:rPr>
            </w:pPr>
            <w:r>
              <w:rPr>
                <w:rFonts w:ascii="Arial" w:cs="Arial" w:eastAsia="Arial" w:hAnsi="Arial"/>
                <w:sz w:val="12"/>
                <w:szCs w:val="12"/>
                <w:b w:val="1"/>
                <w:bCs w:val="1"/>
                <w:color w:val="auto"/>
                <w:w w:val="92"/>
              </w:rPr>
              <w:t>Equity</w:t>
            </w:r>
          </w:p>
        </w:tc>
      </w:tr>
      <w:tr>
        <w:trPr>
          <w:trHeight w:val="155"/>
        </w:trPr>
        <w:tc>
          <w:tcPr>
            <w:tcW w:w="20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Borders>
              <w:bottom w:val="single" w:sz="8" w:color="CFF0FC"/>
              <w:right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w w:val="89"/>
              </w:rPr>
              <w:t>Capital</w:t>
            </w:r>
          </w:p>
        </w:tc>
        <w:tc>
          <w:tcPr>
            <w:tcW w:w="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gridSpan w:val="2"/>
          </w:tcPr>
          <w:p>
            <w:pPr>
              <w:jc w:val="center"/>
              <w:ind w:right="46"/>
              <w:spacing w:after="0"/>
              <w:rPr>
                <w:sz w:val="20"/>
                <w:szCs w:val="20"/>
                <w:color w:val="auto"/>
              </w:rPr>
            </w:pPr>
            <w:r>
              <w:rPr>
                <w:rFonts w:ascii="Arial" w:cs="Arial" w:eastAsia="Arial" w:hAnsi="Arial"/>
                <w:sz w:val="12"/>
                <w:szCs w:val="12"/>
                <w:b w:val="1"/>
                <w:bCs w:val="1"/>
                <w:color w:val="auto"/>
                <w:w w:val="82"/>
              </w:rPr>
              <w:t>income (loss)</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w w:val="89"/>
              </w:rPr>
              <w:t>(Deficit)</w:t>
            </w:r>
          </w:p>
        </w:tc>
      </w:tr>
      <w:tr>
        <w:trPr>
          <w:trHeight w:val="128"/>
        </w:trPr>
        <w:tc>
          <w:tcPr>
            <w:tcW w:w="2060" w:type="dxa"/>
            <w:vAlign w:val="bottom"/>
            <w:shd w:val="clear" w:color="auto" w:fill="CFF0FC"/>
          </w:tcPr>
          <w:p>
            <w:pPr>
              <w:spacing w:after="0"/>
              <w:rPr>
                <w:sz w:val="20"/>
                <w:szCs w:val="20"/>
                <w:color w:val="auto"/>
              </w:rPr>
            </w:pPr>
            <w:r>
              <w:rPr>
                <w:rFonts w:ascii="Arial" w:cs="Arial" w:eastAsia="Arial" w:hAnsi="Arial"/>
                <w:sz w:val="11"/>
                <w:szCs w:val="11"/>
                <w:color w:val="auto"/>
              </w:rPr>
              <w:t>Balance at December 31, 2018</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60,000,000</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59,909</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40,000,000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79,761</w:t>
            </w: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1,587,953</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67,024</w:t>
            </w:r>
          </w:p>
        </w:tc>
        <w:tc>
          <w:tcPr>
            <w:tcW w:w="420" w:type="dxa"/>
            <w:vAlign w:val="bottom"/>
            <w:gridSpan w:val="2"/>
            <w:shd w:val="clear" w:color="auto" w:fill="CFF0FC"/>
          </w:tcPr>
          <w:p>
            <w:pPr>
              <w:jc w:val="right"/>
              <w:ind w:right="21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ind w:left="10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4,452</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(68,124)</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(63,670)</w:t>
            </w:r>
          </w:p>
        </w:tc>
      </w:tr>
      <w:tr>
        <w:trPr>
          <w:trHeight w:val="125"/>
        </w:trPr>
        <w:tc>
          <w:tcPr>
            <w:tcW w:w="2060" w:type="dxa"/>
            <w:vAlign w:val="bottom"/>
          </w:tcPr>
          <w:p>
            <w:pPr>
              <w:ind w:left="260"/>
              <w:spacing w:after="0" w:line="125" w:lineRule="exact"/>
              <w:rPr>
                <w:sz w:val="20"/>
                <w:szCs w:val="20"/>
                <w:color w:val="auto"/>
              </w:rPr>
            </w:pPr>
            <w:r>
              <w:rPr>
                <w:rFonts w:ascii="Arial" w:cs="Arial" w:eastAsia="Arial" w:hAnsi="Arial"/>
                <w:sz w:val="11"/>
                <w:szCs w:val="11"/>
                <w:color w:val="auto"/>
              </w:rPr>
              <w:t>Issuance of Series B convertible</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2060" w:type="dxa"/>
            <w:vAlign w:val="bottom"/>
          </w:tcPr>
          <w:p>
            <w:pPr>
              <w:ind w:left="260"/>
              <w:spacing w:after="0" w:line="122" w:lineRule="exact"/>
              <w:rPr>
                <w:sz w:val="20"/>
                <w:szCs w:val="20"/>
                <w:color w:val="auto"/>
              </w:rPr>
            </w:pPr>
            <w:r>
              <w:rPr>
                <w:rFonts w:ascii="Arial" w:cs="Arial" w:eastAsia="Arial" w:hAnsi="Arial"/>
                <w:sz w:val="11"/>
                <w:szCs w:val="11"/>
                <w:color w:val="auto"/>
              </w:rPr>
              <w:t>preferred stock in connection with</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1"/>
        </w:trPr>
        <w:tc>
          <w:tcPr>
            <w:tcW w:w="2060" w:type="dxa"/>
            <w:vAlign w:val="bottom"/>
          </w:tcPr>
          <w:p>
            <w:pPr>
              <w:ind w:left="260"/>
              <w:spacing w:after="0"/>
              <w:rPr>
                <w:sz w:val="20"/>
                <w:szCs w:val="20"/>
                <w:color w:val="auto"/>
              </w:rPr>
            </w:pPr>
            <w:r>
              <w:rPr>
                <w:rFonts w:ascii="Arial" w:cs="Arial" w:eastAsia="Arial" w:hAnsi="Arial"/>
                <w:sz w:val="11"/>
                <w:szCs w:val="11"/>
                <w:color w:val="auto"/>
                <w:w w:val="93"/>
              </w:rPr>
              <w:t>asset acquisition, net of issuance costs</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12,500,000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25,466</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Issuance of common stock</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134,013</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5</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5</w:t>
            </w:r>
          </w:p>
        </w:tc>
      </w:tr>
      <w:tr>
        <w:trPr>
          <w:trHeight w:val="125"/>
        </w:trPr>
        <w:tc>
          <w:tcPr>
            <w:tcW w:w="2060" w:type="dxa"/>
            <w:vAlign w:val="bottom"/>
          </w:tcPr>
          <w:p>
            <w:pPr>
              <w:ind w:left="260"/>
              <w:spacing w:after="0" w:line="125" w:lineRule="exact"/>
              <w:rPr>
                <w:sz w:val="20"/>
                <w:szCs w:val="20"/>
                <w:color w:val="auto"/>
              </w:rPr>
            </w:pPr>
            <w:r>
              <w:rPr>
                <w:rFonts w:ascii="Arial" w:cs="Arial" w:eastAsia="Arial" w:hAnsi="Arial"/>
                <w:sz w:val="11"/>
                <w:szCs w:val="11"/>
                <w:color w:val="auto"/>
              </w:rPr>
              <w:t>Repurchase of unvested restricted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1"/>
        </w:trPr>
        <w:tc>
          <w:tcPr>
            <w:tcW w:w="2060" w:type="dxa"/>
            <w:vAlign w:val="bottom"/>
          </w:tcPr>
          <w:p>
            <w:pPr>
              <w:ind w:left="260"/>
              <w:spacing w:after="0"/>
              <w:rPr>
                <w:sz w:val="20"/>
                <w:szCs w:val="20"/>
                <w:color w:val="auto"/>
              </w:rPr>
            </w:pPr>
            <w:r>
              <w:rPr>
                <w:rFonts w:ascii="Arial" w:cs="Arial" w:eastAsia="Arial" w:hAnsi="Arial"/>
                <w:sz w:val="11"/>
                <w:szCs w:val="11"/>
                <w:color w:val="auto"/>
              </w:rPr>
              <w:t>stock awards</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43,922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Retirement of treasury shares</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(110,946)</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tcPr>
          <w:p>
            <w:pPr>
              <w:ind w:left="26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821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821</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Net loss</w:t>
            </w:r>
          </w:p>
        </w:tc>
        <w:tc>
          <w:tcPr>
            <w:tcW w:w="7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(36,843)</w:t>
            </w: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(36,843)</w:t>
            </w:r>
          </w:p>
        </w:tc>
      </w:tr>
      <w:tr>
        <w:trPr>
          <w:trHeight w:val="168"/>
        </w:trPr>
        <w:tc>
          <w:tcPr>
            <w:tcW w:w="2060" w:type="dxa"/>
            <w:vAlign w:val="bottom"/>
          </w:tcPr>
          <w:p>
            <w:pPr>
              <w:spacing w:after="0"/>
              <w:rPr>
                <w:sz w:val="20"/>
                <w:szCs w:val="20"/>
                <w:color w:val="auto"/>
              </w:rPr>
            </w:pPr>
            <w:r>
              <w:rPr>
                <w:rFonts w:ascii="Arial" w:cs="Arial" w:eastAsia="Arial" w:hAnsi="Arial"/>
                <w:sz w:val="11"/>
                <w:szCs w:val="11"/>
                <w:color w:val="auto"/>
              </w:rPr>
              <w:t>Balance at March 31, 2019</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60,000,000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59,909</w:t>
            </w:r>
          </w:p>
        </w:tc>
        <w:tc>
          <w:tcPr>
            <w:tcW w:w="8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52,500,000</w:t>
            </w:r>
          </w:p>
        </w:tc>
        <w:tc>
          <w:tcPr>
            <w:tcW w:w="100" w:type="dxa"/>
            <w:vAlign w:val="bottom"/>
          </w:tcPr>
          <w:p>
            <w:pPr>
              <w:spacing w:after="0"/>
              <w:rPr>
                <w:sz w:val="14"/>
                <w:szCs w:val="14"/>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w w:val="95"/>
              </w:rPr>
              <w:t>105,227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1,721,966</w:t>
            </w:r>
          </w:p>
        </w:tc>
        <w:tc>
          <w:tcPr>
            <w:tcW w:w="100" w:type="dxa"/>
            <w:vAlign w:val="bottom"/>
          </w:tcPr>
          <w:p>
            <w:pPr>
              <w:spacing w:after="0"/>
              <w:rPr>
                <w:sz w:val="14"/>
                <w:szCs w:val="14"/>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5,278</w:t>
            </w: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(104,967)</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(99,687)</w:t>
            </w:r>
          </w:p>
        </w:tc>
      </w:tr>
      <w:tr>
        <w:trPr>
          <w:trHeight w:val="116"/>
        </w:trPr>
        <w:tc>
          <w:tcPr>
            <w:tcW w:w="2060" w:type="dxa"/>
            <w:vAlign w:val="bottom"/>
            <w:tcBorders>
              <w:top w:val="single" w:sz="8" w:color="CFF0FC"/>
            </w:tcBorders>
            <w:shd w:val="clear" w:color="auto" w:fill="CFF0FC"/>
          </w:tcPr>
          <w:p>
            <w:pPr>
              <w:ind w:left="260"/>
              <w:spacing w:after="0" w:line="116" w:lineRule="exact"/>
              <w:rPr>
                <w:sz w:val="20"/>
                <w:szCs w:val="20"/>
                <w:color w:val="auto"/>
              </w:rPr>
            </w:pPr>
            <w:r>
              <w:rPr>
                <w:rFonts w:ascii="Arial" w:cs="Arial" w:eastAsia="Arial" w:hAnsi="Arial"/>
                <w:sz w:val="11"/>
                <w:szCs w:val="11"/>
                <w:color w:val="auto"/>
              </w:rPr>
              <w:t>Issuance of common stock</w:t>
            </w:r>
          </w:p>
        </w:tc>
        <w:tc>
          <w:tcPr>
            <w:tcW w:w="72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FF0FC"/>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148,320</w:t>
            </w:r>
          </w:p>
        </w:tc>
        <w:tc>
          <w:tcPr>
            <w:tcW w:w="1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ind w:left="40"/>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225</w:t>
            </w:r>
          </w:p>
        </w:tc>
        <w:tc>
          <w:tcPr>
            <w:tcW w:w="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ind w:right="6"/>
              <w:spacing w:after="0" w:line="116" w:lineRule="exact"/>
              <w:rPr>
                <w:sz w:val="20"/>
                <w:szCs w:val="20"/>
                <w:color w:val="auto"/>
              </w:rPr>
            </w:pPr>
            <w:r>
              <w:rPr>
                <w:rFonts w:ascii="Arial" w:cs="Arial" w:eastAsia="Arial" w:hAnsi="Arial"/>
                <w:sz w:val="11"/>
                <w:szCs w:val="11"/>
                <w:color w:val="auto"/>
              </w:rPr>
              <w:t>225</w:t>
            </w:r>
          </w:p>
        </w:tc>
      </w:tr>
      <w:tr>
        <w:trPr>
          <w:trHeight w:val="125"/>
        </w:trPr>
        <w:tc>
          <w:tcPr>
            <w:tcW w:w="2060" w:type="dxa"/>
            <w:vAlign w:val="bottom"/>
          </w:tcPr>
          <w:p>
            <w:pPr>
              <w:ind w:left="260"/>
              <w:spacing w:after="0" w:line="125" w:lineRule="exact"/>
              <w:rPr>
                <w:sz w:val="20"/>
                <w:szCs w:val="20"/>
                <w:color w:val="auto"/>
              </w:rPr>
            </w:pPr>
            <w:r>
              <w:rPr>
                <w:rFonts w:ascii="Arial" w:cs="Arial" w:eastAsia="Arial" w:hAnsi="Arial"/>
                <w:sz w:val="11"/>
                <w:szCs w:val="11"/>
                <w:color w:val="auto"/>
              </w:rPr>
              <w:t>Repurchase of unvested restricted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1"/>
        </w:trPr>
        <w:tc>
          <w:tcPr>
            <w:tcW w:w="2060" w:type="dxa"/>
            <w:vAlign w:val="bottom"/>
          </w:tcPr>
          <w:p>
            <w:pPr>
              <w:ind w:left="260"/>
              <w:spacing w:after="0"/>
              <w:rPr>
                <w:sz w:val="20"/>
                <w:szCs w:val="20"/>
                <w:color w:val="auto"/>
              </w:rPr>
            </w:pPr>
            <w:r>
              <w:rPr>
                <w:rFonts w:ascii="Arial" w:cs="Arial" w:eastAsia="Arial" w:hAnsi="Arial"/>
                <w:sz w:val="11"/>
                <w:szCs w:val="11"/>
                <w:color w:val="auto"/>
              </w:rPr>
              <w:t>stock awards</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7,451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Retirement of treasury shares</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(6,019)</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tcPr>
          <w:p>
            <w:pPr>
              <w:ind w:left="26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950</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Net loss</w:t>
            </w:r>
          </w:p>
        </w:tc>
        <w:tc>
          <w:tcPr>
            <w:tcW w:w="7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(13,169)</w:t>
            </w: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(13,169)</w:t>
            </w:r>
          </w:p>
        </w:tc>
      </w:tr>
      <w:tr>
        <w:trPr>
          <w:trHeight w:val="168"/>
        </w:trPr>
        <w:tc>
          <w:tcPr>
            <w:tcW w:w="2060" w:type="dxa"/>
            <w:vAlign w:val="bottom"/>
          </w:tcPr>
          <w:p>
            <w:pPr>
              <w:spacing w:after="0"/>
              <w:rPr>
                <w:sz w:val="20"/>
                <w:szCs w:val="20"/>
                <w:color w:val="auto"/>
              </w:rPr>
            </w:pPr>
            <w:r>
              <w:rPr>
                <w:rFonts w:ascii="Arial" w:cs="Arial" w:eastAsia="Arial" w:hAnsi="Arial"/>
                <w:sz w:val="11"/>
                <w:szCs w:val="11"/>
                <w:color w:val="auto"/>
              </w:rPr>
              <w:t>Balance at June 30, 2019</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60,000,000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59,909</w:t>
            </w:r>
          </w:p>
        </w:tc>
        <w:tc>
          <w:tcPr>
            <w:tcW w:w="8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52,500,000</w:t>
            </w:r>
          </w:p>
        </w:tc>
        <w:tc>
          <w:tcPr>
            <w:tcW w:w="100" w:type="dxa"/>
            <w:vAlign w:val="bottom"/>
          </w:tcPr>
          <w:p>
            <w:pPr>
              <w:spacing w:after="0"/>
              <w:rPr>
                <w:sz w:val="14"/>
                <w:szCs w:val="14"/>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w w:val="95"/>
              </w:rPr>
              <w:t>105,227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1,870,286</w:t>
            </w:r>
          </w:p>
        </w:tc>
        <w:tc>
          <w:tcPr>
            <w:tcW w:w="100" w:type="dxa"/>
            <w:vAlign w:val="bottom"/>
          </w:tcPr>
          <w:p>
            <w:pPr>
              <w:spacing w:after="0"/>
              <w:rPr>
                <w:sz w:val="14"/>
                <w:szCs w:val="14"/>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1,432</w:t>
            </w:r>
          </w:p>
        </w:tc>
        <w:tc>
          <w:tcPr>
            <w:tcW w:w="100" w:type="dxa"/>
            <w:vAlign w:val="bottom"/>
          </w:tcPr>
          <w:p>
            <w:pPr>
              <w:spacing w:after="0"/>
              <w:rPr>
                <w:sz w:val="14"/>
                <w:szCs w:val="14"/>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6,453</w:t>
            </w: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(118,136)</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(111,681)</w:t>
            </w:r>
          </w:p>
        </w:tc>
      </w:tr>
      <w:tr>
        <w:trPr>
          <w:trHeight w:val="116"/>
        </w:trPr>
        <w:tc>
          <w:tcPr>
            <w:tcW w:w="2060" w:type="dxa"/>
            <w:vAlign w:val="bottom"/>
            <w:tcBorders>
              <w:top w:val="single" w:sz="8" w:color="CFF0FC"/>
            </w:tcBorders>
            <w:shd w:val="clear" w:color="auto" w:fill="CFF0FC"/>
          </w:tcPr>
          <w:p>
            <w:pPr>
              <w:ind w:left="260"/>
              <w:spacing w:after="0" w:line="116" w:lineRule="exact"/>
              <w:rPr>
                <w:sz w:val="20"/>
                <w:szCs w:val="20"/>
                <w:color w:val="auto"/>
              </w:rPr>
            </w:pPr>
            <w:r>
              <w:rPr>
                <w:rFonts w:ascii="Arial" w:cs="Arial" w:eastAsia="Arial" w:hAnsi="Arial"/>
                <w:sz w:val="11"/>
                <w:szCs w:val="11"/>
                <w:color w:val="auto"/>
              </w:rPr>
              <w:t>Issuance of common stock</w:t>
            </w:r>
          </w:p>
        </w:tc>
        <w:tc>
          <w:tcPr>
            <w:tcW w:w="72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FF0FC"/>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116,167</w:t>
            </w:r>
          </w:p>
        </w:tc>
        <w:tc>
          <w:tcPr>
            <w:tcW w:w="1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ind w:left="40"/>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35</w:t>
            </w:r>
          </w:p>
        </w:tc>
        <w:tc>
          <w:tcPr>
            <w:tcW w:w="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ind w:right="6"/>
              <w:spacing w:after="0" w:line="116" w:lineRule="exact"/>
              <w:rPr>
                <w:sz w:val="20"/>
                <w:szCs w:val="20"/>
                <w:color w:val="auto"/>
              </w:rPr>
            </w:pPr>
            <w:r>
              <w:rPr>
                <w:rFonts w:ascii="Arial" w:cs="Arial" w:eastAsia="Arial" w:hAnsi="Arial"/>
                <w:sz w:val="11"/>
                <w:szCs w:val="11"/>
                <w:color w:val="auto"/>
              </w:rPr>
              <w:t>35</w:t>
            </w:r>
          </w:p>
        </w:tc>
      </w:tr>
      <w:tr>
        <w:trPr>
          <w:trHeight w:val="125"/>
        </w:trPr>
        <w:tc>
          <w:tcPr>
            <w:tcW w:w="2060" w:type="dxa"/>
            <w:vAlign w:val="bottom"/>
          </w:tcPr>
          <w:p>
            <w:pPr>
              <w:ind w:left="260"/>
              <w:spacing w:after="0" w:line="125" w:lineRule="exact"/>
              <w:rPr>
                <w:sz w:val="20"/>
                <w:szCs w:val="20"/>
                <w:color w:val="auto"/>
              </w:rPr>
            </w:pPr>
            <w:r>
              <w:rPr>
                <w:rFonts w:ascii="Arial" w:cs="Arial" w:eastAsia="Arial" w:hAnsi="Arial"/>
                <w:sz w:val="11"/>
                <w:szCs w:val="11"/>
                <w:color w:val="auto"/>
              </w:rPr>
              <w:t>Conversion of convertible preferred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1"/>
        </w:trPr>
        <w:tc>
          <w:tcPr>
            <w:tcW w:w="2060" w:type="dxa"/>
            <w:vAlign w:val="bottom"/>
          </w:tcPr>
          <w:p>
            <w:pPr>
              <w:ind w:left="260"/>
              <w:spacing w:after="0"/>
              <w:rPr>
                <w:sz w:val="20"/>
                <w:szCs w:val="20"/>
                <w:color w:val="auto"/>
              </w:rPr>
            </w:pPr>
            <w:r>
              <w:rPr>
                <w:rFonts w:ascii="Arial" w:cs="Arial" w:eastAsia="Arial" w:hAnsi="Arial"/>
                <w:sz w:val="11"/>
                <w:szCs w:val="11"/>
                <w:color w:val="auto"/>
              </w:rPr>
              <w:t>stock into common stock</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(60,000,000)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(59,909)</w:t>
            </w:r>
          </w:p>
        </w:tc>
        <w:tc>
          <w:tcPr>
            <w:tcW w:w="8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(52,500,000)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(105,227)</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16,071,418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165,120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165,136</w:t>
            </w:r>
          </w:p>
        </w:tc>
      </w:tr>
      <w:tr>
        <w:trPr>
          <w:trHeight w:val="125"/>
        </w:trPr>
        <w:tc>
          <w:tcPr>
            <w:tcW w:w="2060" w:type="dxa"/>
            <w:vAlign w:val="bottom"/>
            <w:shd w:val="clear" w:color="auto" w:fill="CFF0FC"/>
          </w:tcPr>
          <w:p>
            <w:pPr>
              <w:ind w:left="260"/>
              <w:spacing w:after="0" w:line="125" w:lineRule="exact"/>
              <w:rPr>
                <w:sz w:val="20"/>
                <w:szCs w:val="20"/>
                <w:color w:val="auto"/>
              </w:rPr>
            </w:pPr>
            <w:r>
              <w:rPr>
                <w:rFonts w:ascii="Arial" w:cs="Arial" w:eastAsia="Arial" w:hAnsi="Arial"/>
                <w:sz w:val="11"/>
                <w:szCs w:val="11"/>
                <w:color w:val="auto"/>
              </w:rPr>
              <w:t>Initial public offering, net of</w:t>
            </w:r>
          </w:p>
        </w:tc>
        <w:tc>
          <w:tcPr>
            <w:tcW w:w="7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r>
      <w:tr>
        <w:trPr>
          <w:trHeight w:val="122"/>
        </w:trPr>
        <w:tc>
          <w:tcPr>
            <w:tcW w:w="2060" w:type="dxa"/>
            <w:vAlign w:val="bottom"/>
            <w:shd w:val="clear" w:color="auto" w:fill="CFF0FC"/>
          </w:tcPr>
          <w:p>
            <w:pPr>
              <w:ind w:left="260"/>
              <w:spacing w:after="0" w:line="122" w:lineRule="exact"/>
              <w:rPr>
                <w:sz w:val="20"/>
                <w:szCs w:val="20"/>
                <w:color w:val="auto"/>
              </w:rPr>
            </w:pPr>
            <w:r>
              <w:rPr>
                <w:rFonts w:ascii="Arial" w:cs="Arial" w:eastAsia="Arial" w:hAnsi="Arial"/>
                <w:sz w:val="11"/>
                <w:szCs w:val="11"/>
                <w:color w:val="auto"/>
                <w:w w:val="99"/>
              </w:rPr>
              <w:t>underwriting discounts, commissions</w:t>
            </w:r>
          </w:p>
        </w:tc>
        <w:tc>
          <w:tcPr>
            <w:tcW w:w="7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r>
      <w:tr>
        <w:trPr>
          <w:trHeight w:val="131"/>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and offering costs</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4,500,000</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63,996</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64,001</w:t>
            </w:r>
          </w:p>
        </w:tc>
      </w:tr>
      <w:tr>
        <w:trPr>
          <w:trHeight w:val="125"/>
        </w:trPr>
        <w:tc>
          <w:tcPr>
            <w:tcW w:w="2060" w:type="dxa"/>
            <w:vAlign w:val="bottom"/>
          </w:tcPr>
          <w:p>
            <w:pPr>
              <w:ind w:left="260"/>
              <w:spacing w:after="0" w:line="125" w:lineRule="exact"/>
              <w:rPr>
                <w:sz w:val="20"/>
                <w:szCs w:val="20"/>
                <w:color w:val="auto"/>
              </w:rPr>
            </w:pPr>
            <w:r>
              <w:rPr>
                <w:rFonts w:ascii="Arial" w:cs="Arial" w:eastAsia="Arial" w:hAnsi="Arial"/>
                <w:sz w:val="11"/>
                <w:szCs w:val="11"/>
                <w:color w:val="auto"/>
              </w:rPr>
              <w:t>Repurchase of unvested restricted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1"/>
        </w:trPr>
        <w:tc>
          <w:tcPr>
            <w:tcW w:w="2060" w:type="dxa"/>
            <w:vAlign w:val="bottom"/>
          </w:tcPr>
          <w:p>
            <w:pPr>
              <w:ind w:left="260"/>
              <w:spacing w:after="0"/>
              <w:rPr>
                <w:sz w:val="20"/>
                <w:szCs w:val="20"/>
                <w:color w:val="auto"/>
              </w:rPr>
            </w:pPr>
            <w:r>
              <w:rPr>
                <w:rFonts w:ascii="Arial" w:cs="Arial" w:eastAsia="Arial" w:hAnsi="Arial"/>
                <w:sz w:val="11"/>
                <w:szCs w:val="11"/>
                <w:color w:val="auto"/>
              </w:rPr>
              <w:t>stock awards</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4,951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Retirement of treasury shares</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(6,383)</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tcPr>
          <w:p>
            <w:pPr>
              <w:ind w:left="26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1,179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1,179</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Net loss</w:t>
            </w:r>
          </w:p>
        </w:tc>
        <w:tc>
          <w:tcPr>
            <w:tcW w:w="7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(16,542)</w:t>
            </w: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(16,542)</w:t>
            </w:r>
          </w:p>
        </w:tc>
      </w:tr>
      <w:tr>
        <w:trPr>
          <w:trHeight w:val="168"/>
        </w:trPr>
        <w:tc>
          <w:tcPr>
            <w:tcW w:w="2060" w:type="dxa"/>
            <w:vAlign w:val="bottom"/>
          </w:tcPr>
          <w:p>
            <w:pPr>
              <w:spacing w:after="0"/>
              <w:rPr>
                <w:sz w:val="20"/>
                <w:szCs w:val="20"/>
                <w:color w:val="auto"/>
              </w:rPr>
            </w:pPr>
            <w:r>
              <w:rPr>
                <w:rFonts w:ascii="Arial" w:cs="Arial" w:eastAsia="Arial" w:hAnsi="Arial"/>
                <w:sz w:val="11"/>
                <w:szCs w:val="11"/>
                <w:color w:val="auto"/>
              </w:rPr>
              <w:t>Balance at September 30, 2019</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22,557,871</w:t>
            </w:r>
          </w:p>
        </w:tc>
        <w:tc>
          <w:tcPr>
            <w:tcW w:w="100" w:type="dxa"/>
            <w:vAlign w:val="bottom"/>
          </w:tcPr>
          <w:p>
            <w:pPr>
              <w:spacing w:after="0"/>
              <w:rPr>
                <w:sz w:val="14"/>
                <w:szCs w:val="14"/>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236,783</w:t>
            </w: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(134,678)</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102,128</w:t>
            </w:r>
          </w:p>
        </w:tc>
      </w:tr>
      <w:tr>
        <w:trPr>
          <w:trHeight w:val="116"/>
        </w:trPr>
        <w:tc>
          <w:tcPr>
            <w:tcW w:w="2060" w:type="dxa"/>
            <w:vAlign w:val="bottom"/>
            <w:tcBorders>
              <w:top w:val="single" w:sz="8" w:color="CFF0FC"/>
            </w:tcBorders>
            <w:shd w:val="clear" w:color="auto" w:fill="CFF0FC"/>
          </w:tcPr>
          <w:p>
            <w:pPr>
              <w:spacing w:after="0" w:line="116" w:lineRule="exact"/>
              <w:rPr>
                <w:sz w:val="20"/>
                <w:szCs w:val="20"/>
                <w:color w:val="auto"/>
              </w:rPr>
            </w:pPr>
            <w:r>
              <w:rPr>
                <w:rFonts w:ascii="Arial" w:cs="Arial" w:eastAsia="Arial" w:hAnsi="Arial"/>
                <w:sz w:val="11"/>
                <w:szCs w:val="11"/>
                <w:color w:val="auto"/>
              </w:rPr>
              <w:t>Balance at December 31, 2019</w:t>
            </w:r>
          </w:p>
        </w:tc>
        <w:tc>
          <w:tcPr>
            <w:tcW w:w="72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FF0FC"/>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22,654,444</w:t>
            </w:r>
          </w:p>
        </w:tc>
        <w:tc>
          <w:tcPr>
            <w:tcW w:w="1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23</w:t>
            </w:r>
          </w:p>
        </w:tc>
        <w:tc>
          <w:tcPr>
            <w:tcW w:w="10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ind w:left="40"/>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237,931</w:t>
            </w:r>
          </w:p>
        </w:tc>
        <w:tc>
          <w:tcPr>
            <w:tcW w:w="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ind w:right="6"/>
              <w:spacing w:after="0" w:line="116" w:lineRule="exact"/>
              <w:rPr>
                <w:sz w:val="20"/>
                <w:szCs w:val="20"/>
                <w:color w:val="auto"/>
              </w:rPr>
            </w:pPr>
            <w:r>
              <w:rPr>
                <w:rFonts w:ascii="Arial" w:cs="Arial" w:eastAsia="Arial" w:hAnsi="Arial"/>
                <w:sz w:val="11"/>
                <w:szCs w:val="11"/>
                <w:color w:val="auto"/>
              </w:rPr>
              <w:t>(150,801)</w:t>
            </w: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ind w:right="6"/>
              <w:spacing w:after="0" w:line="116" w:lineRule="exact"/>
              <w:rPr>
                <w:sz w:val="20"/>
                <w:szCs w:val="20"/>
                <w:color w:val="auto"/>
              </w:rPr>
            </w:pPr>
            <w:r>
              <w:rPr>
                <w:rFonts w:ascii="Arial" w:cs="Arial" w:eastAsia="Arial" w:hAnsi="Arial"/>
                <w:sz w:val="11"/>
                <w:szCs w:val="11"/>
                <w:color w:val="auto"/>
              </w:rPr>
              <w:t>87,153</w:t>
            </w:r>
          </w:p>
        </w:tc>
      </w:tr>
      <w:tr>
        <w:trPr>
          <w:trHeight w:val="135"/>
        </w:trPr>
        <w:tc>
          <w:tcPr>
            <w:tcW w:w="2060" w:type="dxa"/>
            <w:vAlign w:val="bottom"/>
          </w:tcPr>
          <w:p>
            <w:pPr>
              <w:ind w:left="260"/>
              <w:spacing w:after="0"/>
              <w:rPr>
                <w:sz w:val="20"/>
                <w:szCs w:val="20"/>
                <w:color w:val="auto"/>
              </w:rPr>
            </w:pPr>
            <w:r>
              <w:rPr>
                <w:rFonts w:ascii="Arial" w:cs="Arial" w:eastAsia="Arial" w:hAnsi="Arial"/>
                <w:sz w:val="11"/>
                <w:szCs w:val="11"/>
                <w:color w:val="auto"/>
              </w:rPr>
              <w:t>Issuance of common stock</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138,693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290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290</w:t>
            </w:r>
          </w:p>
        </w:tc>
      </w:tr>
      <w:tr>
        <w:trPr>
          <w:trHeight w:val="125"/>
        </w:trPr>
        <w:tc>
          <w:tcPr>
            <w:tcW w:w="2060" w:type="dxa"/>
            <w:vAlign w:val="bottom"/>
            <w:shd w:val="clear" w:color="auto" w:fill="CFF0FC"/>
          </w:tcPr>
          <w:p>
            <w:pPr>
              <w:ind w:left="260"/>
              <w:spacing w:after="0" w:line="125" w:lineRule="exact"/>
              <w:rPr>
                <w:sz w:val="20"/>
                <w:szCs w:val="20"/>
                <w:color w:val="auto"/>
              </w:rPr>
            </w:pPr>
            <w:r>
              <w:rPr>
                <w:rFonts w:ascii="Arial" w:cs="Arial" w:eastAsia="Arial" w:hAnsi="Arial"/>
                <w:sz w:val="11"/>
                <w:szCs w:val="11"/>
                <w:color w:val="auto"/>
              </w:rPr>
              <w:t>Repurchase of unvested restricted</w:t>
            </w:r>
          </w:p>
        </w:tc>
        <w:tc>
          <w:tcPr>
            <w:tcW w:w="7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r>
      <w:tr>
        <w:trPr>
          <w:trHeight w:val="131"/>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stock awards</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8,787</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tcPr>
          <w:p>
            <w:pPr>
              <w:ind w:left="260"/>
              <w:spacing w:after="0"/>
              <w:rPr>
                <w:sz w:val="20"/>
                <w:szCs w:val="20"/>
                <w:color w:val="auto"/>
              </w:rPr>
            </w:pPr>
            <w:r>
              <w:rPr>
                <w:rFonts w:ascii="Arial" w:cs="Arial" w:eastAsia="Arial" w:hAnsi="Arial"/>
                <w:sz w:val="11"/>
                <w:szCs w:val="11"/>
                <w:color w:val="auto"/>
              </w:rPr>
              <w:t>Retirement of treasury shares</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(8,787)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1,693</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1,693</w:t>
            </w:r>
          </w:p>
        </w:tc>
      </w:tr>
      <w:tr>
        <w:trPr>
          <w:trHeight w:val="125"/>
        </w:trPr>
        <w:tc>
          <w:tcPr>
            <w:tcW w:w="2060" w:type="dxa"/>
            <w:vAlign w:val="bottom"/>
          </w:tcPr>
          <w:p>
            <w:pPr>
              <w:ind w:left="260"/>
              <w:spacing w:after="0" w:line="125" w:lineRule="exact"/>
              <w:rPr>
                <w:sz w:val="20"/>
                <w:szCs w:val="20"/>
                <w:color w:val="auto"/>
              </w:rPr>
            </w:pPr>
            <w:r>
              <w:rPr>
                <w:rFonts w:ascii="Arial" w:cs="Arial" w:eastAsia="Arial" w:hAnsi="Arial"/>
                <w:sz w:val="11"/>
                <w:szCs w:val="11"/>
                <w:color w:val="auto"/>
              </w:rPr>
              <w:t>Unrealized loss on marketable</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1"/>
        </w:trPr>
        <w:tc>
          <w:tcPr>
            <w:tcW w:w="2060" w:type="dxa"/>
            <w:vAlign w:val="bottom"/>
          </w:tcPr>
          <w:p>
            <w:pPr>
              <w:ind w:left="260"/>
              <w:spacing w:after="0"/>
              <w:rPr>
                <w:sz w:val="20"/>
                <w:szCs w:val="20"/>
                <w:color w:val="auto"/>
              </w:rPr>
            </w:pPr>
            <w:r>
              <w:rPr>
                <w:rFonts w:ascii="Arial" w:cs="Arial" w:eastAsia="Arial" w:hAnsi="Arial"/>
                <w:sz w:val="11"/>
                <w:szCs w:val="11"/>
                <w:color w:val="auto"/>
              </w:rPr>
              <w:t>securities</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Net loss</w:t>
            </w:r>
          </w:p>
        </w:tc>
        <w:tc>
          <w:tcPr>
            <w:tcW w:w="7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(18,452)</w:t>
            </w: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(18,452)</w:t>
            </w:r>
          </w:p>
        </w:tc>
      </w:tr>
      <w:tr>
        <w:trPr>
          <w:trHeight w:val="168"/>
        </w:trPr>
        <w:tc>
          <w:tcPr>
            <w:tcW w:w="2060" w:type="dxa"/>
            <w:vAlign w:val="bottom"/>
          </w:tcPr>
          <w:p>
            <w:pPr>
              <w:spacing w:after="0"/>
              <w:rPr>
                <w:sz w:val="20"/>
                <w:szCs w:val="20"/>
                <w:color w:val="auto"/>
              </w:rPr>
            </w:pPr>
            <w:r>
              <w:rPr>
                <w:rFonts w:ascii="Arial" w:cs="Arial" w:eastAsia="Arial" w:hAnsi="Arial"/>
                <w:sz w:val="11"/>
                <w:szCs w:val="11"/>
                <w:color w:val="auto"/>
              </w:rPr>
              <w:t>Balance at March 31, 2020</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22,793,137</w:t>
            </w:r>
          </w:p>
        </w:tc>
        <w:tc>
          <w:tcPr>
            <w:tcW w:w="100" w:type="dxa"/>
            <w:vAlign w:val="bottom"/>
          </w:tcPr>
          <w:p>
            <w:pPr>
              <w:spacing w:after="0"/>
              <w:rPr>
                <w:sz w:val="14"/>
                <w:szCs w:val="14"/>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239,914</w:t>
            </w: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(53)</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(169,253)</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70,631</w:t>
            </w:r>
          </w:p>
        </w:tc>
      </w:tr>
      <w:tr>
        <w:trPr>
          <w:trHeight w:val="115"/>
        </w:trPr>
        <w:tc>
          <w:tcPr>
            <w:tcW w:w="2060" w:type="dxa"/>
            <w:vAlign w:val="bottom"/>
            <w:tcBorders>
              <w:top w:val="single" w:sz="8" w:color="CFF0FC"/>
            </w:tcBorders>
            <w:shd w:val="clear" w:color="auto" w:fill="CFF0FC"/>
          </w:tcPr>
          <w:p>
            <w:pPr>
              <w:ind w:left="260"/>
              <w:spacing w:after="0" w:line="116" w:lineRule="exact"/>
              <w:rPr>
                <w:sz w:val="20"/>
                <w:szCs w:val="20"/>
                <w:color w:val="auto"/>
              </w:rPr>
            </w:pPr>
            <w:r>
              <w:rPr>
                <w:rFonts w:ascii="Arial" w:cs="Arial" w:eastAsia="Arial" w:hAnsi="Arial"/>
                <w:sz w:val="11"/>
                <w:szCs w:val="11"/>
                <w:color w:val="auto"/>
              </w:rPr>
              <w:t>Issuance of common stock</w:t>
            </w:r>
          </w:p>
        </w:tc>
        <w:tc>
          <w:tcPr>
            <w:tcW w:w="72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FF0FC"/>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401,248</w:t>
            </w:r>
          </w:p>
        </w:tc>
        <w:tc>
          <w:tcPr>
            <w:tcW w:w="1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ind w:left="40"/>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530</w:t>
            </w:r>
          </w:p>
        </w:tc>
        <w:tc>
          <w:tcPr>
            <w:tcW w:w="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ind w:right="6"/>
              <w:spacing w:after="0" w:line="116" w:lineRule="exact"/>
              <w:rPr>
                <w:sz w:val="20"/>
                <w:szCs w:val="20"/>
                <w:color w:val="auto"/>
              </w:rPr>
            </w:pPr>
            <w:r>
              <w:rPr>
                <w:rFonts w:ascii="Arial" w:cs="Arial" w:eastAsia="Arial" w:hAnsi="Arial"/>
                <w:sz w:val="11"/>
                <w:szCs w:val="11"/>
                <w:color w:val="auto"/>
              </w:rPr>
              <w:t>530</w:t>
            </w:r>
          </w:p>
        </w:tc>
      </w:tr>
      <w:tr>
        <w:trPr>
          <w:trHeight w:val="125"/>
        </w:trPr>
        <w:tc>
          <w:tcPr>
            <w:tcW w:w="2060" w:type="dxa"/>
            <w:vAlign w:val="bottom"/>
          </w:tcPr>
          <w:p>
            <w:pPr>
              <w:ind w:left="260"/>
              <w:spacing w:after="0" w:line="125" w:lineRule="exact"/>
              <w:rPr>
                <w:sz w:val="20"/>
                <w:szCs w:val="20"/>
                <w:color w:val="auto"/>
              </w:rPr>
            </w:pPr>
            <w:r>
              <w:rPr>
                <w:rFonts w:ascii="Arial" w:cs="Arial" w:eastAsia="Arial" w:hAnsi="Arial"/>
                <w:sz w:val="11"/>
                <w:szCs w:val="11"/>
                <w:color w:val="auto"/>
              </w:rPr>
              <w:t>Issuance of common stock in</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2060" w:type="dxa"/>
            <w:vAlign w:val="bottom"/>
          </w:tcPr>
          <w:p>
            <w:pPr>
              <w:ind w:left="260"/>
              <w:spacing w:after="0" w:line="122" w:lineRule="exact"/>
              <w:rPr>
                <w:sz w:val="20"/>
                <w:szCs w:val="20"/>
                <w:color w:val="auto"/>
              </w:rPr>
            </w:pPr>
            <w:r>
              <w:rPr>
                <w:rFonts w:ascii="Arial" w:cs="Arial" w:eastAsia="Arial" w:hAnsi="Arial"/>
                <w:sz w:val="11"/>
                <w:szCs w:val="11"/>
                <w:color w:val="auto"/>
                <w:w w:val="95"/>
              </w:rPr>
              <w:t>connection with private placement, net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1"/>
        </w:trPr>
        <w:tc>
          <w:tcPr>
            <w:tcW w:w="2060" w:type="dxa"/>
            <w:vAlign w:val="bottom"/>
          </w:tcPr>
          <w:p>
            <w:pPr>
              <w:ind w:left="260"/>
              <w:spacing w:after="0" w:line="122" w:lineRule="exact"/>
              <w:rPr>
                <w:sz w:val="20"/>
                <w:szCs w:val="20"/>
                <w:color w:val="auto"/>
              </w:rPr>
            </w:pPr>
            <w:r>
              <w:rPr>
                <w:rFonts w:ascii="Arial" w:cs="Arial" w:eastAsia="Arial" w:hAnsi="Arial"/>
                <w:sz w:val="11"/>
                <w:szCs w:val="11"/>
                <w:color w:val="auto"/>
                <w:w w:val="99"/>
              </w:rPr>
              <w:t>of placement agent fees and offering</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1"/>
        </w:trPr>
        <w:tc>
          <w:tcPr>
            <w:tcW w:w="2060" w:type="dxa"/>
            <w:vAlign w:val="bottom"/>
          </w:tcPr>
          <w:p>
            <w:pPr>
              <w:ind w:left="260"/>
              <w:spacing w:after="0"/>
              <w:rPr>
                <w:sz w:val="20"/>
                <w:szCs w:val="20"/>
                <w:color w:val="auto"/>
              </w:rPr>
            </w:pPr>
            <w:r>
              <w:rPr>
                <w:rFonts w:ascii="Arial" w:cs="Arial" w:eastAsia="Arial" w:hAnsi="Arial"/>
                <w:sz w:val="11"/>
                <w:szCs w:val="11"/>
                <w:color w:val="auto"/>
              </w:rPr>
              <w:t>costs</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4,029,411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64,313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64,317</w:t>
            </w:r>
          </w:p>
        </w:tc>
      </w:tr>
      <w:tr>
        <w:trPr>
          <w:trHeight w:val="125"/>
        </w:trPr>
        <w:tc>
          <w:tcPr>
            <w:tcW w:w="2060" w:type="dxa"/>
            <w:vAlign w:val="bottom"/>
            <w:shd w:val="clear" w:color="auto" w:fill="CFF0FC"/>
          </w:tcPr>
          <w:p>
            <w:pPr>
              <w:ind w:left="260"/>
              <w:spacing w:after="0" w:line="125" w:lineRule="exact"/>
              <w:rPr>
                <w:sz w:val="20"/>
                <w:szCs w:val="20"/>
                <w:color w:val="auto"/>
              </w:rPr>
            </w:pPr>
            <w:r>
              <w:rPr>
                <w:rFonts w:ascii="Arial" w:cs="Arial" w:eastAsia="Arial" w:hAnsi="Arial"/>
                <w:sz w:val="11"/>
                <w:szCs w:val="11"/>
                <w:color w:val="auto"/>
              </w:rPr>
              <w:t>Repurchase of unvested restricted</w:t>
            </w:r>
          </w:p>
        </w:tc>
        <w:tc>
          <w:tcPr>
            <w:tcW w:w="7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r>
      <w:tr>
        <w:trPr>
          <w:trHeight w:val="131"/>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stock awards</w:t>
            </w: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10,642</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tcPr>
          <w:p>
            <w:pPr>
              <w:ind w:left="260"/>
              <w:spacing w:after="0"/>
              <w:rPr>
                <w:sz w:val="20"/>
                <w:szCs w:val="20"/>
                <w:color w:val="auto"/>
              </w:rPr>
            </w:pPr>
            <w:r>
              <w:rPr>
                <w:rFonts w:ascii="Arial" w:cs="Arial" w:eastAsia="Arial" w:hAnsi="Arial"/>
                <w:sz w:val="11"/>
                <w:szCs w:val="11"/>
                <w:color w:val="auto"/>
              </w:rPr>
              <w:t>Retirement of treasury shares</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(10,642)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2,204</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2,204</w:t>
            </w:r>
          </w:p>
        </w:tc>
      </w:tr>
      <w:tr>
        <w:trPr>
          <w:trHeight w:val="125"/>
        </w:trPr>
        <w:tc>
          <w:tcPr>
            <w:tcW w:w="2060" w:type="dxa"/>
            <w:vAlign w:val="bottom"/>
          </w:tcPr>
          <w:p>
            <w:pPr>
              <w:ind w:left="260"/>
              <w:spacing w:after="0" w:line="125" w:lineRule="exact"/>
              <w:rPr>
                <w:sz w:val="20"/>
                <w:szCs w:val="20"/>
                <w:color w:val="auto"/>
              </w:rPr>
            </w:pPr>
            <w:r>
              <w:rPr>
                <w:rFonts w:ascii="Arial" w:cs="Arial" w:eastAsia="Arial" w:hAnsi="Arial"/>
                <w:sz w:val="11"/>
                <w:szCs w:val="11"/>
                <w:color w:val="auto"/>
              </w:rPr>
              <w:t>Unrealized gain on marketable</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1"/>
        </w:trPr>
        <w:tc>
          <w:tcPr>
            <w:tcW w:w="2060" w:type="dxa"/>
            <w:vAlign w:val="bottom"/>
          </w:tcPr>
          <w:p>
            <w:pPr>
              <w:ind w:left="260"/>
              <w:spacing w:after="0"/>
              <w:rPr>
                <w:sz w:val="20"/>
                <w:szCs w:val="20"/>
                <w:color w:val="auto"/>
              </w:rPr>
            </w:pPr>
            <w:r>
              <w:rPr>
                <w:rFonts w:ascii="Arial" w:cs="Arial" w:eastAsia="Arial" w:hAnsi="Arial"/>
                <w:sz w:val="11"/>
                <w:szCs w:val="11"/>
                <w:color w:val="auto"/>
              </w:rPr>
              <w:t>securities</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134</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Net loss</w:t>
            </w:r>
          </w:p>
        </w:tc>
        <w:tc>
          <w:tcPr>
            <w:tcW w:w="7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(15,685)</w:t>
            </w: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(15,685)</w:t>
            </w:r>
          </w:p>
        </w:tc>
      </w:tr>
      <w:tr>
        <w:trPr>
          <w:trHeight w:val="168"/>
        </w:trPr>
        <w:tc>
          <w:tcPr>
            <w:tcW w:w="2060" w:type="dxa"/>
            <w:vAlign w:val="bottom"/>
          </w:tcPr>
          <w:p>
            <w:pPr>
              <w:spacing w:after="0"/>
              <w:rPr>
                <w:sz w:val="20"/>
                <w:szCs w:val="20"/>
                <w:color w:val="auto"/>
              </w:rPr>
            </w:pPr>
            <w:r>
              <w:rPr>
                <w:rFonts w:ascii="Arial" w:cs="Arial" w:eastAsia="Arial" w:hAnsi="Arial"/>
                <w:sz w:val="11"/>
                <w:szCs w:val="11"/>
                <w:color w:val="auto"/>
              </w:rPr>
              <w:t>Balance at June 30, 2020</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27,223,796</w:t>
            </w:r>
          </w:p>
        </w:tc>
        <w:tc>
          <w:tcPr>
            <w:tcW w:w="100" w:type="dxa"/>
            <w:vAlign w:val="bottom"/>
          </w:tcPr>
          <w:p>
            <w:pPr>
              <w:spacing w:after="0"/>
              <w:rPr>
                <w:sz w:val="14"/>
                <w:szCs w:val="14"/>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306,961</w:t>
            </w: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81</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(184,938)</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122,131</w:t>
            </w:r>
          </w:p>
        </w:tc>
      </w:tr>
      <w:tr>
        <w:trPr>
          <w:trHeight w:val="116"/>
        </w:trPr>
        <w:tc>
          <w:tcPr>
            <w:tcW w:w="2060" w:type="dxa"/>
            <w:vAlign w:val="bottom"/>
            <w:tcBorders>
              <w:top w:val="single" w:sz="8" w:color="CFF0FC"/>
            </w:tcBorders>
            <w:shd w:val="clear" w:color="auto" w:fill="CFF0FC"/>
          </w:tcPr>
          <w:p>
            <w:pPr>
              <w:ind w:left="260"/>
              <w:spacing w:after="0" w:line="116" w:lineRule="exact"/>
              <w:rPr>
                <w:sz w:val="20"/>
                <w:szCs w:val="20"/>
                <w:color w:val="auto"/>
              </w:rPr>
            </w:pPr>
            <w:r>
              <w:rPr>
                <w:rFonts w:ascii="Arial" w:cs="Arial" w:eastAsia="Arial" w:hAnsi="Arial"/>
                <w:sz w:val="11"/>
                <w:szCs w:val="11"/>
                <w:color w:val="auto"/>
              </w:rPr>
              <w:t>Issuance of common stock</w:t>
            </w:r>
          </w:p>
        </w:tc>
        <w:tc>
          <w:tcPr>
            <w:tcW w:w="72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FF0FC"/>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54,187</w:t>
            </w:r>
          </w:p>
        </w:tc>
        <w:tc>
          <w:tcPr>
            <w:tcW w:w="1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ind w:left="40"/>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ind w:right="66"/>
              <w:spacing w:after="0" w:line="116" w:lineRule="exact"/>
              <w:rPr>
                <w:sz w:val="20"/>
                <w:szCs w:val="20"/>
                <w:color w:val="auto"/>
              </w:rPr>
            </w:pPr>
            <w:r>
              <w:rPr>
                <w:rFonts w:ascii="Arial" w:cs="Arial" w:eastAsia="Arial" w:hAnsi="Arial"/>
                <w:sz w:val="11"/>
                <w:szCs w:val="11"/>
                <w:color w:val="auto"/>
              </w:rPr>
              <w:t>90</w:t>
            </w:r>
          </w:p>
        </w:tc>
        <w:tc>
          <w:tcPr>
            <w:tcW w:w="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ind w:right="46"/>
              <w:spacing w:after="0" w:line="116"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ind w:right="6"/>
              <w:spacing w:after="0" w:line="116" w:lineRule="exact"/>
              <w:rPr>
                <w:sz w:val="20"/>
                <w:szCs w:val="20"/>
                <w:color w:val="auto"/>
              </w:rPr>
            </w:pPr>
            <w:r>
              <w:rPr>
                <w:rFonts w:ascii="Arial" w:cs="Arial" w:eastAsia="Arial" w:hAnsi="Arial"/>
                <w:sz w:val="11"/>
                <w:szCs w:val="11"/>
                <w:color w:val="auto"/>
              </w:rPr>
              <w:t>90</w:t>
            </w:r>
          </w:p>
        </w:tc>
      </w:tr>
      <w:tr>
        <w:trPr>
          <w:trHeight w:val="125"/>
        </w:trPr>
        <w:tc>
          <w:tcPr>
            <w:tcW w:w="2060" w:type="dxa"/>
            <w:vAlign w:val="bottom"/>
          </w:tcPr>
          <w:p>
            <w:pPr>
              <w:ind w:left="260"/>
              <w:spacing w:after="0" w:line="125" w:lineRule="exact"/>
              <w:rPr>
                <w:sz w:val="20"/>
                <w:szCs w:val="20"/>
                <w:color w:val="auto"/>
              </w:rPr>
            </w:pPr>
            <w:r>
              <w:rPr>
                <w:rFonts w:ascii="Arial" w:cs="Arial" w:eastAsia="Arial" w:hAnsi="Arial"/>
                <w:sz w:val="11"/>
                <w:szCs w:val="11"/>
                <w:color w:val="auto"/>
              </w:rPr>
              <w:t>Repurchase of unvested restricted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1"/>
        </w:trPr>
        <w:tc>
          <w:tcPr>
            <w:tcW w:w="2060" w:type="dxa"/>
            <w:vAlign w:val="bottom"/>
          </w:tcPr>
          <w:p>
            <w:pPr>
              <w:ind w:left="260"/>
              <w:spacing w:after="0"/>
              <w:rPr>
                <w:sz w:val="20"/>
                <w:szCs w:val="20"/>
                <w:color w:val="auto"/>
              </w:rPr>
            </w:pPr>
            <w:r>
              <w:rPr>
                <w:rFonts w:ascii="Arial" w:cs="Arial" w:eastAsia="Arial" w:hAnsi="Arial"/>
                <w:sz w:val="11"/>
                <w:szCs w:val="11"/>
                <w:color w:val="auto"/>
              </w:rPr>
              <w:t>stock awards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4,581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Retirement of treasury shares</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(4,581)</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2060" w:type="dxa"/>
            <w:vAlign w:val="bottom"/>
          </w:tcPr>
          <w:p>
            <w:pPr>
              <w:ind w:left="26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1,776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1,776</w:t>
            </w:r>
          </w:p>
        </w:tc>
      </w:tr>
      <w:tr>
        <w:trPr>
          <w:trHeight w:val="125"/>
        </w:trPr>
        <w:tc>
          <w:tcPr>
            <w:tcW w:w="2060" w:type="dxa"/>
            <w:vAlign w:val="bottom"/>
            <w:shd w:val="clear" w:color="auto" w:fill="CFF0FC"/>
          </w:tcPr>
          <w:p>
            <w:pPr>
              <w:ind w:left="260"/>
              <w:spacing w:after="0" w:line="125" w:lineRule="exact"/>
              <w:rPr>
                <w:sz w:val="20"/>
                <w:szCs w:val="20"/>
                <w:color w:val="auto"/>
              </w:rPr>
            </w:pPr>
            <w:r>
              <w:rPr>
                <w:rFonts w:ascii="Arial" w:cs="Arial" w:eastAsia="Arial" w:hAnsi="Arial"/>
                <w:sz w:val="11"/>
                <w:szCs w:val="11"/>
                <w:color w:val="auto"/>
              </w:rPr>
              <w:t>Unrealized loss on marketable</w:t>
            </w:r>
          </w:p>
        </w:tc>
        <w:tc>
          <w:tcPr>
            <w:tcW w:w="7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r>
      <w:tr>
        <w:trPr>
          <w:trHeight w:val="131"/>
        </w:trPr>
        <w:tc>
          <w:tcPr>
            <w:tcW w:w="20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securities</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w:t>
            </w:r>
          </w:p>
        </w:tc>
      </w:tr>
      <w:tr>
        <w:trPr>
          <w:trHeight w:val="135"/>
        </w:trPr>
        <w:tc>
          <w:tcPr>
            <w:tcW w:w="2060" w:type="dxa"/>
            <w:vAlign w:val="bottom"/>
            <w:tcBorders>
              <w:bottom w:val="single" w:sz="8" w:color="CFF0FC"/>
            </w:tcBorders>
          </w:tcPr>
          <w:p>
            <w:pPr>
              <w:ind w:left="260"/>
              <w:spacing w:after="0"/>
              <w:rPr>
                <w:sz w:val="20"/>
                <w:szCs w:val="20"/>
                <w:color w:val="auto"/>
              </w:rPr>
            </w:pPr>
            <w:r>
              <w:rPr>
                <w:rFonts w:ascii="Arial" w:cs="Arial" w:eastAsia="Arial" w:hAnsi="Arial"/>
                <w:sz w:val="11"/>
                <w:szCs w:val="11"/>
                <w:color w:val="auto"/>
              </w:rPr>
              <w:t>Net loss</w:t>
            </w: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7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(18,962)</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(18,962)</w:t>
            </w:r>
          </w:p>
        </w:tc>
      </w:tr>
      <w:tr>
        <w:trPr>
          <w:trHeight w:val="128"/>
        </w:trPr>
        <w:tc>
          <w:tcPr>
            <w:tcW w:w="2060" w:type="dxa"/>
            <w:vAlign w:val="bottom"/>
            <w:shd w:val="clear" w:color="auto" w:fill="CFF0FC"/>
          </w:tcPr>
          <w:p>
            <w:pPr>
              <w:spacing w:after="0"/>
              <w:rPr>
                <w:sz w:val="20"/>
                <w:szCs w:val="20"/>
                <w:color w:val="auto"/>
              </w:rPr>
            </w:pPr>
            <w:r>
              <w:rPr>
                <w:rFonts w:ascii="Arial" w:cs="Arial" w:eastAsia="Arial" w:hAnsi="Arial"/>
                <w:sz w:val="11"/>
                <w:szCs w:val="11"/>
                <w:color w:val="auto"/>
              </w:rPr>
              <w:t>Balance at September 30, 2020</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ind w:right="9"/>
              <w:spacing w:after="0"/>
              <w:rPr>
                <w:sz w:val="20"/>
                <w:szCs w:val="20"/>
                <w:color w:val="auto"/>
              </w:rPr>
            </w:pPr>
            <w:r>
              <w:rPr>
                <w:rFonts w:ascii="Arial" w:cs="Arial" w:eastAsia="Arial" w:hAnsi="Arial"/>
                <w:sz w:val="5"/>
                <w:szCs w:val="5"/>
                <w:color w:val="auto"/>
                <w:w w:val="70"/>
              </w:rPr>
              <w:t>$</w:t>
            </w: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27,277,983</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FF0FC"/>
          </w:tcPr>
          <w:p>
            <w:pPr>
              <w:jc w:val="right"/>
              <w:ind w:right="21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ind w:left="10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308,827</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31</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(203,900)</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104,985</w:t>
            </w:r>
          </w:p>
        </w:tc>
      </w:tr>
      <w:tr>
        <w:trPr>
          <w:trHeight w:val="20"/>
        </w:trPr>
        <w:tc>
          <w:tcPr>
            <w:tcW w:w="20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Nine Months Ended</w:t>
      </w:r>
    </w:p>
    <w:p>
      <w:pPr>
        <w:jc w:val="center"/>
        <w:ind w:left="76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78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2019</w:t>
            </w:r>
          </w:p>
        </w:tc>
      </w:tr>
      <w:tr>
        <w:trPr>
          <w:trHeight w:val="209"/>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(53,099)</w:t>
            </w:r>
          </w:p>
        </w:tc>
        <w:tc>
          <w:tcPr>
            <w:tcW w:w="16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(66,554)</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1,646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1,534</w:t>
            </w: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5,673</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2,950</w:t>
            </w: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In-process research and development expenses</w:t>
            </w:r>
          </w:p>
        </w:tc>
        <w:tc>
          <w:tcPr>
            <w:tcW w:w="9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25,591</w:t>
            </w: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amortization of premiums and discounts on marketable securities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Unbilled accounts receivable</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(2,714)</w:t>
            </w: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1,590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2,849</w:t>
            </w: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3,442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1,237</w:t>
            </w: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9,574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deferred lease incentive</w:t>
            </w: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139</w:t>
            </w: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(33,829)</w:t>
            </w:r>
          </w:p>
        </w:tc>
        <w:tc>
          <w:tcPr>
            <w:tcW w:w="16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(34,988)</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Purchases of marketable securities</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(81,270)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Maturities of marketable securities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39,600</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(745)</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Transaction costs associated with asset acquisition</w:t>
            </w:r>
          </w:p>
        </w:tc>
        <w:tc>
          <w:tcPr>
            <w:tcW w:w="9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(42,540)</w:t>
            </w: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(836)</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Payment of Series B convertible preferred stock issuance costs</w:t>
            </w:r>
          </w:p>
        </w:tc>
        <w:tc>
          <w:tcPr>
            <w:tcW w:w="9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initial public offering of common stock, net of underwriting discounts and commissions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64,443</w:t>
            </w:r>
          </w:p>
        </w:tc>
      </w:tr>
      <w:tr>
        <w:trPr>
          <w:trHeight w:val="206"/>
        </w:trPr>
        <w:tc>
          <w:tcPr>
            <w:tcW w:w="7820" w:type="dxa"/>
            <w:vAlign w:val="bottom"/>
          </w:tcPr>
          <w:p>
            <w:pPr>
              <w:spacing w:after="0"/>
              <w:rPr>
                <w:sz w:val="20"/>
                <w:szCs w:val="20"/>
                <w:color w:val="auto"/>
              </w:rPr>
            </w:pPr>
            <w:r>
              <w:rPr>
                <w:rFonts w:ascii="Arial" w:cs="Arial" w:eastAsia="Arial" w:hAnsi="Arial"/>
                <w:sz w:val="16"/>
                <w:szCs w:val="16"/>
                <w:color w:val="auto"/>
                <w:w w:val="97"/>
              </w:rPr>
              <w:t>Proceeds from issuance of common stock in connection with private placement, net of placement agent fees and</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6"/>
                <w:szCs w:val="16"/>
                <w:color w:val="auto"/>
              </w:rPr>
              <w:t>offering costs</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64,210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Principal payments on capital lease obligations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Proceeds from issuance of common stock under benefit plans, net</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897</w:t>
            </w:r>
          </w:p>
        </w:tc>
        <w:tc>
          <w:tcPr>
            <w:tcW w:w="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249</w:t>
            </w:r>
          </w:p>
        </w:tc>
      </w:tr>
      <w:tr>
        <w:trPr>
          <w:trHeight w:val="212"/>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64,877</w:t>
            </w:r>
          </w:p>
        </w:tc>
        <w:tc>
          <w:tcPr>
            <w:tcW w:w="1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64,624</w:t>
            </w: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(11,492)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28,800</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97,805</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73,889</w:t>
            </w:r>
          </w:p>
        </w:tc>
      </w:tr>
      <w:tr>
        <w:trPr>
          <w:trHeight w:val="246"/>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86,313</w:t>
            </w:r>
          </w:p>
        </w:tc>
        <w:tc>
          <w:tcPr>
            <w:tcW w:w="1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102,689</w:t>
            </w:r>
          </w:p>
        </w:tc>
      </w:tr>
      <w:tr>
        <w:trPr>
          <w:trHeight w:val="200"/>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9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6</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Non-cash investing and financing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Acquisition of in process research and development through issuance of stock</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25,500</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Conversion of convertible preferred stock into common stock</w:t>
            </w: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165,136</w:t>
            </w: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Property and equipment purchases unpaid at end of period</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Public offering costs unpaid at end of period</w:t>
            </w: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442</w:t>
            </w:r>
          </w:p>
        </w:tc>
      </w:tr>
    </w:tbl>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a reconciliation of the cash, cash equivalents, and restricted cash balances as of each of the periods shown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80" w:type="dxa"/>
            <w:vAlign w:val="bottom"/>
          </w:tcPr>
          <w:p>
            <w:pPr>
              <w:jc w:val="right"/>
              <w:ind w:right="385"/>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b w:val="1"/>
                <w:bCs w:val="1"/>
                <w:color w:val="auto"/>
              </w:rPr>
              <w:t>2019</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85,221</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101,597</w:t>
            </w:r>
          </w:p>
        </w:tc>
      </w:tr>
      <w:tr>
        <w:trPr>
          <w:trHeight w:val="175"/>
        </w:trPr>
        <w:tc>
          <w:tcPr>
            <w:tcW w:w="77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Restricted cash</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1,092</w:t>
            </w:r>
          </w:p>
        </w:tc>
        <w:tc>
          <w:tcPr>
            <w:tcW w:w="1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1,092</w:t>
            </w: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Total cash, cash equivalents, and restricted cash</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rPr>
              <w:t>86,313</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rPr>
              <w:t>102,689</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rare diseases in areas of high unmet medical need.</w:t>
      </w:r>
    </w:p>
    <w:p>
      <w:pPr>
        <w:spacing w:after="0" w:line="170"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September 30, 2020 and the results of its operations and its cash flows for the three and nine months ended September 30, 2020 and 2019. The results for the three and nine months ended September 30, 2020 are not necessarily indicative of results to be expected for the year ending December 31, 2020, any other interim periods, or any future year or period. These consolidated financial statements should be read in conjunction with the Company’s audited consolidated financial statements and the notes thereto for the year ended December 31, 2019 included in the Company’s Annual Report on Form 10-K filed with the Securities and Exchange Commission (the “SEC”) on March 5, 2020 (the “Annual Report on Form 10-K”).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On July 22, 2019, the Company completed an initial public offering (“IPO”) of its common stock and issued and sold 4,500,000 shares of common stock at a public offering price of $16.00 per share, resulting in net proceeds of $63.9 million after deducting underwriting discounts and commissions and offering expenses. Upon the closing of the IPO, all 112,500,000 shares of outstanding preferred stock automatically converted into 16,071,418 shares of common stock.</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July 5, 2019, in connection with the IPO, the Company effected a one-for-seven reverse stock split of the Company’s issued and outstanding shares of common stock and a proportional adjustment to the existing conversion ratios for each of the Company’s outstanding series of preferred stock. All share and per share amounts in the accompanying consolidated financial statements and notes thereto for periods prior to the reverse stock split have been retroactively adjusted to give effect to this reverse stock split, including reclassifying an amount equal to the reduction in par value of common stock to additional paid-in capital.</w:t>
      </w:r>
    </w:p>
    <w:p>
      <w:pPr>
        <w:spacing w:after="0" w:line="18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June 9, 2020, the Company issued and sold 4,029,411 shares of common stock to investors in a private placement at a price of $17.00 per share, resulting in gross proceeds of $68.5 million, before deducting offering costs of approximately $4.2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has incurred recurring losses and negative cash flows from operations since inception and has primarily funded its operations with proceeds from a private placement of the Company’s common stock, proceeds from the IPO, issuances of convertible notes and convertible preferred stock, an upfront payment received from its collaboration and license agreement (the “Acceleron Collaboration Agreement”) with Acceleron Pharma Inc. (“Acceleron”), and an upfront payment received from its collaboration and license agreement (the “MyoKardia Collaboration Agreement”) with MyoKardia, Inc. (“MyoKardia”). As of September 30, 2020, the Company had an accumulated deficit of $203.9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260" w:firstLine="510"/>
        <w:spacing w:after="0" w:line="293" w:lineRule="auto"/>
        <w:rPr>
          <w:sz w:val="20"/>
          <w:szCs w:val="20"/>
          <w:color w:val="auto"/>
        </w:rPr>
      </w:pPr>
      <w:r>
        <w:rPr>
          <w:rFonts w:ascii="Arial" w:cs="Arial" w:eastAsia="Arial" w:hAnsi="Arial"/>
          <w:sz w:val="16"/>
          <w:szCs w:val="16"/>
          <w:color w:val="auto"/>
        </w:rPr>
        <w:t>As of the date of issuance of these financial statements, the Company expects that its cash, cash equivalents, and marketable securities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2019 included in the Company’s Annual Report on Form 10-K. There have been no material changes in the Company’s significant accounting policies during the nine months ended September 30, 2020, except as noted below with respect to the Company’s accounting policies related to marketable securities and except as noted below under “Recently Adopted Accounting Pronouncements”.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the fair value of the Company’s common stock and convertible preferred stock prior to the completion of the IPO,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0"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2"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70"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Company’s cash equivalents and marketable securities are carried at fair value and are classified according to the fair value hierarchy described above (Note 3). The cash equivalents and marketable securities are initially valued at the transaction price, and subsequently revalued at the end of each reporting period, utilizing third-party pricing services. The pricing services utilize industry standard valuation models, including both income and market based approaches, to determine fair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The Company classifies marketable securities with a remaining maturity when purchased of greater than three months as marketable securities. As of September 30, 2020, the Company’s marketable securities consisted of investments in U.S. Treasury securities, corporate bonds, and commercial paper. Marketable securities are classified as current assets on the consolidated balance sheets if the marketable securities are available to be converted into cash to fund current operations.</w:t>
      </w:r>
    </w:p>
    <w:p>
      <w:pPr>
        <w:spacing w:after="0" w:line="18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Marketable securities are carried at fair value with the unrealized gains and losses included in accumulated other comprehensive loss, which is a component of stockholders’ equity, until such gains and losses are realized. Any premium arising at purchase is amortized to interest expense over the period of the earliest call date, and any discount arising at purchase is accreted to interest income over the life of the instrument. Realized gains and losses are determined using the specific identification method and are included in other income, net.</w:t>
      </w:r>
    </w:p>
    <w:p>
      <w:pPr>
        <w:spacing w:after="0" w:line="18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primarily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 xml:space="preserve">In March 2017, the FASB issued ASU No. 2017-08, </w:t>
      </w:r>
      <w:r>
        <w:rPr>
          <w:rFonts w:ascii="Arial" w:cs="Arial" w:eastAsia="Arial" w:hAnsi="Arial"/>
          <w:sz w:val="16"/>
          <w:szCs w:val="16"/>
          <w:i w:val="1"/>
          <w:iCs w:val="1"/>
          <w:color w:val="auto"/>
        </w:rPr>
        <w:t>Receivables - Nonrefundable Fees and Other Costs (Subtopic 310-20): Premium Amortization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Purchased Callable Debt Securities </w:t>
      </w:r>
      <w:r>
        <w:rPr>
          <w:rFonts w:ascii="Arial" w:cs="Arial" w:eastAsia="Arial" w:hAnsi="Arial"/>
          <w:sz w:val="16"/>
          <w:szCs w:val="16"/>
          <w:color w:val="auto"/>
        </w:rPr>
        <w:t>(“ASU 2017-08”). This standard amends the amortization period for certain purchased callable debt securities held</w:t>
      </w:r>
      <w:r>
        <w:rPr>
          <w:rFonts w:ascii="Arial" w:cs="Arial" w:eastAsia="Arial" w:hAnsi="Arial"/>
          <w:sz w:val="16"/>
          <w:szCs w:val="16"/>
          <w:i w:val="1"/>
          <w:iCs w:val="1"/>
          <w:color w:val="auto"/>
        </w:rPr>
        <w:t xml:space="preserve"> </w:t>
      </w:r>
      <w:r>
        <w:rPr>
          <w:rFonts w:ascii="Arial" w:cs="Arial" w:eastAsia="Arial" w:hAnsi="Arial"/>
          <w:sz w:val="16"/>
          <w:szCs w:val="16"/>
          <w:color w:val="auto"/>
        </w:rPr>
        <w:t>at a premium by shortening the amortization period to the earliest call date. The new standard became effective for the Company on January 1, 2020. The adoption of this standard did not have a material impact on the Company’s consolidated financial statements or footnote disclosures.</w:t>
      </w:r>
    </w:p>
    <w:p>
      <w:pPr>
        <w:spacing w:after="0" w:line="15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 2017-11”). Part I of the standard applies to entities that issue financial instruments such as warrants, convertible debt 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that contain down-round features. Part II of the standard replaces the indefinite deferral for certain mandatorily redeemable noncontrolling interests and mandatorily redeemable financial instruments of nonpublic entities contained within ASC 480 with a scope exception and does not impact the accounting for these mandatorily redeemable instruments. The new standard became effective for the Company on January 1, 2020 under the extended transition period. The adoption of this standard did not have a material impact on the Company’s consolidated financial statements or footnote disclosures.</w:t>
      </w:r>
    </w:p>
    <w:p>
      <w:pPr>
        <w:spacing w:after="0" w:line="16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 Clarifying the Interaction between Topic 808 and</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The standard clarifies that certain transactions between collaborative arrangement participants should be accounted for as revenue under ASC</w:t>
      </w:r>
      <w:r>
        <w:rPr>
          <w:rFonts w:ascii="Arial" w:cs="Arial" w:eastAsia="Arial" w:hAnsi="Arial"/>
          <w:sz w:val="16"/>
          <w:szCs w:val="16"/>
          <w:i w:val="1"/>
          <w:iCs w:val="1"/>
          <w:color w:val="auto"/>
        </w:rPr>
        <w:t xml:space="preserve"> </w:t>
      </w:r>
      <w:r>
        <w:rPr>
          <w:rFonts w:ascii="Arial" w:cs="Arial" w:eastAsia="Arial" w:hAnsi="Arial"/>
          <w:sz w:val="16"/>
          <w:szCs w:val="16"/>
          <w:color w:val="auto"/>
        </w:rPr>
        <w:t>606 when the collaborative arrangement participant is a customer in the context of a unit of account. The standard amends ASC 808 to refer to the unit-of-account guidance in ASC 606 and requires it to be used only when assessing whether a transaction is in the scope of ASC 606 when an entity is assessing whether the collaborative arrangement or a part of the arrangement is within the scope of ASC 606. The standard 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 The new standard became effective for the Company on January 1, 2020. The adoption of this standard did not have a material impact on the Company’s consolidated financial statements or footnote disclosures.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permits entities to continue applying legacy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including its disclosure requirements, in the comparative periods presented in the year that the entity adopts the new leasing standard. In November 2019, the FASB deferred the effective date of ASU 2018-11 for private companies to fiscal years beginning after December 15, 2020. In June 2020, the FASB further deferred the effective date of ASU 2018-11 for private companies to fiscal years beginning after December 15, 2021. The new standard will become effective for the Company on January 1, 2022.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6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standard requires that credit losses be reported using an expected losses model rather than the incurred losses model</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xml:space="preserve"> (“ASU 2019-12”).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September 30, 2020 and December 31, 2019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9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85,221</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85,221</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13,780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13,780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13,026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127,025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85,221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41,804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63"/>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9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96,713</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96,713</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96,713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96,713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three and nine months ended September 30, 2020.</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Marketable securities consisted of the following as of September 30, 2020 (in thousands):</w:t>
      </w:r>
    </w:p>
    <w:p>
      <w:pPr>
        <w:spacing w:after="0" w:line="257"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Fair Value Measurements at</w:t>
      </w:r>
    </w:p>
    <w:p>
      <w:pPr>
        <w:jc w:val="center"/>
        <w:ind w:left="5700"/>
        <w:spacing w:after="0" w:line="236" w:lineRule="auto"/>
        <w:rPr>
          <w:sz w:val="20"/>
          <w:szCs w:val="20"/>
          <w:color w:val="auto"/>
        </w:rPr>
      </w:pPr>
      <w:r>
        <w:rPr>
          <w:rFonts w:ascii="Arial" w:cs="Arial" w:eastAsia="Arial" w:hAnsi="Arial"/>
          <w:sz w:val="14"/>
          <w:szCs w:val="14"/>
          <w:b w:val="1"/>
          <w:bCs w:val="1"/>
          <w:color w:val="auto"/>
        </w:rPr>
        <w:t>September 30, 2020</w:t>
      </w:r>
    </w:p>
    <w:tbl>
      <w:tblPr>
        <w:tblLayout w:type="fixed"/>
        <w:tblInd w:w="0" w:type="dxa"/>
        <w:tblCellMar>
          <w:top w:w="0" w:type="dxa"/>
          <w:left w:w="0" w:type="dxa"/>
          <w:bottom w:w="0" w:type="dxa"/>
          <w:right w:w="0" w:type="dxa"/>
        </w:tblCellMar>
      </w:tblPr>
      <w:tr>
        <w:trPr>
          <w:trHeight w:val="133"/>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95"/>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0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85,221</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85,221</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85,221</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85,221</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14,996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14,998</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13,751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13,780</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13,026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41,773</w:t>
            </w: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41,804</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 and marketable securities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126,994</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127,025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hold any marketable securities as of December 31, 2019.</w:t>
      </w:r>
    </w:p>
    <w:p>
      <w:pPr>
        <w:spacing w:after="0" w:line="225"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There were no sales of marketable securities during the three and nine months ended September 30, 2020. As of September 30, 2020, no securities were in an unrealized loss position. The Company determined that it did not hold any securities with any other-than-temporary impairment as of September 30, 2020. As of September 30, 2020, the remaining contractual maturity of all of the Company’s marketable securities is less than one year.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5,710</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548</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512</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90</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6,210</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13,844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13,152</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8,395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9,205</w:t>
            </w: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Depreciation expense for each of the three months ended September 30, 2020 and 2019 was $0.5 million. Depreciation expense for the nine months ended September 30, 2020 and 2019 was $1.6 million and $1.5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86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2,796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89"/>
              </w:rPr>
              <w:t>Prepaid sign-on bonuses subject to vesting provisions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Total prepaid expenses and other current assets</w:t>
            </w:r>
          </w:p>
        </w:tc>
        <w:tc>
          <w:tcPr>
            <w:tcW w:w="15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3,370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00" w:type="dxa"/>
            <w:vAlign w:val="bottom"/>
            <w:vMerge w:val="restart"/>
          </w:tcPr>
          <w:p>
            <w:pPr>
              <w:jc w:val="right"/>
              <w:ind w:right="1310"/>
              <w:spacing w:after="0"/>
              <w:rPr>
                <w:sz w:val="20"/>
                <w:szCs w:val="20"/>
                <w:color w:val="auto"/>
              </w:rPr>
            </w:pPr>
            <w:r>
              <w:rPr>
                <w:rFonts w:ascii="Arial" w:cs="Arial" w:eastAsia="Arial" w:hAnsi="Arial"/>
                <w:sz w:val="18"/>
                <w:szCs w:val="18"/>
                <w:color w:val="auto"/>
                <w:w w:val="79"/>
              </w:rPr>
              <w:t>9</w:t>
            </w: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2,250</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Payroll and benefits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2,239</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891</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liability, current portion</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17</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w:t>
            </w: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5,496</w:t>
            </w: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229"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As of September 30, 2020 and December 31, 2019, 5,000,000 shares of undesignated preferred stock were authorized. No shares of preferred stock were issued or outstanding as of September 30, 2020 and December 31, 2019.</w:t>
      </w:r>
    </w:p>
    <w:p>
      <w:pPr>
        <w:spacing w:after="0" w:line="170"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During the nine months ended September 30, 2019, the Company issued 12,500,000 shares of Series B convertible preferred stock (the “Series B Preferred Stock”) in connection with the right of reference and license agreement, as amended (the “GSK Agreement”), with subsidiaries of GlaxoSmithKline plc (collectively referred to as “GSK”) (Note 11). The rights, privileges, and preferences of the Series B Preferred Stock issued in connection with the GSK Agreement were consistent with the rights, privileges, and preferences of the Series B Preferred Stock issued during prior periods.</w:t>
      </w:r>
    </w:p>
    <w:p>
      <w:pPr>
        <w:spacing w:after="0" w:line="188"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On July 5, 2019, the Company eliminated the gross proceeds threshold of $45.0 million for a firm-commitment underwritten public offering that would result in the automatic conversion of all outstanding shares of Series A convertible preferred stock and Series B Preferred Stock (together with the Series A convertible preferred stock, the “Preferred Stock”).</w:t>
      </w:r>
    </w:p>
    <w:p>
      <w:pPr>
        <w:spacing w:after="0" w:line="184"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Upon the completion of the IPO on July 22, 2019, all 112,500,000 shares of outstanding Preferred Stock automatically converted into 16,071,418 shares of common stock. In addition, upon the completion of the IPO, the Company amended and restated its certificate of incorporation to authorize 5,000,000 shares of preferred stock, which shares of preferred stock are currently undesignated.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229"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As of September 30, 2020 and December 31, 2019, the Company’s restated certificate of incorporation authorized the Company to issue 200,000,000 shares of common stock, $0.001 par value per share.</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On August 11, 2020, the Company entered into an Equity Distribution Agreement with Piper Sandler &amp; Co (“Piper Sandler”), as sales agent, pursuant to which the Company may offer and sell shares of its common stock with an aggregate offering price of up to $75.0 million under an “at-the-market” offering program (the “ATM Offering”). The Equity Distribution Agreement provides that Piper Sandler will be entitled to a sales commission equal to 3.0% of the gross sales price per share of all shares sold under the ATM Offering. From the initiation of the ATM Offering through September 30, 2020, the Company has sold no shares under the ATM Offering.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6"/>
          <w:szCs w:val="16"/>
          <w:color w:val="auto"/>
        </w:rPr>
        <w:t>As of September 30, 2020 and December 31, 2019, the Company has reserved for future issuance the following number of shares of common stock:</w:t>
      </w:r>
    </w:p>
    <w:p>
      <w:pPr>
        <w:spacing w:after="0" w:line="26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6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23"/>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2,868,693</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2,023,828</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1,860,978</w:t>
            </w:r>
          </w:p>
        </w:tc>
        <w:tc>
          <w:tcPr>
            <w:tcW w:w="1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1,866,694</w:t>
            </w:r>
          </w:p>
        </w:tc>
      </w:tr>
      <w:tr>
        <w:trPr>
          <w:trHeight w:val="215"/>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Purchase Plan</w:t>
            </w:r>
          </w:p>
        </w:tc>
        <w:tc>
          <w:tcPr>
            <w:tcW w:w="176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485,497</w:t>
            </w:r>
          </w:p>
        </w:tc>
        <w:tc>
          <w:tcPr>
            <w:tcW w:w="140" w:type="dxa"/>
            <w:vAlign w:val="bottom"/>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252,142</w:t>
            </w:r>
          </w:p>
        </w:tc>
      </w:tr>
      <w:tr>
        <w:trPr>
          <w:trHeight w:val="223"/>
        </w:trPr>
        <w:tc>
          <w:tcPr>
            <w:tcW w:w="3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5,215,168</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4,142,664</w:t>
            </w:r>
          </w:p>
        </w:tc>
      </w:tr>
      <w:tr>
        <w:trPr>
          <w:trHeight w:val="20"/>
        </w:trPr>
        <w:tc>
          <w:tcPr>
            <w:tcW w:w="3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September 30, 2020, no shares remained available for future issuance under the 2016 Plan. Any options or awards outstanding under the 2016 Plan remain outstanding and 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is 2,017,142 shares, plus the shares of common stock remaining available for issuance under the 2016 Plan as of July 17, 2019. The number of shares reserved shall be annually increased on January 1, 2020 and each January 1 thereafter through January 1, 2029 by the least of (i) 2,000,000 shares, (ii) 4% of the number of shares of the Company’s common stock outstanding on the first day of each such year or (iii) an amount determined by the Company’s board of directors. On January 1, 2020, the number of shares reserved for issuance under the 2019 Plan was increased by 933,420 shares. As of September 30, 2020, there were 1,860,978 shares available for future issuance under the 2019 Plan.</w:t>
      </w:r>
    </w:p>
    <w:p>
      <w:pPr>
        <w:spacing w:after="0" w:line="178"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financial reporting purposes, the Company performed common stock valuations with the assistance of a third-party specialist as of May 10, 2019, March 15, 2019, November 30, 2018, August 24, 2018, June 1, 2018, December 31, 2017, and December 31, 2016 to determine stock-based compensation expense for restricted stock awards and stock options. Upon completion of the IPO, the fair value of the common stock on the grant date was based on the closing price of the stock on the Nasdaq Global Market on the date of grant.</w:t>
      </w:r>
    </w:p>
    <w:p>
      <w:pPr>
        <w:spacing w:after="0" w:line="187"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The Company may repurchase unvested shares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8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shares of common stock underlying restricted stock awards typically vest over a four-year period. The shares of common stock are recorded in stockholders’ equity as they vest.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The following table summarizes the Company’s restricted stock activity under the 2019 Plan and 2016 Plan since December 31, 2019:</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1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346,423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(198,343)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Repurchased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2020</w:t>
            </w:r>
          </w:p>
        </w:tc>
        <w:tc>
          <w:tcPr>
            <w:tcW w:w="11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124,070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Stock options granted by the Company typically vest over a four-year period and have a ten year contractual term. The following table summarizes the Company’s stock option activity under the 2019 Plan and 2016 Plan since December 31, 2019:</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0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2,023,828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9.31</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8.94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2,730,209</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1,032,506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(118,281)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2020</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2,868,693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425,192</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September 30, 2020</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5"/>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ind w:right="39"/>
              <w:spacing w:after="0"/>
              <w:rPr>
                <w:sz w:val="20"/>
                <w:szCs w:val="20"/>
                <w:color w:val="auto"/>
              </w:rPr>
            </w:pPr>
            <w:r>
              <w:rPr>
                <w:rFonts w:ascii="Arial" w:cs="Arial" w:eastAsia="Arial" w:hAnsi="Arial"/>
                <w:sz w:val="18"/>
                <w:szCs w:val="18"/>
                <w:color w:val="auto"/>
              </w:rPr>
              <w:t>181,578</w:t>
            </w: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733,937</w:t>
            </w: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firstLine="51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weighted average grant date fair value of stock options granted during the three and nine months ended September 30, 2020 was $4.84 per share and $10.41 per share, respectively. The weighted average grant date fair value of stock options granted during the three and nine months ended September 30, 2019 was $10.36 per share and $6.97 per share, respectively. The total intrinsic value of stock options exercised during the three and nine months ended September 30, 2020 was $0.1 million and $1.2 million, respectively. The aggregate intrinsic value of stock options exercised during the three and nine months ended September 30, 2019 was less than $0.1 million and $0.2 million, respectively. The fair value of stock options granted during the three and nine months ended September 30, 2020 and 2019 under the 2019 Plan and the 2016 Plan has been calculated on the date of grant using the following weighted average assumptions: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Nine Months</w:t>
            </w: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Nine Months</w:t>
            </w:r>
          </w:p>
        </w:tc>
        <w:tc>
          <w:tcPr>
            <w:tcW w:w="580" w:type="dxa"/>
            <w:vAlign w:val="bottom"/>
          </w:tcPr>
          <w:p>
            <w:pPr>
              <w:spacing w:after="0"/>
              <w:rPr>
                <w:sz w:val="14"/>
                <w:szCs w:val="14"/>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2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Ended</w:t>
            </w:r>
          </w:p>
        </w:tc>
        <w:tc>
          <w:tcPr>
            <w:tcW w:w="580" w:type="dxa"/>
            <w:vAlign w:val="bottom"/>
          </w:tcPr>
          <w:p>
            <w:pPr>
              <w:spacing w:after="0"/>
              <w:rPr>
                <w:sz w:val="12"/>
                <w:szCs w:val="12"/>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58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580" w:type="dxa"/>
            <w:vAlign w:val="bottom"/>
            <w:gridSpan w:val="2"/>
          </w:tcPr>
          <w:p>
            <w:pPr>
              <w:jc w:val="center"/>
              <w:ind w:left="109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2019</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2580" w:type="dxa"/>
            <w:vAlign w:val="bottom"/>
            <w:gridSpan w:val="2"/>
            <w:shd w:val="clear" w:color="auto" w:fill="CFF0FC"/>
          </w:tcPr>
          <w:p>
            <w:pPr>
              <w:jc w:val="right"/>
              <w:ind w:right="12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81.0%</w:t>
            </w:r>
          </w:p>
        </w:tc>
        <w:tc>
          <w:tcPr>
            <w:tcW w:w="58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580" w:type="dxa"/>
            <w:vAlign w:val="bottom"/>
            <w:gridSpan w:val="2"/>
          </w:tcPr>
          <w:p>
            <w:pPr>
              <w:jc w:val="right"/>
              <w:ind w:right="94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Grants Outside of Stock Incentive Plans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Company’s restricted stock activity outside of the 2019 Plan and 2016 Plan since December 31, 2019:</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4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334,647</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(277,504)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2020</w:t>
            </w:r>
          </w:p>
        </w:tc>
        <w:tc>
          <w:tcPr>
            <w:tcW w:w="14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57,143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aggregate intrinsic value of all restricted stock awards that vested during the three months ended September 30, 2020 and 2019 was $0.7 million and $0.6 million, respectively. The aggregate intrinsic value of all restricted stock awards that vested during the nine months ended September 30, 2020 and 2019 was $8.3 million and $3.0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total compensation cost recognized in the statements of operations associated with all stock-based compensation awards granted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is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r>
      <w:tr>
        <w:trPr>
          <w:trHeight w:val="156"/>
        </w:trPr>
        <w:tc>
          <w:tcPr>
            <w:tcW w:w="5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w w:val="96"/>
              </w:rPr>
              <w:t>2019</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2,723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1,398</w:t>
            </w: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2,950</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1,552</w:t>
            </w: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5,673</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2,950</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As of September 30, 2020, the Company had an aggregate of $16.7 million of unrecognized stock-based compensation expense, which is expected to be recognized over a weighted average period of 2.62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shall be annually increased on January 1, 2020, and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2020, the number of shares reserved for issuance under the 2019 ESPP was increased by 233,355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Acceleron Collaboration Agreement</w:t>
      </w:r>
    </w:p>
    <w:p>
      <w:pPr>
        <w:spacing w:after="0" w:line="225"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60" w:firstLine="510"/>
        <w:spacing w:after="0" w:line="269" w:lineRule="auto"/>
        <w:rPr>
          <w:sz w:val="20"/>
          <w:szCs w:val="20"/>
          <w:color w:val="auto"/>
        </w:rPr>
      </w:pPr>
      <w:r>
        <w:rPr>
          <w:rFonts w:ascii="Arial" w:cs="Arial" w:eastAsia="Arial" w:hAnsi="Arial"/>
          <w:sz w:val="17"/>
          <w:szCs w:val="17"/>
          <w:color w:val="auto"/>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Acceleron Collaboration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8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Company received a non-refundable upfront payment of $10.0 million in December 2019 upon the execution of the Acceleron Collaboration Agreement. The Company will be entitled to research milestone payments of up to $18.5 million in the aggregate upon achievement of specified research milestones, development milestone payments of up to $202.5 million in 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In addition, the Company will be entitled to tiered royalties ranging from a mid single-digit percentage to a low double-digit percentage 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spacing w:after="0" w:line="17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spacing w:after="0" w:line="192"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assessed the Acceleron Collaboration Agreement and concluded that it represents a contract with a customer within the scope of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25"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jc w:val="both"/>
        <w:ind w:right="20" w:firstLine="510"/>
        <w:spacing w:after="0" w:line="311" w:lineRule="auto"/>
        <w:rPr>
          <w:sz w:val="20"/>
          <w:szCs w:val="20"/>
          <w:color w:val="auto"/>
        </w:rPr>
      </w:pPr>
      <w:r>
        <w:rPr>
          <w:rFonts w:ascii="Arial" w:cs="Arial" w:eastAsia="Arial" w:hAnsi="Arial"/>
          <w:sz w:val="16"/>
          <w:szCs w:val="16"/>
          <w:color w:val="auto"/>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spacing w:after="0" w:line="149"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spacing w:after="0" w:line="12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potential medicinal chemistry services were not identified as a promised good or service because the Company is under no obligation to provide those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ind w:right="160" w:firstLine="510"/>
        <w:spacing w:after="0" w:line="289" w:lineRule="auto"/>
        <w:rPr>
          <w:sz w:val="20"/>
          <w:szCs w:val="20"/>
          <w:color w:val="auto"/>
        </w:rPr>
      </w:pPr>
      <w:r>
        <w:rPr>
          <w:rFonts w:ascii="Arial" w:cs="Arial" w:eastAsia="Arial" w:hAnsi="Arial"/>
          <w:sz w:val="16"/>
          <w:szCs w:val="16"/>
          <w:color w:val="auto"/>
        </w:rPr>
        <w:t>The Company received a non-refundable upfront payment of $10.0 million upon the execution of the Acceleron Collaboration Agreement, which the Company included in the transaction price. Based on the uncertainty associated with the achievement of any research and development milestone payments that the Company is eligible to receive, the Company has constrained the variable consideration associated with those milestone payments and excluded them from the transaction price. As part of its evaluation of constraining the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 The Company also included in the transaction price the expected amount of costs to be reimbursed for the Research Services. 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nine months ended September 30, 2020.</w:t>
      </w:r>
    </w:p>
    <w:p>
      <w:pPr>
        <w:spacing w:after="0" w:line="166"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Research Services. Changes in estimates of total internal and external costs expected to be incurred are recognized in the period of change as a cumulative catch-up adjustment.</w:t>
      </w:r>
    </w:p>
    <w:p>
      <w:pPr>
        <w:spacing w:after="0" w:line="178"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During the three and nine months ended September 30, 2020, the Company recognized $1.5 million and $4.3 million, respectively, of collaboration revenue associated with the Acceleron Collaboration Agreement. As of December 31, 2019, no Research Services had been performed. For the three and nine months ended September 30, 2019, the Company did not recognize any revenue under the Acceleron Collaboration Agreement as it had not yet entered into the Acceleron Collaboration Agreement. As of September 30, 2020 and December 31, 2019, the Company recorded deferred revenue of $7.4 million and $10.0 million, respectively, associated with the Acceleron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September 30, 2020 and December 31, 2019, respectively. As of September 30, 2020, the Company had received $1.1 million of cost reimbursement payments, and no milestone or royalty payments under the Acceleron Collaboration Agreement. As of December 31, 2019, the Company had not received any milestone, royalty, or cost reimbursement payments under the Acceleron Collaboration Agreement. As of September 30, 2020, the Company recorded unbilled accounts receivable of $0.6 million related to reimbursable Research Services costs under the Acceleron Collaboration Agreement for activities performed during the three months ended September 30, 2020.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MyoKardia Collaboration Agreement</w:t>
      </w:r>
    </w:p>
    <w:p>
      <w:pPr>
        <w:spacing w:after="0" w:line="22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On July 20, 2020, the Company entered into the MyoKardia Collaboration Agreement with MyoKardia,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76"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66"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7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25"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Company assessed the MyoKardia Collaboration Agreement and concluded that it represents a contract with a customer within the scope of ASC 606.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2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76"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7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Company received a non-refundable upfront payment of $10.0 million, which the Company included in the transaction price. Based on the uncertainty associated with the achievement of any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 The Company also included in the transaction price the expected amount of costs to be reimbursed for the MyoKardia Research Services, which includes the $2.5 million prepaid research funding payment that the Company received in the third quarter of 2020. The Company reassesses the transaction price at the end of each reporting period and as uncertain events are resolved or other changes in circumstances occur, and, if necessary, adjusts its estimate of the transaction price.</w:t>
      </w:r>
    </w:p>
    <w:p>
      <w:pPr>
        <w:spacing w:after="0" w:line="18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2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164"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During the three and nine months ended September 30, 2020, the Company recognized $0.3 million of collaboration revenue associated with the MyoKardia Collaboration Agreement. For the three and nine months ended September 30, 2019, the Company did not recognize any revenue under the MyoKardia Collaboration Agreement as it had not yet entered into the MyoKardia Collaboration Agreement. As of September 30, 2020, the Company recorded deferred revenue of $12.2 million associated with the MyoKardia Collaboration Agreement, which is classified as either current or net of current portion in the accompanying consolidated balance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right="180"/>
        <w:spacing w:after="0" w:line="293" w:lineRule="auto"/>
        <w:rPr>
          <w:sz w:val="20"/>
          <w:szCs w:val="20"/>
          <w:color w:val="auto"/>
        </w:rPr>
      </w:pPr>
      <w:r>
        <w:rPr>
          <w:rFonts w:ascii="Arial" w:cs="Arial" w:eastAsia="Arial" w:hAnsi="Arial"/>
          <w:sz w:val="16"/>
          <w:szCs w:val="16"/>
          <w:color w:val="auto"/>
        </w:rPr>
        <w:t>sheets based on the period over which the revenue is expected to be recognized. As of December 31, 2019, the Company recorded no deferred revenue associated with the MyoKardia Collaboration Agreement as it had not yet entered into the MyoKardia Collaboration Agreement. The aggregate deferred revenue balance represents the aggregate amount of the transaction price allocated to the performance obligations that are unsatisfied as of September 30, 2020. As of September 30, 2020, the Company had not received any milestone, royalty, or cost reimbursement payments under the MyoKardia Collaboration Agreement, other than the $2.5 million payment as prepaid research funding in July 2020. As of September 30, 2020, the Company has recorded no accounts receivable related to reimbursable MyoKardia Research Services costs under the MyoKardia Collaboration Agreement.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Asset Acquisition</w:t>
      </w:r>
    </w:p>
    <w:p>
      <w:pPr>
        <w:spacing w:after="0" w:line="229"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February 2019, the Company entered into the GSK Agreement,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Under the GSK Agreement, the Company issued 12,500,000 shares of Series B Preferred Stock to GSK with an estimated fair value of</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$25.5 million, or $2.04 per share, which was determined with the assistance of a third-party specialist contemporaneously with the issuance of the Series B Preferred Stock to GSK. In addition, the Company may owe GSK up to $37.5 million in certain specified clinical and regulatory milestones, including $2.5 million due upon the initiation of a Phase 2 clinical trial, which was achieved and paid during the third quarter of 2019,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included in the total consideration for the transaction.</w:t>
      </w:r>
    </w:p>
    <w:p>
      <w:pPr>
        <w:spacing w:after="0" w:line="192"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during the first quarter of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November 2017, the Company entered into a lease agreement for its current corporate headquarters for approximately 28,731 square feet of office and laboratory space in Cambridge, Massachusetts. The lease has a total commitment of $25.1 million over the ten year term, and includes escalating rent payments.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September 30, 2020 and December 31, 2019. Rent expense associated with this lease for each of the three months ended September 30, 2020 and 2019 was approximately $0.5 million. Rent expense associated with this lease for each of the nine months ended September 30, 2020 and 2019 was approximately $1.4 million.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160" w:firstLine="510"/>
        <w:spacing w:after="0" w:line="277"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September 30, 2020, are as follows (in thousands):</w:t>
      </w:r>
    </w:p>
    <w:p>
      <w:pPr>
        <w:spacing w:after="0" w:line="212"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2020</w:t>
            </w:r>
            <w:r>
              <w:rPr>
                <w:rFonts w:ascii="Arial" w:cs="Arial" w:eastAsia="Arial" w:hAnsi="Arial"/>
                <w:sz w:val="15"/>
                <w:szCs w:val="15"/>
                <w:color w:val="auto"/>
              </w:rPr>
              <w:t>(1)</w:t>
            </w:r>
          </w:p>
        </w:tc>
        <w:tc>
          <w:tcPr>
            <w:tcW w:w="20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2021</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2023</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2,497</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w:t>
            </w:r>
          </w:p>
        </w:tc>
      </w:tr>
      <w:tr>
        <w:trPr>
          <w:trHeight w:val="229"/>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9,615</w:t>
            </w:r>
          </w:p>
        </w:tc>
      </w:tr>
      <w:tr>
        <w:trPr>
          <w:trHeight w:val="223"/>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6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20,041</w:t>
            </w:r>
          </w:p>
        </w:tc>
      </w:tr>
      <w:tr>
        <w:trPr>
          <w:trHeight w:val="20"/>
        </w:trPr>
        <w:tc>
          <w:tcPr>
            <w:tcW w:w="3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8"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are for the three months ending December 31,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September 30, 2020, the Company has not exercised its rights to license such technologies.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September 30, 2020 or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right="140" w:firstLine="510"/>
        <w:spacing w:after="0" w:line="259"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nine months ended September 30, 2020 and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229"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94"/>
              </w:rPr>
              <w:t>Nine Months Ended</w:t>
            </w:r>
          </w:p>
        </w:tc>
        <w:tc>
          <w:tcPr>
            <w:tcW w:w="170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640" w:type="dxa"/>
            <w:vAlign w:val="bottom"/>
            <w:gridSpan w:val="3"/>
          </w:tcPr>
          <w:p>
            <w:pPr>
              <w:jc w:val="center"/>
              <w:ind w:left="639"/>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w w:val="96"/>
              </w:rPr>
              <w:t>2019</w:t>
            </w:r>
          </w:p>
        </w:tc>
        <w:tc>
          <w:tcPr>
            <w:tcW w:w="170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2,868,693</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1,981,457</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2,868,693</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87"/>
              </w:rPr>
              <w:t>1,981,457</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stock awards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181,213</w:t>
            </w:r>
          </w:p>
        </w:tc>
        <w:tc>
          <w:tcPr>
            <w:tcW w:w="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782,548</w:t>
            </w:r>
          </w:p>
        </w:tc>
        <w:tc>
          <w:tcPr>
            <w:tcW w:w="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181,213</w:t>
            </w: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782,548</w:t>
            </w:r>
          </w:p>
        </w:tc>
        <w:tc>
          <w:tcPr>
            <w:tcW w:w="170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3,049,906</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2,764,005</w:t>
            </w:r>
          </w:p>
        </w:tc>
        <w:tc>
          <w:tcPr>
            <w:tcW w:w="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3,049,906</w:t>
            </w: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87"/>
              </w:rPr>
              <w:t>2,764,005</w:t>
            </w:r>
          </w:p>
        </w:tc>
        <w:tc>
          <w:tcPr>
            <w:tcW w:w="170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15. Related-Party Transactions</w:t>
      </w:r>
    </w:p>
    <w:p>
      <w:pPr>
        <w:spacing w:after="0" w:line="22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During the three and nine months ended September 30, 2019, the Company paid fees to Third Rock Ventures, LLC (“TRV”), an affiliate of one of the Company’s principal stockholders, in exchange for consulting services. The Company recorded expenses related to such fees of less than $0.1 million during the nine months ended September 30, 2019. The Company did not record expenses related to such fees during the three and nine months ended September 30, 2020 or the three months ended September 30, 2019. During the three and nine months ended September 30, 2020, the Company did not pay fees to TRV in exchange for services. As of December 31, 2019, there was less than $0.1 million of amounts due to TRV for such services that were included in accounts payable and accrued expenses. As of September 30, 2020, there were no amounts due to TRV for such services that were included in accounts payable and accrued expenses. Additionally, consultants that provide services to the Company are employees of TRV. The Company has issued an aggregate of 142,284 shares of common stock to these consultants in exchange for their continuing consulting services.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filed with the Securities and Exchange Commission, or SEC, on March 5, 2020.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known as ReDUX4, and a Phase 2 open label clinical trial of losmapimod, our product candidate for FSHD, to evaluate the efficacy and safety of losmapimod in addressing the underlying cause of FSHD. We submitted an investigational new drug application, or IND, for FTX-6058, our product candidate for certain hemoglobinopathies, in the third quarter of 2020, which came into effect in October 2020. We plan to begin dosing subjects in a Phase 1 clinical trial of FTX-6058, to evaluate safety, tolerability and pharmacokinetics of FTX-6058 in healthy volunteers, in the fourth quarter of 2020. FTX-6058 is a novel upregulator of fetal hemoglobin.</w:t>
      </w:r>
    </w:p>
    <w:p>
      <w:pPr>
        <w:spacing w:after="0" w:line="16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ReDUX4 is a randomized, double-blind, placebo-controlled multicenter international Phase 2b clinical trial in 80 subjects with FSHD to investigate the efficacy and safety of oral administration of losmapimod 15 mg twice per day. The primary endpoint is to evaluate the reduction of DUX4-driven gene expression in affected skeletal muscle biopsies. The original design of ReDUX4 included a muscle biopsy at week 16 during the 24-week treatment period followed by an open label extension. Sixteen of the 80 subjects have completed the 24-week treatment period and rolled over to the open label extension portion of the trial.</w:t>
      </w:r>
    </w:p>
    <w:p>
      <w:pPr>
        <w:spacing w:after="0" w:line="188"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As a result of the COVID-19 pandemic, we have extended the ReDUX4 treatment period from 24 to 48 weeks through a protocol amendment to ensure the safety of the subjects and to allow for the opportunity for a biopsy at week 16 as originally intended or at week 36. Approximately 68 subjects who did not complete the original 24-week treatment period remain active in the randomized portion of the trial. The extension from 24 to 48 weeks also allows for a longer assessment in a placebo-controlled design of the skeletal muscle MRI secondary endpoint and the various exploratory clinical endpoints, such as reachable workspace, optimized time up and go test for FSHD, muscle function measures and patient reported outcomes. We expect to present full data from the trial in the second quarter of 2021. We no longer intend to report topline data on the primary endpoint in the first quarter of 2021 because we believe that reporting the full data from the trial, including the primary endpoint, will allow for a more comprehensive assessment of the efficacy and safety of losmapimod for the treatment of FSHD. We believe that the amendment to the trial protocol provides flexibility to address the challenges presented by the COVID-19 pandemic and supports collection of efficacy and safety data to support continued discussions with regulatory agencies regarding potential registration strategies.</w:t>
      </w:r>
    </w:p>
    <w:p>
      <w:pPr>
        <w:spacing w:after="0" w:line="18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August 2020, we announced results from a pre-specified interim analysis of the primary endpoint of the ReDUX4 trial, which is the reduction from baseline of DUX4-driven gene expression in affected skeletal muscle after subjects have been treated with losmapimod or placebo. Secondary and exploratory endpoints were not assessed as part of this analysis. Results from the interim analysis in the first 29 randomized subjects indicate that DUX4-driven gene expression did not show a separation from placebo at 16 weeks. However, in a pre-specified sensitivity analysis, those with the highest pre-treatment DUX4-driven gene expression in their muscle biopsy sample showed a large reduction in DUX4-driven gene expression following treatment with losmapimod compared to placebo. The highest expressing muscle biopsies represent the top quartile of biopsies assessed based on baseline DUX4-driven gene expression.</w:t>
      </w:r>
    </w:p>
    <w:p>
      <w:pPr>
        <w:spacing w:after="0" w:line="19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interim results included an analysis of the first 29 subjects who completed their 16-week biopsy out of the 80 subjects enrolled. Pharmacokinetics, demographics and the primary endpoint were assessed. The interim analysis was not powered for statistical significance and did not include individual patient level data. Subjects were randomized to receive an oral dose of losmapimod 15mg (n=15) or placebo (n=14) twice per day. While results showed a significant reduction in DUX4-driven gene expression in the muscle biopsies of subjects whose baseline biopsy showed the highest levels of DUX4 gene expression (38-fold decrease with losmapimod, n=3, and 5.4 fold-decrease with placebo, n=5), the population level data analysis of the reduction in DUX4-driven gene expression from all 29 subjects did not show a separation of losmapimod from placebo (3.7 fold increase with losmapimod, n=15, and 2.8 fold increase with placebo, n=14). Results indicated that muscle biopsies within the higher range of DUX4-driven gene expression at baseline may be needed to observe a reduction.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right="60" w:firstLine="510"/>
        <w:spacing w:after="0" w:line="287" w:lineRule="auto"/>
        <w:rPr>
          <w:sz w:val="20"/>
          <w:szCs w:val="20"/>
          <w:color w:val="auto"/>
        </w:rPr>
      </w:pPr>
      <w:r>
        <w:rPr>
          <w:rFonts w:ascii="Arial" w:cs="Arial" w:eastAsia="Arial" w:hAnsi="Arial"/>
          <w:sz w:val="16"/>
          <w:szCs w:val="16"/>
          <w:color w:val="auto"/>
        </w:rPr>
        <w:t>In June 2020, we announced plans to evaluate losmapimod as a potential treatment for patients with COVID-19. On June 24, 2020, we announced that we received notification from the U.S. Food and Drug Administration, or FDA, that we may proceed with initiating a Phase 3, randomized, double-blind, placebo-controlled trial of losmapimod in higher risk hospitalized adults with COVID-19, or the LOSVID trial. The LOSVID trial is a Phase 3, international, multicenter trial designed to assess the safety and efficacy of a 15 mg twice per day oral dose of losmapimod compared to placebo for 14 days on top of standard of care in approximately 400 patients hospitalized with COVID-19 and at risk of progression to critical illness based on older age and elevated systemic inflammation. We began enrolling patients in the fourth quarter of 2020. The primary endpoint of the trial is the proportion of patients who progress to death or respiratory failure by day 28. The trial’s secondary endpoints include clinical status on days seven and 14 as measured on the nine point World Health Organization ordinal scale of COVID-19 severity, total number of study days free of oxygen supplementation, all-cause mortality, length of hospitalization and intensive care unit stay, adverse events and viral clearance. We intend to conduct an interim analysis for futility and sample size re-estimation using an independent data monitoring committee when approximately 50 percent of subjects complete the 28-day visit. We expect to provide an update regarding the timing of the LOSVID trial during the first quarter of 2021.</w:t>
      </w:r>
    </w:p>
    <w:p>
      <w:pPr>
        <w:spacing w:after="0" w:line="17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October 2020, we announced that our IND came into effect for our Phase 1 clinical trial of FTX-6058 in healthy adult volunteers. In this trial, we are evaluating the safety, tolerability and pharmacokinetics of FTX-6058. The trial is comprised of four parts. Part A will be a randomized, double-blind, placebo-controlled, single ascending dose (SAD) study in up to six cohorts. Part B will be a randomized, double-blind, placebo-controlled, multiple ascending dose (MAD) study in up to four cohorts dosed once daily for 14 days. Part C will be an open label pilot food effect study in subjects randomized to take FTX-6058 with and without a high-fat meal, and Part D will be an open label study to evaluate the potential of FTX-6058 to induce a liver enzyme known as CYP3A, which is involved in drug metabolism (using midazolam).</w:t>
      </w:r>
    </w:p>
    <w:p>
      <w:pPr>
        <w:spacing w:after="0" w:line="19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primarily funded our operations through the issuance of common stock in a private placement and in our initial public offering, or IPO, the issuance of convertible preferred stock and convertible notes, and upfront payments received under our collaboration and license agreements.</w:t>
      </w:r>
    </w:p>
    <w:p>
      <w:pPr>
        <w:spacing w:after="0" w:line="161"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$19.0 million and $53.1 million for the three and nine months ended September 30, 2020, respectively, and $16.5 million and $66.6 million for the three and nine months ended September 30, 2019, respectively. As of September 30, 2020, we had an accumulated deficit of $203.9 million. We expect our expenses and operating losses will increase substantially over the next several years in connection with our ongoing activities, as we:</w:t>
      </w:r>
    </w:p>
    <w:p>
      <w:pPr>
        <w:spacing w:after="0" w:line="70" w:lineRule="exact"/>
        <w:rPr>
          <w:sz w:val="20"/>
          <w:szCs w:val="20"/>
          <w:color w:val="auto"/>
        </w:rPr>
      </w:pPr>
    </w:p>
    <w:p>
      <w:pPr>
        <w:ind w:left="880" w:right="2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2b and Phase 2 open label clinical trials for the treatment of FSHD, and our ongoing Phase 3 clinical trial for the treatment of COVID-19;</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clinical development of FTX-6058, including our ongoing Phase 1 clinical trial in healthy volunteers;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300" w:hanging="373"/>
        <w:spacing w:after="0" w:line="308"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20" w:firstLine="510"/>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As of September 30, 2020, we had $127.0 million in cash, cash equivalents, and marketable securities. We believe that our existing cash, cash equivalents, and marketable securities as of September 30, 2020 will enable us to fund our operating expenses and capital expenditure requirements into the second quarter of 2022. We have based this estimate on assumptions that may prove to be wrong, and we could exhaust our available capital resources sooner than we expect. See “—Liquidity and Capital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60" w:firstLine="510"/>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December 2019, we entered into a collaboration and license agreement, or the Acceleron Collaboration Agreement, with Acceleron Pharma Inc., or Acceleron, to identify biological targets to modulate specific pathways associated with a targeted indication within the pulmonary disease space. Under the Acceleron Collaboration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The primary goal of the collaboration is to identify and validate potential biological targets for further research in order to support the development, manufacture and commercialization of product candidates by Acceleron for the targeted indication by leveraging our proprietary product engine.</w:t>
      </w:r>
    </w:p>
    <w:p>
      <w:pPr>
        <w:spacing w:after="0" w:line="19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Under the terms of the Acceleron Collaboration Agreement, we received a $10.0 million upfront payment from Acceleron in December 2019. We are also eligible to receive up to $438.5 million in the aggregate in milestone payments with respect to certain research, developmental, clinical, regulatory and sales-related milestones, and tiered royalty payments based on Acceleron’s (and any of its affiliates’ and sublicensees’) annual worldwide net sales of products directed to any identified targets.</w:t>
      </w:r>
    </w:p>
    <w:p>
      <w:pPr>
        <w:spacing w:after="0" w:line="187" w:lineRule="exact"/>
        <w:rPr>
          <w:sz w:val="20"/>
          <w:szCs w:val="20"/>
          <w:color w:val="auto"/>
        </w:rPr>
      </w:pPr>
    </w:p>
    <w:p>
      <w:pPr>
        <w:ind w:right="60" w:firstLine="510"/>
        <w:spacing w:after="0" w:line="295" w:lineRule="auto"/>
        <w:rPr>
          <w:sz w:val="20"/>
          <w:szCs w:val="20"/>
          <w:color w:val="auto"/>
        </w:rPr>
      </w:pPr>
      <w:r>
        <w:rPr>
          <w:rFonts w:ascii="Arial" w:cs="Arial" w:eastAsia="Arial" w:hAnsi="Arial"/>
          <w:sz w:val="16"/>
          <w:szCs w:val="16"/>
          <w:color w:val="auto"/>
        </w:rPr>
        <w:t>For the three and nine months ended September 30, 2020, we recognized $1.5 million and $4.3 million, respectively, of collaboration revenue under the Acceleron Collaboration Agreement. For the three and nine months ended September 30, 2019, we did not recognize any collaboration revenue as we had not yet entered into the Acceleron Collaboration Agreement. As of September 30, 2020 and December 31, 2019, we have recorded $7.4 million and $10.0 million, respectively, of deferred revenue associated with the Acceleron Collaboration Agreement, which is classified as either current or net of current portion in our consolidated balance sheets based on the period over which the revenue is expected to be recognized. As of September 30, 2020, we had received $1.1 million of cost reimbursement payments and no milestone or royalty payments under the Acceleron Collaboration Agreement. As of September 30, 2020, we recorded unbilled accounts receivable of $0.6 million related to reimbursable research and development costs under the Acceleron Collaboration Agreement for activities performed during the three months ended September 30, 2020.</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firstLine="510"/>
        <w:spacing w:after="0" w:line="257" w:lineRule="auto"/>
        <w:rPr>
          <w:sz w:val="20"/>
          <w:szCs w:val="20"/>
          <w:color w:val="auto"/>
        </w:rPr>
      </w:pPr>
      <w:r>
        <w:rPr>
          <w:rFonts w:ascii="Arial" w:cs="Arial" w:eastAsia="Arial" w:hAnsi="Arial"/>
          <w:sz w:val="18"/>
          <w:szCs w:val="18"/>
          <w:color w:val="auto"/>
        </w:rPr>
        <w:t>In the future, we will recognize additional revenue associated with the $10.0 million upfront payment as we satisfy our performance obligation, and from reimbursement of costs incurred under the Acceleron Collaboration Agreement, and we may generate additional revenue from milestones and royalty payments under the Acceleron Collaboration Agreement. We expect that our revenue will fluctuate from quarter-to-quarter and year-to-year based upon our pattern of performance under the Acceleron Collaboration Agreement and as a result of the timing, amount, and achievement of milestones and reimbursement of costs incurred under the Acceleron Collaboration Agreement.</w:t>
      </w:r>
    </w:p>
    <w:p>
      <w:pPr>
        <w:spacing w:after="0" w:line="188"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On July 20, 2020, we entered into a collaboration and license agreement, or the MyoKardia Collaboration Agreement, with MyoKardia, Inc., or MyoKardia,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6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right="120" w:firstLine="510"/>
        <w:spacing w:after="0" w:line="274" w:lineRule="auto"/>
        <w:rPr>
          <w:sz w:val="20"/>
          <w:szCs w:val="20"/>
          <w:color w:val="auto"/>
        </w:rPr>
      </w:pPr>
      <w:r>
        <w:rPr>
          <w:rFonts w:ascii="Arial" w:cs="Arial" w:eastAsia="Arial" w:hAnsi="Arial"/>
          <w:sz w:val="17"/>
          <w:szCs w:val="17"/>
          <w:color w:val="auto"/>
        </w:rPr>
        <w:t>For each of the three and nine months ended September 30, 2020, we recognized $0.3 million of collaboration revenue under the MyoKardia Collaboration Agreement. For the three and nine months ended September 30, 2019, we did not recognize any collaboration revenue as we had not yet entered into the MyoKardia Collaboration Agreement. As of September 30, 2020, we have recorded $12.2 million of deferred revenue associated with the MyoKardia Collaboration Agreement, which is classified as either current or net of current portion in our consolidated balance sheets based on the period over which the revenue is expected to be recognized. We recorded no deferred revenue associated with the MyoKardia Collaboration Agreement as of December 31, 2019 as we had not yet entered into the MyoKardia Collaboration Agreement. As of September 30, 2020, we had received no cost reimbursement payments and no milestone or royalty payments under the MyoKardia Collaboration Agreement, other than the $2.5 million payment as prepaid research funding in July 2020. As of September 30, 2020, we recorded no accounts receivable related to reimbursable research and development costs under the MyoKardia Collaboration Agreement.</w:t>
      </w:r>
    </w:p>
    <w:p>
      <w:pPr>
        <w:spacing w:after="0" w:line="179"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In the future, we will recognize additional revenue associated with the $10.0 million upfront payment, and from reimbursement of costs incurred under the MyoKardia Collaboration Agreement, including the $2.5 million prepaid research funding payment, and we may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7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880" w:right="76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contract manufacturing organizations, and consultants;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in-process research and development, or IPR&amp;D, expenses, which relate to IPR&amp;D acquired as part of an asset acquisition for which there is no alternative future use;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three and nine months ended September 30, 2020 and 2019. Pre-development candidate expenses, unallocated expenses and internal research and development expenses are classified separately. Losmapimod external expenses include IPR&amp;D expenses. We nominated FTX-6058 as a development candidate in the third quarter of 2019.</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Losmapimod external expenses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7,217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5,492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16,983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36,367</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FTX-6058 external expenses</w:t>
            </w:r>
          </w:p>
        </w:tc>
        <w:tc>
          <w:tcPr>
            <w:tcW w:w="22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3,413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10,303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12,113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11,891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15,640</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13,496</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42,897</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58,985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 including in light of COVID-19;</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establish and operate a manufacturing facility, or secure manufacturing supply through relationships with third parties;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both FSHD and COVID-19, and FTX-6058,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consists primarily of interest income related to our investments in cash equivalents and marketable securities.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summarizes our results of operations for the three months ended September 30, 2020 and 2019, along with the changes in those items in dollars: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15,640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13,496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5,312</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20,952</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17,006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Collaboration revenue was $1.8 million for the three months ended September 30, 2020. We did not record any collaboration revenue during the three months ended September 30, 2019. We recognize revenue under each of the Acceleron Collaboration Agreement and MyoKardia Collaboration Agreement based on our pattern of performance related to the respective identified performance obligation, which is the period over which we will perform research services under each of the Acceleron Collaboration Agreement and MyoKardia Collaboration Agreement. For the three months ended September 30, 2020, we recognized $1.5 million of collaboration revenue under the Acceleron Collaboration Agreement. For the three months ended September 30, 2019, we did not recognize any collaboration revenue as we had not yet entered into the Acceleron Collaboration Agreement. For the three months ended September 30, 2020, we recognized $0.3 million of collaboration revenue under the MyoKardia Collaboration Agreement. For the three months ended September 30, 2019, we did not recognize any collaboration revenue as we had not yet entered into the MyoKardia Collaboration Agreement.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Research and development expense increased by $2.1 million from $13.5 million for the three months ended September 30, 2019 to $15.6 million for the three months ended September 30, 2020. The increase in research and development expense was primarily attributable to the following:</w:t>
      </w:r>
    </w:p>
    <w:p>
      <w:pPr>
        <w:spacing w:after="0" w:line="16" w:lineRule="exact"/>
        <w:rPr>
          <w:sz w:val="20"/>
          <w:szCs w:val="20"/>
          <w:color w:val="auto"/>
        </w:rPr>
      </w:pPr>
    </w:p>
    <w:p>
      <w:pPr>
        <w:ind w:left="880" w:right="56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$2.2 million in increased manufacturing costs associated with the production of losmapimod and FTX-6058 to support our ongoing and planned clinical trials;</w:t>
      </w:r>
    </w:p>
    <w:p>
      <w:pPr>
        <w:spacing w:after="0" w:line="62" w:lineRule="exact"/>
        <w:rPr>
          <w:rFonts w:ascii="Arial" w:cs="Arial" w:eastAsia="Arial" w:hAnsi="Arial"/>
          <w:sz w:val="18"/>
          <w:szCs w:val="18"/>
          <w:color w:val="auto"/>
        </w:rPr>
      </w:pPr>
    </w:p>
    <w:p>
      <w:pPr>
        <w:ind w:left="880" w:right="300" w:hanging="373"/>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 million in increased costs for external clinical activities as we continued our ongoing Phase 2b and Phase 2 open label clinical trials of losmapimod for the treatment of FSHD and Phase 3 clinical trial of losmapimod for the treatment of COVID-19, and as we prepared to advance FTX-6058 into a Phase 1 clinical trial;</w:t>
      </w:r>
    </w:p>
    <w:p>
      <w:pPr>
        <w:spacing w:after="0" w:line="75"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$0.5 million in increased personnel-related costs due to increased headcount, including $0.2 million of increased stock-based compensation expense; and</w:t>
      </w:r>
    </w:p>
    <w:p>
      <w:pPr>
        <w:spacing w:after="0" w:line="62" w:lineRule="exact"/>
        <w:rPr>
          <w:rFonts w:ascii="Arial" w:cs="Arial" w:eastAsia="Arial" w:hAnsi="Arial"/>
          <w:sz w:val="18"/>
          <w:szCs w:val="18"/>
          <w:color w:val="auto"/>
        </w:rPr>
      </w:pPr>
    </w:p>
    <w:p>
      <w:pPr>
        <w:jc w:val="both"/>
        <w:ind w:left="880" w:right="320" w:hanging="373"/>
        <w:spacing w:after="0" w:line="342"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$2.5 million in decreased costs associated with the achievement of a milestone due under the right of reference and license agreement with GSK upon the initiation of a Phase 2 clinical trial of losmapimod, which was achieved during the three months ended September 30, 2019.</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General and administrative expenses increased by $1.8 million from $3.5 million for the three months ended September 30, 2019 to $5.3 million for the three months ended September 30, 2020. The increase in general and administrative expenses was primarily attributable to the following:</w:t>
      </w:r>
    </w:p>
    <w:p>
      <w:pPr>
        <w:spacing w:after="0" w:line="16" w:lineRule="exact"/>
        <w:rPr>
          <w:sz w:val="20"/>
          <w:szCs w:val="20"/>
          <w:color w:val="auto"/>
        </w:rPr>
      </w:pPr>
    </w:p>
    <w:p>
      <w:pPr>
        <w:ind w:left="880" w:right="2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 million in increased consulting and professional fees, including for legal services, insurance premiums, recruiting, accounting, and tax; and</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$0.7 million in increased personnel-related costs, primarily due to increased general and administrative headcount to support the growth of our research and development organization, including $0.4 million of increased stock-based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Other income, net decreased by $0.4 million from $0.5 million for the three months ended September 30, 2019 to $0.1 million for the three months ended September 30, 2020. The decrease in other income, net was primarily attributable to a decrease in investment income on our cash, cash equivalents, and marketable securities as a result of an overall decreased rate of return.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22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summarizes our results of operations for the nine months ended September 30, 2020 and 2019, along with the changes in those items in dollars: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(16,088)</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58,422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(53,824)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(67,727)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(53,099)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(66,554)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Collaboration revenue was $4.6 million for the nine months ended September 30, 2020. We did not record any collaboration revenue during the nine months ended September 30, 2019. We recognize revenue under each of the Acceleron Collaboration Agreement and MyoKardia Collaboration Agreement based on our pattern of performance related to the respective identified performance obligation, which is the period over which we will perform research services under each of the Acceleron Collaboration Agreement and MyoKardia Collaboration Agreement. For the nine months ended September 30, 2020, we recognized $4.3 million of collaboration revenue under the Acceleron Collaboration Agreement. For the nine months ended September 30, 2019, we did not recognize any collaboration revenue as we had not yet entered into the Acceleron Collaboration Agreement. For the nine months ended September 30, 2020, we recognized $0.3 million of collaboration revenue under the MyoKardia Collaboration Agreement. For the nine months ended September 30, 2019, we did not recognize any collaboration revenue as we had not yet entered into the MyoKardia Collaboration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Research and development expense decreased by $16.1 million from $59.0 million for the nine months ended September 30, 2019 to $42.9 million for the nine months ended September 30, 2020. The decrease in research and development expense was primarily attributable to a $25.6 million decrease in IPR&amp;D expenses associated with the recognition of the fair value attributable to the right of reference and license agreement with GSK during the nine months ended September 30, 2019 as well as a $2.5 million decrease in milestone expense associated with the milestone payable to GSK upon the initiation of a Phase 2 clinical trial of losmapimod during the nine months ended September 30, 2019, partially offset by increases in research and development expenses as a result of the following:</w:t>
      </w:r>
    </w:p>
    <w:p>
      <w:pPr>
        <w:spacing w:after="0" w:line="84" w:lineRule="exact"/>
        <w:rPr>
          <w:sz w:val="20"/>
          <w:szCs w:val="20"/>
          <w:color w:val="auto"/>
        </w:rPr>
      </w:pPr>
    </w:p>
    <w:p>
      <w:pPr>
        <w:ind w:left="880" w:right="60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$4.7 million in increased manufacturing costs associated with the production of losmapimod and FTX-6058 to support our ongoing and planned clinical trials;</w:t>
      </w:r>
    </w:p>
    <w:p>
      <w:pPr>
        <w:spacing w:after="0" w:line="62" w:lineRule="exact"/>
        <w:rPr>
          <w:rFonts w:ascii="Arial" w:cs="Arial" w:eastAsia="Arial" w:hAnsi="Arial"/>
          <w:sz w:val="18"/>
          <w:szCs w:val="18"/>
          <w:color w:val="auto"/>
        </w:rPr>
      </w:pPr>
    </w:p>
    <w:p>
      <w:pPr>
        <w:ind w:left="880" w:right="340" w:hanging="373"/>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$3.8 million in increased costs for external clinical activities as we continued our ongoing Phase 2b and Phase 2 open label clinical trials of losmapimod for the treatment of FSHD and Phase 3 clinical trial of losmapimod for the treatment of COVID-19, and as we prepared to advance FTX-6058 into a Phase 1 clinical trial;</w:t>
      </w:r>
    </w:p>
    <w:p>
      <w:pPr>
        <w:spacing w:after="0" w:line="75"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 million in increased personnel-related costs due to increased headcount, including $1.3 million of increased stock-based compensation expense;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$0.8 million in increased costs for IND-enabling studies for FTX-6058.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General and administrative expenses increased by $6.8 million from $8.7 million for the nine months ended September 30, 2019 to $15.5 million for the nine months ended September 30, 2020. The increase in general and administrative expenses was primarily attributable to the following:</w:t>
      </w:r>
    </w:p>
    <w:p>
      <w:pPr>
        <w:spacing w:after="0" w:line="16" w:lineRule="exact"/>
        <w:rPr>
          <w:sz w:val="20"/>
          <w:szCs w:val="20"/>
          <w:color w:val="auto"/>
        </w:rPr>
      </w:pPr>
    </w:p>
    <w:p>
      <w:pPr>
        <w:ind w:left="880" w:right="2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$3.6 million in increased consulting and professional fees, including for legal services, insurance premiums, recruiting, accounting, and tax; and</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$3.0 million in increased personnel-related costs, primarily due to increased general and administrative headcount to support the growth of our research and development organization, including $1.4 million of increased stock-based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Other income, net decreased by $0.4 million from $1.2 million for the nine months ended September 30, 2019 to $0.7 million for the nine months ended September 30, 2020. The decrease in other income, net was primarily attributable to a decrease in investment income on our cash, cash equivalents, and marketable securities as a result of an overall decreased rate of return.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Through September 30, 2020, we have primarily funded our operations with aggregate gross proceeds of $300.5 million from the issuance of common stock in a private placement and in our IPO, the issuance of convertible preferred stock and convertible notes, an upfront payment received under the Acceleron Collaboration Agreement, and an upfront payment received under the MyoKardia Collaboration Agreement. As of September 30, 2020, we had cash, cash equivalents, and marketable securities of $127.0 million. On July 22, 2019, we completed an IPO of our common stock and issued and sold 4,500,000 shares of common stock at a public offering price of $16.00 per share, resulting in net proceeds of $63.9 million after deducting underwriting discounts and commissions and offering expenses. On June 9, 2020, we issued and sold 4,029,411 shares of common stock in a private placement at a price of $17.00 per share, resulting in gross proceeds of $68.5 million, before deducting offering costs of $4.2 million. In December 2019, we received a $10.0 million upfront payment upon execution of the Acceleron Collaboration Agreement. In July 2020, we received a $10.0 million upfront payment and a $2.5 million payment as prepaid research funding under the MyoKardia Collaboration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right="220" w:firstLine="510"/>
        <w:spacing w:after="0" w:line="272" w:lineRule="auto"/>
        <w:rPr>
          <w:sz w:val="20"/>
          <w:szCs w:val="20"/>
          <w:color w:val="auto"/>
        </w:rPr>
      </w:pPr>
      <w:r>
        <w:rPr>
          <w:rFonts w:ascii="Arial" w:cs="Arial" w:eastAsia="Arial" w:hAnsi="Arial"/>
          <w:sz w:val="17"/>
          <w:szCs w:val="17"/>
          <w:color w:val="auto"/>
        </w:rPr>
        <w:t>On August 11, 2020, we filed a shelf registration statement on Form S-3 with the SEC, which was declared effective on August 17, 2020, or the Shelf Registration Statement. Under the Shelf Registration Statement, we may offer and sell up to $250.0 million of a variety of securities including common stock, preferred stock, warrants, depositary shares, debt securities or units during the three-year period the commenced upon the Shelf Registration Statement becoming effective. In connection with the filing of the Shelf Registration Statement, we entered into an Equity Distribution Agreement with Piper Sandler &amp; Co., or Piper Sandler, as sales agent, pursuant to which we may offer and sell shares of our common stock with an aggregate offering price of up to $75.0 million under an “at-the-market” offering program, or the ATM Offering. To date, we have not sold any securities under the Shelf Registration Statement or shares under the ATM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nine months ended September 30, 2020 and 2019:</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(34,988)</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64,877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64,624</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w w:val="95"/>
              </w:rPr>
              <w:t>Net (decrease) increase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28,800</w:t>
            </w: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Net cash used in operating activities was $33.8 million during the nine months ended September 30, 2020 compared to net cash used in operating activities of $35.0 million during the nine months ended September 30, 2019. The decrease in net cash used in operating activities of $1.2 million was primarily due to the receipt of a $10.0 million upfront payment and a $2.5 million payment as prepaid research funding associated with the MyoKardia Collaboration Agreement during the nine months ended September 30, 2020, partially offset by increased personnel-related costs, increased research and development costs as we continue to advance our lead programs, and increased general and administrative costs associated with operating as a public company.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Net cash used in investing activities was $42.5 million during the nine months ended September 30, 2020 compared to net cash used in investing activities of $0.8 million during the nine months ended September 30, 2019. The increase in net cash used in investing activities of $41.7 million was primarily due to net purchases of marketable securities during the nine months ended September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Net cash provided by financing activities was $64.9 million during the nine months ended September 30, 2020 compared to net cash provided by financing activities of $64.6 million during the nine months ended September 30, 2019. Net cash provided by financing activities during the nine months ended September 30, 2020 primarily consisted of net proceeds of approximately $64.2 million from the completion of the private placement of the Company’s common stock in June 2020. Net cash provided by financing activities during the nine months ended September 30, 2019 primarily consisted of net proceeds of approximately $64.4 million from the completion of our IPO in July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associated with operating as a public company. As a result, we expect to incur substantial operating losses and negative operating cash flows for the foreseeable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jc w:val="both"/>
        <w:ind w:right="240" w:firstLine="510"/>
        <w:spacing w:after="0" w:line="286" w:lineRule="auto"/>
        <w:rPr>
          <w:sz w:val="20"/>
          <w:szCs w:val="20"/>
          <w:color w:val="auto"/>
        </w:rPr>
      </w:pPr>
      <w:r>
        <w:rPr>
          <w:rFonts w:ascii="Arial" w:cs="Arial" w:eastAsia="Arial" w:hAnsi="Arial"/>
          <w:sz w:val="17"/>
          <w:szCs w:val="17"/>
          <w:color w:val="auto"/>
        </w:rPr>
        <w:t>Based on our current operating plan, we believe that our existing cash, cash equivalents, and marketable securities as of September 30, 2020, will enable us to fund our operating expenses and capital expenditure requirements into the second quarter of 2022. However, we have based this estimate on assumptions that may prove to be wrong and we could exhaust our capital resources sooner than we expect.</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880" w:right="340" w:hanging="373"/>
        <w:spacing w:after="0" w:line="342"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progress, costs and results of our ongoing Phase 2b and Phase 2 open label clinical trials of losmapimod for the treatment of FSHD, our ongoing Phase 3 clinical trial of losmapimod for the treatment of COVID-19, and our ongoing Phase 1 clinical trial of FTX-6058;</w:t>
      </w:r>
    </w:p>
    <w:p>
      <w:pPr>
        <w:spacing w:after="0" w:line="15" w:lineRule="exact"/>
        <w:rPr>
          <w:rFonts w:ascii="Arial" w:cs="Arial" w:eastAsia="Arial" w:hAnsi="Arial"/>
          <w:sz w:val="16"/>
          <w:szCs w:val="16"/>
          <w:color w:val="auto"/>
        </w:rPr>
      </w:pPr>
    </w:p>
    <w:p>
      <w:pPr>
        <w:ind w:left="880" w:right="54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17" w:lineRule="exact"/>
        <w:rPr>
          <w:rFonts w:ascii="Arial" w:cs="Arial" w:eastAsia="Arial" w:hAnsi="Arial"/>
          <w:sz w:val="18"/>
          <w:szCs w:val="18"/>
          <w:color w:val="auto"/>
        </w:rPr>
      </w:pPr>
    </w:p>
    <w:p>
      <w:pPr>
        <w:ind w:left="880" w:right="66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880" w:right="84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During the three and nine months ended September 30, 2020, there have been no material changes to our contractual obligations and commitments outside the ordinary course of business from those described under the heading “Management’s Discussion and Analysis of Financial Condition and Results of Operations – Contractual Obligations” in our Annual Report on Form 10-K filed with the SEC on March 5,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September 30, 2020, there were no material changes to our critical accounting policies from those described in our Annual Report on Form 10-K filed with the SEC on March 5,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As of September 30, 2020, we had cash, cash equivalents, and marketable securities of $127.0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ind w:firstLine="510"/>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September 30, 2020, we had minimal or no liabilities denominated in foreign currencies.</w:t>
      </w:r>
    </w:p>
    <w:p>
      <w:pPr>
        <w:spacing w:after="0" w:line="18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had a material effect on our business, financial condition or results of operations during the three and nine months ended September 30, 2020 and 2019.</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Operating Officer (our principal executive officer and principal financial officer, respectively), evaluated the effectiveness of our disclosure controls and procedures as of September 30,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2020, our Chief Executive Officer and Chief Operating Officer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70"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Since inception, we have incurred significant operating losses. Our net loss was $82.7 million for the year ended December 31, 2019 and $53.1 million for the nine months ended September 30, 2020. As of September 30, 2020, we had an accumulated deficit of $203.9 million. To date, we have primarily funded our operations through the issuance of common stock in a private placement and in our initial public offering, or IPO, the issuance of convertible preferred stock and convertible notes, an upfront payment received under the collaboration and license agreement with Acceleron Pharma Inc., or Acceleron, and an upfront payment received under the collaboration and license agreement, or the MyoKardia Collaboration Agreement, with MyoKardia, Inc., or MyoKardia.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58" w:lineRule="exact"/>
        <w:rPr>
          <w:sz w:val="20"/>
          <w:szCs w:val="20"/>
          <w:color w:val="auto"/>
        </w:rPr>
      </w:pPr>
    </w:p>
    <w:p>
      <w:pPr>
        <w:ind w:left="880" w:right="280" w:hanging="373"/>
        <w:spacing w:after="0" w:line="308"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continue our clinical development of losmapimod, including our ongoing Phase 2b and Phase 2 open label clinical trials for the treatment of facioscapulohumeral muscular dystrophy, or FSHD, and our ongoing Phase 3 clinical trial for the treatment of COVID-19;</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clinical development of FTX-6058, including our ongoing Phase 1 clinical trial in healthy volunteers;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300" w:hanging="373"/>
        <w:spacing w:after="0" w:line="308"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right="160" w:firstLine="510"/>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8" w:lineRule="exact"/>
        <w:rPr>
          <w:sz w:val="20"/>
          <w:szCs w:val="20"/>
          <w:color w:val="auto"/>
        </w:rPr>
      </w:pPr>
    </w:p>
    <w:p>
      <w:pPr>
        <w:ind w:left="880" w:right="36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23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7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expect to devote substantial financial resources to our ongoing and planned activities, particularly as we continue our Phase 2b and Phase 2 open label clinical trials of losmapimod for the treatment of FSHD, continue our recently initiated Phase 3 clinical trial of losmapimod for the treatment of COVID-19, and continue our recently initiated Phase 1 clinical trial of FTX-6058, and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880" w:right="320" w:hanging="373"/>
        <w:spacing w:after="0" w:line="342"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progress, costs and results of our ongoing Phase 2b and Phase 2 open label clinical trials of losmapimod for the treatment of FSHD, our ongoing Phase 3 clinical trial of losmapimod for the treatment of COVID-19, and our ongoing Phase 1 clinical trial of FTX-6058;</w:t>
      </w:r>
    </w:p>
    <w:p>
      <w:pPr>
        <w:spacing w:after="0" w:line="15" w:lineRule="exact"/>
        <w:rPr>
          <w:rFonts w:ascii="Arial" w:cs="Arial" w:eastAsia="Arial" w:hAnsi="Arial"/>
          <w:sz w:val="16"/>
          <w:szCs w:val="16"/>
          <w:color w:val="auto"/>
        </w:rPr>
      </w:pPr>
    </w:p>
    <w:p>
      <w:pPr>
        <w:ind w:left="880" w:right="52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17" w:lineRule="exact"/>
        <w:rPr>
          <w:rFonts w:ascii="Arial" w:cs="Arial" w:eastAsia="Arial" w:hAnsi="Arial"/>
          <w:sz w:val="18"/>
          <w:szCs w:val="18"/>
          <w:color w:val="auto"/>
        </w:rPr>
      </w:pPr>
    </w:p>
    <w:p>
      <w:pPr>
        <w:ind w:left="880" w:right="6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left="880" w:hanging="373"/>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880" w:right="84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As of September 30, 2020, we had cash, cash equivalents, and marketable securities of approximately $127.0 million. We believe that our cash, cash equivalents, and marketable securities as of September 30, 2020 will enable us to fund our operating expenses and capital expenditure requirements into the second quarter of 2022.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5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stockholders to evaluate the success of our business to date and to assess our future viability.</w:t>
      </w:r>
    </w:p>
    <w:p>
      <w:pPr>
        <w:spacing w:after="0" w:line="26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commenced activities in 2015 and are an early-stage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undertaking preclinical studies and conducting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7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jc w:val="both"/>
        <w:ind w:firstLine="510"/>
        <w:spacing w:after="0" w:line="263"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9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b w:val="1"/>
          <w:bCs w:val="1"/>
          <w:i w:val="1"/>
          <w:iCs w:val="1"/>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65" w:lineRule="exact"/>
        <w:rPr>
          <w:sz w:val="20"/>
          <w:szCs w:val="20"/>
          <w:color w:val="auto"/>
        </w:rPr>
      </w:pPr>
    </w:p>
    <w:p>
      <w:pPr>
        <w:ind w:right="240" w:firstLine="510"/>
        <w:spacing w:after="0" w:line="296" w:lineRule="auto"/>
        <w:rPr>
          <w:sz w:val="20"/>
          <w:szCs w:val="20"/>
          <w:color w:val="auto"/>
        </w:rPr>
      </w:pPr>
      <w:r>
        <w:rPr>
          <w:rFonts w:ascii="Arial" w:cs="Arial" w:eastAsia="Arial" w:hAnsi="Arial"/>
          <w:sz w:val="16"/>
          <w:szCs w:val="16"/>
          <w:color w:val="auto"/>
        </w:rPr>
        <w:t>The ongoing COVID-19 pandemic has caused many governments to implement measures to slow the spread of the outbreak through quarantines, travel restrictions, heightened border scrutiny,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6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and our contract manufacturing organizations, or CMOs, and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and API used in the manufacturing of our product candidates, and laboratory supplies for our current and future preclinical studies and clinical trials, in each case, for which there may be shortages because of ongoing efforts to address the outbreak. We and our CMOs and CROs, may face disruptions related to our planned and ongoing clinical trials or future clinical trials arising from delays in IND-enabling studies, manufacturing disruptions, and the ability to obtain necessary institutional review board or other necessary site approvals, as well as enrollment and other delays at clinical trial sites. For example, in the wake of COVID-19, the clinical trial sites for our Phase 2b clinical trial temporarily postponed trial-related activities, impacting our clinical trial execution plans. We may also face difficulties recruiting or retaining patients for our planned and ongoing clinical trials if patients are affected by the virus or are fearful of visiting or traveling to clinical trial sites because of the outbreak. The response to the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w:t>
      </w:r>
    </w:p>
    <w:p>
      <w:pPr>
        <w:spacing w:after="0" w:line="179"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Additionally, the impact of the COVID-19 outbreak in Massachusetts resulted in a temporary reduction in workforce presence at our Cambridge research facility. While we increased workforce presence at our facilities starting in the second quarter of 2020, not all employees have returned to our facility and we cannot be certain that we will not be required to close our facilities in the future as a result of the COVID-19 outbreak. A closure of our facility may substantially impact our discovery and translational activities and may delay the experimentation needed to identify novel drug targets, prosecute such targets, identify development candidates for such targets and identify biomarkers that inform the potential clinical development paths for such targets. Moreover, discovery and implementation of clinical biomarker assays for ongoing clinical trials may be delayed. Furthermore, any negative impact that the outbreak has on the ability of our CROs to deliver data sets and execute on experimentation could cause substantial delays for our discovery activities and materially impact our ability to fuel our pipeline with new product candidates.</w:t>
      </w:r>
    </w:p>
    <w:p>
      <w:pPr>
        <w:spacing w:after="0" w:line="178"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significantly impact economies worldwide, which could result in adverse effects on our business and operations. We cannot be certain what the overall impact of the COVID-19 pandemic will be on our business and it has the potential to adversely affect our business, financial condition, results of operations and prospects.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right="100"/>
        <w:spacing w:after="0" w:line="342" w:lineRule="auto"/>
        <w:rPr>
          <w:sz w:val="20"/>
          <w:szCs w:val="20"/>
          <w:color w:val="auto"/>
        </w:rPr>
      </w:pPr>
      <w:r>
        <w:rPr>
          <w:rFonts w:ascii="Arial" w:cs="Arial" w:eastAsia="Arial" w:hAnsi="Arial"/>
          <w:sz w:val="16"/>
          <w:szCs w:val="16"/>
          <w:b w:val="1"/>
          <w:bCs w:val="1"/>
          <w:i w:val="1"/>
          <w:iCs w:val="1"/>
          <w:color w:val="auto"/>
        </w:rPr>
        <w:t>In the past, we have identified conditions and events that raise substantial doubt about our ability to continue as a going concern and it is possible that we may identify conditions and events in the future that raise substantial doubt about our ability to continue as a going concern.</w:t>
      </w:r>
    </w:p>
    <w:p>
      <w:pPr>
        <w:spacing w:after="0" w:line="124"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Previously, we have identified conditions and events that raised substantial doubt about our ability to continue as a going concern, and our independent registered public accounting firm’s report on our consolidated financial statements as of and for the year ended December 31, 2018 that was issued prior to our IPO included a going concern uncertainty paragraph. With the completion of our private placement of our common stock and IPO, we believe that our existing cash, cash equivalents, and marketable securities as of September 30, 2020 will enable us to fund our operating expenses and capital expenditure requirements into the second quarter of 2022. However, we have based this estimate on assumptions that may prove to be wrong, and we could exhaust our available capital resources sooner than we expect. In the future, if we are unable to obtain sufficient funding to support our operations, we could be forced to delay, reduce or eliminate all of our research and development programs, product portfolio expansion or commercialization efforts, and our financial condition and results of operations will be materially and adversely affected and we may be unable to continue as a going concern. In the future, reports from our independent registered public accounting firm may also include a going concern uncertainty paragraph.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225"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Recent changes in tax law may adversely affect our business or financial condition. On December 22, 2017, the U.S. government enacted the Tax Cuts and Jobs Act, or the TCJA, which significantly reformed the U.S. Internal Revenue Code of 1986, as amended, or the Code. The TCJA,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net operating losses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6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part of Congress’ response to the COVID-19 pandemic, the Families First Coronavirus Response Act, or FFCR Act, was enacted on March 18, 2020, and the Coronavirus Aid, Relief, and Economic Security Act, or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TCJA.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95"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Regulatory guidance under the TCJA, the FFCR Act and the CARES Act is and continues to be forthcoming, and such guidance could ultimately increase or lessen impact of these laws on our business and financial condition. It is also possible that Congress will enact additional legislation in connection with the COVID-19 pandemic, some of which could have an impact on our company. In addition, it is uncertain if and to what extent various states will conform to the TCJA, the FFCR Act or the CARES Act.</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70"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As of December 31, 2019, we had federal and state net operating loss carryforwards of $111.6 million and $111.1 million, respectively, which begin to expire in 2035. Approximately $80.6 million of the federal net operating losses can be carried forward indefinitely. As of December 31, 2019, we also had federal and state research and development tax credit carryforwards of $2.8 million and $2.4 million, respectively, which begin to expire in 2035 and 2030, respectively. These net operating loss and tax credit carryforwards could expire unused and be unavailable to offset future income tax liabilities.</w:t>
      </w:r>
    </w:p>
    <w:p>
      <w:pPr>
        <w:spacing w:after="0" w:line="15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ind w:firstLine="510"/>
        <w:spacing w:after="0" w:line="272"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17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above in “Changes in tax laws or in their implementation or interpretation may adversely affect our business and financial condition,” the TCJA,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7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are early in our development efforts, and we have advanced only two product candidates into clinical trials, losmapimod for the treatment of FSHD and for the treatment of COVID-19, and FTX-6058 in healthy volunteers.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84"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allowance by the FDA or other regulatory agencies of the investigational new drug applications, or INDs, clinical trial applications, or CTAs, or other regulatory filings for losmapimod, FTX-6058 and future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losmapimod for the treatment of patients with COVID-19.</w:t>
      </w:r>
    </w:p>
    <w:p>
      <w:pPr>
        <w:spacing w:after="0" w:line="225"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June 2020, we initiated a Phase 3, randomized, double-blind, placebo-controlled trial of losmapimod in higher risk hospitalized adults with COVID-19. This Phase 3 clinical trial is an international, multicenter trial designed to assess the safety and efficacy of a 15 mg twice per day oral dose of losmapimod compared to placebo for 14 days on top of standard of care in approximately 400 patients hospitalized with COVID-19 and at risk of progression to critical illness based on older age and elevated systemic inflammation.</w:t>
      </w:r>
    </w:p>
    <w:p>
      <w:pPr>
        <w:spacing w:after="0" w:line="18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While we have initiated our Phase 3 clinical trial of losmapimod for the treatment of patients with COVID-19, the timing and success of the trial will depend on our ability to reach agreement with clinical trial sites and successfully screen and enroll patients in the trial, which, even if we are able to do, may not be on the timelines we expect. We experienced delays in establishing clinical trials sites and began enrolling patients in the fourth quarter of 2020. Many other companies are pursuing the development of product candidates for the treatment of COVID-19, and availability of clinical trial sites and patient enrollment may be affected by availability of commercially available treatments and other clinical trials of competing product candidates. Patient enrollment may also be affected by other factors, including the incidence of COVID-19 over time and the perceived risks and benefits of the use of losmapimod as a treatment relative to competing treatments. We have not activated clinical trial sites and enrolled patients in the trial on the timelines that we previously expected, which has resulted in delays to the trial, including expected delays to the completion of the interim analysis previously planned for the fourth quarter of 2020 and the expected reporting of topline data previously planned for the first quarter of 2021. We may continue to experience these delays or encounter further delays or may decide to abandon the trial and development of losmapimod for the treatment of COVID-19 altogether.</w:t>
      </w:r>
    </w:p>
    <w:p>
      <w:pPr>
        <w:spacing w:after="0" w:line="16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COVID-19 pandemic may be effectively contained before we can successfully develop losmapimod as a treatment for COVID-19 and recoup our financial investment in the trial through sales of losmapimod. For example, a vaccine may be developed and available in sufficient quantities to contain the spread of the SARS-CoV-2 virus before we are able to complete our Phase 3 clinical trial and obtain marketing approval. Similarly, other therapeutics may prove efficacious in treating patients with COVID-19 before we are able to complete the development of losmapimod in this indication. Our commitment of financial resources and personnel to the development of losmapimod for the treatment of COVID-19 may cause delays in or otherwise negatively impact our other development programs and research and discovery efforts with our product engine.</w:t>
      </w:r>
    </w:p>
    <w:p>
      <w:pPr>
        <w:spacing w:after="0" w:line="17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Additionally, while losmapimod has been previously tested in more than 3,600 subjects, including in clinical trials evaluating the ability of an oral dose of 15 mg twice per day of losmapimod to restore a normal immune response in older patients challenged with a viral antigen, it has not been evaluated as a treatment in the acute infection setting. It is possible that unexpected safety issues, including issues that have not been observed in prior clinical trials of losmapimod, could occur in patients with COVID-19. Any such safety issues could affect our development program for losmapimod for the treatment of FSHD and our ability to obtain marketing approval for losmapimod, including our ability to apply for accelerated approval.</w:t>
      </w:r>
    </w:p>
    <w:p>
      <w:pPr>
        <w:spacing w:after="0" w:line="16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this trial, we plan to administer losmapimod as an add-on to the current standard of care. The standard of care for COVID-19 patients may change during our trial or following our trial, and the clinical data that we obtain in our Phase 3 clinical trial may not translate to supporting the use of losmapimod as an add-on to a new standard of care.</w:t>
      </w:r>
    </w:p>
    <w:p>
      <w:pPr>
        <w:spacing w:after="0" w:line="184"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Given the rapidity of the onset of the COVID-19 pandemic, scientific and medical research on the SARS-CoV-2 virus is ongoing and evolving. We cannot be certain that the preclinical and clinical evidence that we believe suggests that losmapimod may be beneficial to patients with COVID-19 will be established in a clinical trial. Similarly, we cannot be certain that the Phase 3 clinical trial will be sufficient to enable us to obtain marketing approval of losmapimod for the treatment of COVID-19, and we may need to conduct additional clinical trials before we are able to apply for marketing approval. Furthermore, the failure of losmapimod to demonstrate safety and efficacy in patients with COVID-19 could negatively impact the perception of us and losmapimod by investors.</w:t>
      </w:r>
    </w:p>
    <w:p>
      <w:pPr>
        <w:spacing w:after="0" w:line="19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To date, the evaluation of losmapimod for the treatment of COVID-19 has moved quickly through the FDA regulatory review and approval process. The speed at which all parties are acting to create and test many therapeutics and vaccines for COVID-19 is unusual, and evolving or changing plans or priorities within the FDA, including changes based on new knowledge of COVID-19 and how the disease affects the human body, may significantly affect the regulatory timeline for losmapimod for the treatment of COVID-19.</w:t>
      </w:r>
    </w:p>
    <w:p>
      <w:pPr>
        <w:spacing w:after="0" w:line="18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 the future, we may seek to make losmapimod available for the treatment of COVID-19 through an Emergency Use Authorization Program, or the FDA or other government body may request that losmapimod is made available through an Emergency Use Authorization. The FDA has the authority to grant an Emergency Use Authorization to allow unapproved medical products to be used in an emergency to diagnose, treat or prevent serious or life-threatening diseases or conditions when there are no adequate, approved and available alternatives. If we are granted an Emergency Use Authorization for losmapimod for the treatment of COVID-19, we would be able to commercialize losmapimod for the treatment of COVID-19 prior to FDA approval of a new drug application, or NDA. However,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losmapimod for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4" w:name="page45"/>
    <w:bookmarkEnd w:id="44"/>
    <w:p>
      <w:pPr>
        <w:ind w:right="40"/>
        <w:spacing w:after="0" w:line="277" w:lineRule="auto"/>
        <w:rPr>
          <w:sz w:val="20"/>
          <w:szCs w:val="20"/>
          <w:color w:val="auto"/>
        </w:rPr>
      </w:pPr>
      <w:r>
        <w:rPr>
          <w:rFonts w:ascii="Arial" w:cs="Arial" w:eastAsia="Arial" w:hAnsi="Arial"/>
          <w:sz w:val="18"/>
          <w:szCs w:val="18"/>
          <w:color w:val="auto"/>
        </w:rPr>
        <w:t>treatment of COVID-19 is not yet approved by the FDA via an NDA and if we and our manufacturing partners have invested in the supply chain to provide losmapimod for the treatment of COVID-19 under an Emergency Use Authorization.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225"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those subject to our collaborations with Acceleron and MyoKardia, advance any of these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2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84"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6"/>
          <w:szCs w:val="16"/>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1"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3"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6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240"/>
        <w:spacing w:after="0" w:line="277" w:lineRule="auto"/>
        <w:rPr>
          <w:sz w:val="20"/>
          <w:szCs w:val="20"/>
          <w:color w:val="auto"/>
        </w:rPr>
      </w:pPr>
      <w:r>
        <w:rPr>
          <w:rFonts w:ascii="Arial" w:cs="Arial" w:eastAsia="Arial" w:hAnsi="Arial"/>
          <w:sz w:val="18"/>
          <w:szCs w:val="18"/>
          <w:color w:val="auto"/>
        </w:rPr>
        <w:t>impact the perception of our other product candidates and/or cause the FDA or other regulatory authorities to require additional testing before approving any of our product candidates.</w:t>
      </w:r>
    </w:p>
    <w:p>
      <w:pPr>
        <w:spacing w:after="0" w:line="170"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February 2019, we entered into a right of reference and license agreement, or the GSK Agreement,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3,600 subjects, GSK did not evaluate losmapimod in FSHD or in any other muscular dystrophy, or in novel diseases, such as COVID-19,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6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880" w:right="22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80" w:right="80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880" w:right="380" w:hanging="373"/>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880" w:right="120" w:hanging="373"/>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5" w:lineRule="exact"/>
        <w:rPr>
          <w:rFonts w:ascii="Arial" w:cs="Arial" w:eastAsia="Arial" w:hAnsi="Arial"/>
          <w:sz w:val="18"/>
          <w:szCs w:val="18"/>
          <w:color w:val="auto"/>
        </w:rPr>
      </w:pPr>
    </w:p>
    <w:p>
      <w:pPr>
        <w:ind w:left="880" w:right="140" w:hanging="373"/>
        <w:spacing w:after="0" w:line="30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880" w:right="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880" w:right="440" w:hanging="373"/>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880" w:right="26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880" w:right="68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left="880" w:right="40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62" w:lineRule="exact"/>
        <w:rPr>
          <w:rFonts w:ascii="Arial" w:cs="Arial" w:eastAsia="Arial" w:hAnsi="Arial"/>
          <w:sz w:val="18"/>
          <w:szCs w:val="18"/>
          <w:color w:val="auto"/>
        </w:rPr>
      </w:pPr>
    </w:p>
    <w:p>
      <w:pPr>
        <w:ind w:left="880" w:right="120" w:hanging="373"/>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global instability, including political instability or instability from an outbreak of pandemic or contagious disease, such as the COVID-19 pandemic, in or around the countries in which we conduct our clinical trials, could delay the commencement or rate of completion of our clinical trials; and</w:t>
      </w:r>
    </w:p>
    <w:p>
      <w:pPr>
        <w:spacing w:after="0" w:line="75"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70"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For example, in the wake of COVID-19, the clinical trial sites for our Phase 2b clinical trial temporarily postponed trial-related activities, impacting our clinical trial execution plans, and we cannot be certain that we will not face other postponements or similar difficulties in the future.</w:t>
      </w:r>
    </w:p>
    <w:p>
      <w:pPr>
        <w:spacing w:after="0" w:line="146"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74"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170"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8" w:name="page49"/>
    <w:bookmarkEnd w:id="48"/>
    <w:p>
      <w:pPr>
        <w:ind w:right="12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24" w:lineRule="exact"/>
        <w:rPr>
          <w:sz w:val="20"/>
          <w:szCs w:val="20"/>
          <w:color w:val="auto"/>
        </w:rPr>
      </w:pPr>
    </w:p>
    <w:p>
      <w:pPr>
        <w:ind w:right="340" w:firstLine="510"/>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disorders, hemoglobinopathies and central nervous system diseases. In light of the recent COVID-19 pandemic, we have also begun to focus some of our research and development efforts to evaluate losmapimod as a potential treatment for COVID-19.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7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We are conducting Phase 2b and Phase 2 open label clinical trials of losmapimod in patients with FSHD in Europe and currently plan to conduct additional clinical trials for our product candidates at sites outside the United States and the FDA may not accept data from trials conducted in such locations.</w:t>
      </w:r>
    </w:p>
    <w:p>
      <w:pPr>
        <w:spacing w:after="0" w:line="184"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We are currently conducting Phase 2b and Phase 2 open label clinical trials of losmapimod in patients with FSHD in Europe, and a Phase 3 clinical trial of losmapimod for the treatment of COVID-19 at sites in Mexico and South America.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18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 with physicians and payors to better understand the commercial landscape and to assist in our commercial planning with respect to losmapimod for the treatment of FSHD.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 Specifically, the commercial opportunity for losmapimod for the treatment of COVID-19 is uncertain given the novel nature of the disease, the rapidity of the onset of the COVID-19 pandemic, the number of recent entrants in the market and the potential that a vaccine may be developed and available in sufficient quantities to contain the spread of the SARS-CoV-2 virus before we are able to complete our Phase 3 clinical trial and obtain marketing approval. Similarly, other therapeutics may prove efficacious in treating patients with COVID-19 before we are able to complete the development of losmapimod in this indication.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0" w:name="page51"/>
    <w:bookmarkEnd w:id="50"/>
    <w:p>
      <w:pPr>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14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880" w:right="8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51" w:name="page52"/>
    <w:bookmarkEnd w:id="51"/>
    <w:p>
      <w:pPr>
        <w:ind w:firstLine="510"/>
        <w:spacing w:after="0" w:line="269" w:lineRule="auto"/>
        <w:rPr>
          <w:sz w:val="20"/>
          <w:szCs w:val="20"/>
          <w:color w:val="auto"/>
        </w:rPr>
      </w:pPr>
      <w:r>
        <w:rPr>
          <w:rFonts w:ascii="Arial" w:cs="Arial" w:eastAsia="Arial" w:hAnsi="Arial"/>
          <w:sz w:val="17"/>
          <w:szCs w:val="17"/>
          <w:color w:val="auto"/>
        </w:rPr>
        <w:t>For example, we are aware of several product candidates in clinical development that could be competitive with product candidates that we may successfully develop and commercialize. bluebird bio, Inc., Aruvant Sciences, Inc., EpiDestiny, Inc., or EpiDestiny (in collaboration with Novo Nordisk A/S), Imara, Inc., Agios Pharmaceuticals, Inc., Forma Therapeutics Holdings, Inc., Sangamo Therapeutics Inc., or Sangamo (in collaboration with Bioverativ Inc.) and CRISPR Therapeutics AG (in collaboration with Vertex Pharmaceuticals, Inc.) are developing therapeutic approaches for patients with sickle cell disease, or SCD. Acceleron (in collaboration with Celgene Corp.), Bellicum Pharmaceuticals, Inc., Kiadis Pharma, EpiDestiny (in collaboration with Novo Nordisk A/S), Imara Inc., Agios Pharmaceuticals, Inc., Forma Therapeutics Holdings, Inc., Orchard Therapeutics plc, Sangamo (in collaboration with Bioverativ, Inc.) and CRISPR Therapeutics AG (in collaboration with Vertex Pharmaceuticals, Inc.) are developing therapeutic approaches for patients with ß-thalassemia. Eli Lilly and Company, Incyte Corporation, Alexion Pharmaceuticals, Inc., InflaRx N.V., OncoImmune, Inc., NeuroRx, Inc., CytoDyn Inc., Vanda Pharmaceuticals, Inc., CTI Biopharma Corp., AstraZeneca PLC, Biohaven Pharmaceutical Holding Company Ltd., Chimerix, Inc., and Novartis AG, are developing immunomodulating therapeutics for the treatment of COVID-19, and other companies, such as Moderna, Inc., BioNTech SE (in collaboration with Pfizer Inc.), Novavax, Inc., AstraZeneca PLC, Johnson &amp; Johnson and CureVac B.V. have COVID-19 vaccine candidates currently in clinical trials.</w:t>
      </w:r>
    </w:p>
    <w:p>
      <w:pPr>
        <w:spacing w:after="0" w:line="179" w:lineRule="exact"/>
        <w:rPr>
          <w:sz w:val="20"/>
          <w:szCs w:val="20"/>
          <w:color w:val="auto"/>
        </w:rPr>
      </w:pPr>
    </w:p>
    <w:p>
      <w:pPr>
        <w:jc w:val="both"/>
        <w:ind w:right="40" w:firstLine="510"/>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78"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8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6"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13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primarily focus our research and product development on treatments for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17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10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84"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We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68"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7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17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ind w:firstLine="51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trade protection measures, import or export licensing requirements or other restrictive actions by U.S. or foreign governments;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reduced protection of intellectual property rights in some foreign countries, and related prevalence of generic alternatives to therapeutics;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54" w:name="page55"/>
    <w:bookmarkEnd w:id="54"/>
    <w:p>
      <w:pPr>
        <w:ind w:right="76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17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70"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currently rely on third-party clinical research organizations to conduct our ongoing Phase 2b, Phase 2 open label and Phase 3 clinical trials of losmapimod and our ongoing Phase 1 clinical trial of FTX-6058. We plan to rely on third-party clinical research organizations or third-party research collaboratives to conduct any future clinical trials. We do not plan to independently conduct clinical trials 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78"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95"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ind w:firstLine="510"/>
        <w:spacing w:after="0" w:line="263" w:lineRule="auto"/>
        <w:rPr>
          <w:sz w:val="20"/>
          <w:szCs w:val="20"/>
          <w:color w:val="auto"/>
        </w:rPr>
      </w:pPr>
      <w:r>
        <w:rPr>
          <w:rFonts w:ascii="Arial" w:cs="Arial" w:eastAsia="Arial" w:hAnsi="Arial"/>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jc w:val="both"/>
        <w:ind w:right="60"/>
        <w:spacing w:after="0" w:line="340" w:lineRule="auto"/>
        <w:rPr>
          <w:sz w:val="20"/>
          <w:szCs w:val="20"/>
          <w:color w:val="auto"/>
        </w:rPr>
      </w:pPr>
      <w:r>
        <w:rPr>
          <w:rFonts w:ascii="Arial" w:cs="Arial" w:eastAsia="Arial" w:hAnsi="Arial"/>
          <w:sz w:val="15"/>
          <w:szCs w:val="15"/>
          <w:b w:val="1"/>
          <w:bCs w:val="1"/>
          <w:i w:val="1"/>
          <w:iCs w:val="1"/>
          <w:color w:val="auto"/>
        </w:rPr>
        <w:t>We plan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3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We do not have any manufacturing facilities. Although we believe we have obtained sufficient losmapimod tablets from GSK to complete our ongoing Phase 2 and Phase 3 clinical trials and that we have received a sufficient quantity of losmapimod API to complete further clinical trials in FSHD and COVID-19, we cannot be sure we have correctly estimated our drug product and API requirements or that such drug product or API will not expire before we want to use it. We have also engaged CMOs to prepare our own API and to manufacture losmapimod tablets. While we believe that we have all the necessary information from GSK to enable any required technology transfer to a CMO, there can be no assurances that we will be able to effect such transfer in a timely manner.</w:t>
      </w:r>
    </w:p>
    <w:p>
      <w:pPr>
        <w:spacing w:after="0" w:line="192"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In addition, although we believe we have obtained sufficient quantities of FTX-6058 for the completion of our ongoing Phase 1 clinical trial, we cannot be sure we have correctly estimated our drug product requirements.</w:t>
      </w:r>
    </w:p>
    <w:p>
      <w:pPr>
        <w:spacing w:after="0" w:line="170" w:lineRule="exact"/>
        <w:rPr>
          <w:sz w:val="20"/>
          <w:szCs w:val="20"/>
          <w:color w:val="auto"/>
        </w:rPr>
      </w:pPr>
    </w:p>
    <w:p>
      <w:pPr>
        <w:ind w:right="340" w:firstLine="510"/>
        <w:spacing w:after="0" w:line="279" w:lineRule="auto"/>
        <w:rPr>
          <w:sz w:val="20"/>
          <w:szCs w:val="20"/>
          <w:color w:val="auto"/>
        </w:rPr>
      </w:pPr>
      <w:r>
        <w:rPr>
          <w:rFonts w:ascii="Arial" w:cs="Arial" w:eastAsia="Arial" w:hAnsi="Arial"/>
          <w:sz w:val="17"/>
          <w:szCs w:val="17"/>
          <w:color w:val="auto"/>
        </w:rPr>
        <w:t>We expect to rely on third parties for the manufacture of FTX-6058 for any future clinical trials and for the manufacture of any future product candidates for preclinical and clinical testing, as well as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7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also expect to rely on third-party manufacturers or third-party collaborators for the manufacture of commercial supply of any other product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79"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8"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24"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57"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1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December 2019, we entered into a collaboration and license agreement with Acceleron to identify biological targets to modulate specific pathways associated with a targeted indication within the pulmonary disease space. In July 2020, we entered into a collaboration and license agreement with MyoKardia to identify and validate potential biological targets for the potential treatment of certain genetically defined cardiomyopathies.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85"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Collaborations that we enter into, including our collaborations with Acceleron and MyoKardia, may not be successful, and any success will depend heavily on the efforts and activities of such collaborators. Collaborations pose a number of risks, including the following:</w:t>
      </w:r>
    </w:p>
    <w:p>
      <w:pPr>
        <w:spacing w:after="0" w:line="38" w:lineRule="exact"/>
        <w:rPr>
          <w:sz w:val="20"/>
          <w:szCs w:val="20"/>
          <w:color w:val="auto"/>
        </w:rPr>
      </w:pPr>
    </w:p>
    <w:p>
      <w:pPr>
        <w:ind w:left="880" w:right="9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880" w:right="30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880" w:right="140" w:hanging="373"/>
        <w:spacing w:after="0" w:line="286"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57" w:lineRule="exact"/>
        <w:rPr>
          <w:rFonts w:ascii="Arial" w:cs="Arial" w:eastAsia="Arial" w:hAnsi="Arial"/>
          <w:sz w:val="17"/>
          <w:szCs w:val="17"/>
          <w:color w:val="auto"/>
        </w:rPr>
      </w:pPr>
    </w:p>
    <w:p>
      <w:pPr>
        <w:ind w:left="880" w:right="600" w:hanging="373"/>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880" w:right="16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5" w:lineRule="exact"/>
        <w:rPr>
          <w:rFonts w:ascii="Arial" w:cs="Arial" w:eastAsia="Arial" w:hAnsi="Arial"/>
          <w:sz w:val="18"/>
          <w:szCs w:val="18"/>
          <w:color w:val="auto"/>
        </w:rPr>
      </w:pPr>
    </w:p>
    <w:p>
      <w:pPr>
        <w:ind w:left="880" w:right="58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880" w:right="20" w:hanging="373"/>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880" w:right="18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880" w:hanging="373"/>
        <w:spacing w:after="0" w:line="259"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880" w:right="14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92"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For some of our product candidates, we may decide to collaborate with pharmaceutical or biotechnology companies for the development and potential commercialization of those product candidates. For example, in December 2019, we entered into a collaboration and license agreement with Acceleron to identify biological targets to modulate specific pathways associated with a targeted indication within the pulmonary disease space, and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80"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We are also restricted under our collaboration with Acceleron from, directly or indirectly, researching, developing, manufacturing, commercializing, using or otherwise exploiting any compound or product for the treatment, prophylaxis, or diagnosis of a targeted indication within the pulmonary disease space, other than for Acceleron, while we are performing the research activities pursuant to the research plan and for a specified period thereafter. Additionally, we are restricted under our collaboration with Acceleron from researching, developing, manufacturing, commercializing, using, or otherwise exploiting any compound or product for the treatment, prophylaxis, or diagnosis of a targeted indication within the pulmonary disease space that is directed against certain specified biological targets identified by us in the performance of the research activities while we are performing the research activities pursuant to the research plan and for a specified period thereafter.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the case of both (a) and (b), while we are performing the research activities pursuant to the research plan and for a specified period thereafter.</w:t>
      </w:r>
    </w:p>
    <w:p>
      <w:pPr>
        <w:spacing w:after="0" w:line="184"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right="80" w:firstLine="510"/>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4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2"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80" w:firstLine="510"/>
        <w:spacing w:after="0" w:line="288" w:lineRule="auto"/>
        <w:rPr>
          <w:sz w:val="20"/>
          <w:szCs w:val="20"/>
          <w:color w:val="auto"/>
        </w:rPr>
      </w:pPr>
      <w:r>
        <w:rPr>
          <w:rFonts w:ascii="Arial" w:cs="Arial" w:eastAsia="Arial" w:hAnsi="Arial"/>
          <w:sz w:val="16"/>
          <w:szCs w:val="16"/>
          <w:color w:val="auto"/>
        </w:rPr>
        <w:t>Currently, our patent portfolio related to FTX-6058 is in early stages and comprises three owned pending applications: one U.S. non-provisional application, one PCT application, and one Taiwanese application. We have no issued patents related to FTX-6058 or our SCD or ß-thalassemia programs. In order to continue to pursue protection based on the PCT application, we will need to nationalize this application into corresponding foreign applications prior to the expiration deadline of the PCT application.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We own one patent covering the use of losmapimod for the treatment of patients with FSHD and we own one patent covering the use of other clinical-stage p38 inhibitors for the treatment of patients with FSHD. In addition, our owned patents and patent applications pertaining to losmapimod are not to the composition but, rather, are directed to certain methods of treating FSHD. We cannot be certain that our pending patent applications related to the losmapimod program will be granted. Even if such patent applications issue as patents, they will not prevent third parties from commercializing losmapimod for other indications.</w:t>
      </w:r>
    </w:p>
    <w:p>
      <w:pPr>
        <w:spacing w:after="0" w:line="168"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7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180" w:firstLine="510"/>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86"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0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right="44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17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170"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7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9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right="100" w:firstLine="51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46"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66"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70"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7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76"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0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5540" w:right="3580" w:hanging="5033"/>
        <w:spacing w:after="0" w:line="527" w:lineRule="auto"/>
        <w:tabs>
          <w:tab w:leader="none" w:pos="89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4" w:name="page65"/>
    <w:bookmarkEnd w:id="64"/>
    <w:p>
      <w:pPr>
        <w:ind w:left="880" w:hanging="373"/>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66"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ind w:right="120" w:firstLine="51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14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9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hanging="373"/>
        <w:spacing w:after="0" w:line="263"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28"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880" w:right="840" w:hanging="373"/>
        <w:spacing w:after="0" w:line="308"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880" w:right="40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17"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 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7" w:name="page68"/>
    <w:bookmarkEnd w:id="67"/>
    <w:p>
      <w:pPr>
        <w:ind w:right="60" w:firstLine="510"/>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170"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The FDA and EMA have granted orphan drug designation to losmapimod for the treatment of FSHD. We may seek orphan drug designation for our other current and future product candidates.</w:t>
      </w:r>
    </w:p>
    <w:p>
      <w:pPr>
        <w:spacing w:after="0" w:line="15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64"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effected.</w:t>
      </w:r>
    </w:p>
    <w:p>
      <w:pPr>
        <w:spacing w:after="0" w:line="17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225"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70"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95"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8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Even if the FDA agrees that we may pursue an accelerated approval NDA submission, that does not guarantee that the NDA will receive an accelerated approval, or a complete response letter, nor does submission of an accelerated approval NDA ensure that the product candidate will receive a faster development or regulatory review process.</w:t>
      </w:r>
    </w:p>
    <w:p>
      <w:pPr>
        <w:spacing w:after="0" w:line="184"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(i.e., an intermediate clinical endpoint). The FDA or other applicable regulatory agency makes the determination regarding whether a biomarker efficacy endpoint is reasonably likely to predict long-term clinical benefit.</w:t>
      </w:r>
    </w:p>
    <w:p>
      <w:pPr>
        <w:spacing w:after="0" w:line="16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one or more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ind w:firstLine="510"/>
        <w:spacing w:after="0" w:line="287" w:lineRule="auto"/>
        <w:rPr>
          <w:sz w:val="20"/>
          <w:szCs w:val="20"/>
          <w:color w:val="auto"/>
        </w:rPr>
      </w:pPr>
      <w:r>
        <w:rPr>
          <w:rFonts w:ascii="Arial" w:cs="Arial" w:eastAsia="Arial" w:hAnsi="Arial"/>
          <w:sz w:val="16"/>
          <w:szCs w:val="16"/>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22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68"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 clinical trials, marketing authorization, commercial sales and distribution of pharmaceutical products is derived from European Union directives and regulations, Brexit could materially impact the regulatory regime that applies to products and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27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8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firstLine="510"/>
        <w:spacing w:after="0" w:line="271"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jc w:val="both"/>
        <w:ind w:right="500" w:firstLine="510"/>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6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ind w:right="2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For example, on January 30, 2017, President Trump issued an executive order, applicable to all executive agencies, including the FDA, requiring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indicated that the “two-for-one” provisions may apply not only to agency regulations, but also to significant agency guidance documents. More recently, on October 9, 2019, President Trump issued another executive order (“Executive Order on Promoting the Rule of Law Through Improved Agency Guidance Documents”). The order is meant to ensure that agency guidance documents do not establish legally binding requirements and it directs each agency to rescind guidance documents that it determines should no longer be in effect. In response to the COVID-19 pandemic, the Trump administration has indicated that it will take additional actions to provide regulatory relief. If these executive actions impose constraints on FDA’s ability to engage in oversight and implementation activities in the normal course, our business may be negatively impacted.</w:t>
      </w:r>
    </w:p>
    <w:p>
      <w:pPr>
        <w:spacing w:after="0" w:line="2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18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87" w:lineRule="exact"/>
        <w:rPr>
          <w:sz w:val="20"/>
          <w:szCs w:val="20"/>
          <w:color w:val="auto"/>
        </w:rPr>
      </w:pPr>
    </w:p>
    <w:p>
      <w:pPr>
        <w:ind w:left="880" w:right="100" w:hanging="373"/>
        <w:spacing w:after="0" w:line="259"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880" w:right="80" w:hanging="373"/>
        <w:spacing w:after="0" w:line="25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$11,181 and a maximum of $22,363 per false claim;</w:t>
      </w:r>
    </w:p>
    <w:p>
      <w:pPr>
        <w:spacing w:after="0" w:line="79"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880" w:right="160" w:hanging="373"/>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62" w:lineRule="exact"/>
        <w:rPr>
          <w:rFonts w:ascii="Arial" w:cs="Arial" w:eastAsia="Arial" w:hAnsi="Arial"/>
          <w:sz w:val="18"/>
          <w:szCs w:val="18"/>
          <w:color w:val="auto"/>
        </w:rPr>
      </w:pPr>
    </w:p>
    <w:p>
      <w:pPr>
        <w:ind w:left="880" w:right="380" w:hanging="373"/>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ind w:right="40" w:firstLine="510"/>
        <w:spacing w:after="0" w:line="296"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8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84"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4"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which went into effect on January 1, 2020, is creating similar risks and obligations as those created by the GDPR, though the California Consumer Privacy Act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firstLine="510"/>
        <w:spacing w:after="0" w:line="288"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7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24"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6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77" w:lineRule="exact"/>
        <w:rPr>
          <w:sz w:val="20"/>
          <w:szCs w:val="20"/>
          <w:color w:val="auto"/>
        </w:rPr>
      </w:pPr>
    </w:p>
    <w:p>
      <w:pPr>
        <w:ind w:right="360" w:firstLine="510"/>
        <w:spacing w:after="0" w:line="311"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may obtain for any of our product candidates that are approved for sale, are the following:</w:t>
      </w:r>
    </w:p>
    <w:p>
      <w:pPr>
        <w:spacing w:after="0" w:line="41" w:lineRule="exact"/>
        <w:rPr>
          <w:sz w:val="20"/>
          <w:szCs w:val="20"/>
          <w:color w:val="auto"/>
        </w:rPr>
      </w:pPr>
    </w:p>
    <w:p>
      <w:pPr>
        <w:ind w:left="880" w:right="60" w:hanging="373"/>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70% point-of-sale discounts off negotiated prices;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ind w:firstLine="510"/>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2029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8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Since the enactment of the ACA, there have been, and continue to be, numerous legal challenges and Congressional actions to repeal and replace provisions of the law. For example, with enactment of the TCJA, which was signed by President Trump on December 22, 2017, Congress repealed the “individual mandate.” The repeal of this provision, which requires most Americans to carry a minimal level of health insurance, will become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w:t>
      </w:r>
    </w:p>
    <w:p>
      <w:pPr>
        <w:spacing w:after="0" w:line="19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For example, President Trump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Trump administration from terminating the subsidies, but their request for a restraining order was denied by a federal judge in California on October 25, 2017.</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Centers for Medicare &amp; Medicaid Services, or CMS, has recently proposed regulations that would give states greater flexibility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setting benchmarks for insurers in the individual and small group marketplaces, which may have the effect of relaxing the essential health benefits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ACA for plans sold through such marketplaces. Further, on June 14, 2018, U.S. Court of Appeals for the Federal Circuit ruled that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government was not required to pay more than $12 billion in ACA risk corridor payments to third-party payors who argued were owed to them.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decision is under review by the U.S. Supreme Court during its current term. The full effects of this gap in reimbursement on third-party payors, the viability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ACA marketplace, providers, and potentially our business, are not yet known. On November 30, 2018, CMS announced a proposed rule that would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amend the Medicare Advantage and Medicare Part D prescription drug benefit regulations to reduce out of pocket costs for plan enrollees and allow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Medicare plans to negotiate lower rates for certain drugs. Among other things, the proposed rule changes would allow Medicare Advantage plans to use pre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authorization (PA) and step therapy (ST) for six protected classes of drugs, with certain exceptions; permit plans to implement PA and ST in Medicare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 B drugs; and change the definition of “negotiated prices” as well as add a definition of “price concession” in the regulations. It is unclear whether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proposed changes will be accepted, and if so, what effect such changes will have on our business. Litigation and legislation over the ACA are likely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continue, with unpredictable and uncertain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20" w:firstLine="510"/>
        <w:spacing w:after="0" w:line="269" w:lineRule="auto"/>
        <w:rPr>
          <w:sz w:val="20"/>
          <w:szCs w:val="20"/>
          <w:color w:val="auto"/>
        </w:rPr>
      </w:pPr>
      <w:r>
        <w:rPr>
          <w:rFonts w:ascii="Arial" w:cs="Arial" w:eastAsia="Arial" w:hAnsi="Arial"/>
          <w:sz w:val="17"/>
          <w:szCs w:val="17"/>
          <w:color w:val="auto"/>
        </w:rPr>
        <w:t>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thereafter represented to the Court of Appeals considering this judgment that it does not oppose the lower court’s ruling. On July 10, 2019, the Court of Appeals for the Fifth Circuit heard oral argument in this case. In those arguments, the Trump administration argued in support of upholding the lower court decision.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January 21, 2020, the U.S. Supreme Court declined to review this decision on an expedited basis. On March 2, 2020, that court agreed to hear this case. On June 25, 2020, the Trump administration and a coalition of 18 states asked the court to strike down the entirety of the ACA. Oral argument in this case is scheduled for November 10, 2020. Litigation and legislation over the ACA are likely to continue, with unpredictable and uncertain results.</w:t>
      </w:r>
    </w:p>
    <w:p>
      <w:pPr>
        <w:spacing w:after="0" w:line="182"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The costs of prescription pharmaceuticals have also been the subject of considerable discussion in the United States, and members of Congress and the Trump administration have previously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 has pressed for further drug price control measures that could be enacted during the annual budget process or in other future legislation.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Finally,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 recently, on July 24, 2020, President Trump issued four executive orders that are intended to lower the costs of prescription drug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products. The first order would require all federally qualified health centers, or FQHCs, to pass on to patients the discounts the health centers receive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insulin and epinephrine through Medicare's 340B Drug Discount Program. The second order would establish an international pricing index that would 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price Medicare Part B pays for the costliest medications covered under the program to the lowest price in other economically advanced countries.</w:t>
      </w:r>
    </w:p>
    <w:p>
      <w:pPr>
        <w:spacing w:after="0" w:line="22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third order is intended to reduce the costs of drugs by supporting the safe importation of prescription drugs. Specifically, the order calls upon HHS to facilitate grants to individuals of waivers of the prohibition of importation of prescription drugs that would allow patients to import FDA approved drug products from abroad, so long as doing so would result in lower costs. In addition, the order would allow wholesalers and pharmacies to re-import both biological drugs and insulin that were originally manufactured in the United States and then exported for international sale. This action preceded the finalization of a rulemaking on September 24, 2020 that allows states or certain other non-federal government entities to submit importation program proposals to the FDA for review and approval. Applicants would be required to demonstrate that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 (multi-market approved products).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ind w:firstLine="510"/>
        <w:spacing w:after="0" w:line="255" w:lineRule="auto"/>
        <w:rPr>
          <w:sz w:val="20"/>
          <w:szCs w:val="20"/>
          <w:color w:val="auto"/>
        </w:rPr>
      </w:pPr>
      <w:r>
        <w:rPr>
          <w:rFonts w:ascii="Arial" w:cs="Arial" w:eastAsia="Arial" w:hAnsi="Arial"/>
          <w:sz w:val="18"/>
          <w:szCs w:val="18"/>
          <w:color w:val="auto"/>
        </w:rPr>
        <w:t>The fourth order would end drug rebates used by health plan sponsors, pharmacies or pharmacy benefit managers, or PBMs, in operating the Medicare Part D program. Specifically, the order directs HHS to exclude from safe harbor protections under the federal anti-kickback statute retroactive price reductions that are not applied at the point-of-sale. Instead, the order requires HHS to establish new safe harbors that would allow health plan sponsors, pharmacies, and PBMs to pass on those discounts to consumers at point-of-sale in order to lower the patient's out-of-pocket costs and permit the use of certain bona fide PBM service fees. Each of these orders directs the federal government to implement the initiatives outlined in the orders, meaning they will not have immediate effects.</w:t>
      </w:r>
    </w:p>
    <w:p>
      <w:pPr>
        <w:spacing w:after="0" w:line="192" w:lineRule="exact"/>
        <w:rPr>
          <w:sz w:val="20"/>
          <w:szCs w:val="20"/>
          <w:color w:val="auto"/>
        </w:rPr>
      </w:pPr>
    </w:p>
    <w:p>
      <w:pPr>
        <w:jc w:val="both"/>
        <w:ind w:right="420" w:firstLine="510"/>
        <w:spacing w:after="0" w:line="279" w:lineRule="auto"/>
        <w:rPr>
          <w:sz w:val="20"/>
          <w:szCs w:val="20"/>
          <w:color w:val="auto"/>
        </w:rPr>
      </w:pPr>
      <w:r>
        <w:rPr>
          <w:rFonts w:ascii="Arial" w:cs="Arial" w:eastAsia="Arial" w:hAnsi="Arial"/>
          <w:sz w:val="17"/>
          <w:szCs w:val="17"/>
          <w:color w:val="auto"/>
        </w:rPr>
        <w:t>Following issuance of these orders, President Trump issued a fifth executive order which instructs the federal government to develop a list of “essential” medicines and then buy them and other medical supplies from U.S. manufacturers instead of from companies around the world, including especially China. The order is meant reduce regulatory barriers to domestic pharmaceutical manufacturing and catalyze manufacturing technologies needed to keep drug prices low and the production of drug products in the United States.</w:t>
      </w:r>
    </w:p>
    <w:p>
      <w:pPr>
        <w:spacing w:after="0" w:line="17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22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170"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81"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77" w:name="page78"/>
    <w:bookmarkEnd w:id="77"/>
    <w:p>
      <w:pPr>
        <w:ind w:right="120" w:firstLine="510"/>
        <w:spacing w:after="0" w:line="275"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171"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74"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00"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spacing w:after="0" w:line="290" w:lineRule="auto"/>
        <w:rPr>
          <w:sz w:val="20"/>
          <w:szCs w:val="20"/>
          <w:color w:val="auto"/>
        </w:rPr>
      </w:pPr>
      <w:r>
        <w:rPr>
          <w:rFonts w:ascii="Arial" w:cs="Arial" w:eastAsia="Arial" w:hAnsi="Arial"/>
          <w:sz w:val="16"/>
          <w:szCs w:val="16"/>
          <w:color w:val="auto"/>
        </w:rPr>
        <w:t>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70"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7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9" w:name="page80"/>
    <w:bookmarkEnd w:id="79"/>
    <w:p>
      <w:pPr>
        <w:ind w:right="3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17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As of November 4, 2020, our executive officers and directors and our stockholders who owned more than 5% of our outstanding common stock in the aggregate beneficially owned shares representing approximately 63.4%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333" w:lineRule="exact"/>
        <w:rPr>
          <w:sz w:val="20"/>
          <w:szCs w:val="20"/>
          <w:color w:val="auto"/>
        </w:rPr>
      </w:pPr>
    </w:p>
    <w:p>
      <w:pPr>
        <w:jc w:val="both"/>
        <w:ind w:right="32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0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ind w:left="880" w:hanging="373"/>
        <w:spacing w:after="0" w:line="263"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Our shares of common stock began trading on the Nasdaq Global Market on July 18, 2019.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their shares without depressing the market price for the shares, or at all.</w:t>
      </w:r>
    </w:p>
    <w:p>
      <w:pPr>
        <w:spacing w:after="0" w:line="29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24"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23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880" w:right="84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or developments in preclinical studies and clinical trials of our product candidates or those of our competitors or potential collaborators;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880" w:right="240" w:hanging="373"/>
        <w:spacing w:after="0" w:line="308" w:lineRule="auto"/>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1" w:name="page82"/>
    <w:bookmarkEnd w:id="81"/>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IPO continue to hold a substantial number of shares of our common stock. If such persons sell, or indicate an intention to sell, substantial amounts of our common stock in the public market, the trading price of our common stock could decline.</w:t>
      </w:r>
    </w:p>
    <w:p>
      <w:pPr>
        <w:spacing w:after="0" w:line="187" w:lineRule="exact"/>
        <w:rPr>
          <w:sz w:val="20"/>
          <w:szCs w:val="20"/>
          <w:color w:val="auto"/>
        </w:rPr>
      </w:pPr>
    </w:p>
    <w:p>
      <w:pPr>
        <w:ind w:right="580" w:firstLine="510"/>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June 2020, we issued and sold 4,029,411 shares of common stock to investors in a private placement. We have filed a registration statement covering the resale of these shares by the purchasers in the private placement and have agreed to keep such registration statement effective until the date the shares covered by the registration statement have been sold or can be resold without restriction under Rule 144 of the Securities Act of 1933, as amended, or the Securities Act.</w:t>
      </w:r>
    </w:p>
    <w:p>
      <w:pPr>
        <w:spacing w:after="0" w:line="18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up to an aggregate of $250 million, at prices and terms to be determined at the time of sale.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we have filed registration statements registering all shares of common stock that we may issue under our equity compensation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shares can be freely sold in the public market upon issuance, subject to volume limitations applicable to affiliates.</w:t>
      </w:r>
    </w:p>
    <w:p>
      <w:pPr>
        <w:spacing w:after="0" w:line="3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4" w:lineRule="exact"/>
        <w:rPr>
          <w:sz w:val="20"/>
          <w:szCs w:val="20"/>
          <w:color w:val="auto"/>
        </w:rPr>
      </w:pPr>
    </w:p>
    <w:p>
      <w:pPr>
        <w:ind w:left="880" w:hanging="373"/>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880" w:right="580" w:hanging="373"/>
        <w:spacing w:after="0" w:line="263"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2" w:name="page83"/>
    <w:bookmarkEnd w:id="82"/>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beginning with our Annual Report on Form 10-K for the year ending December 31, 2020.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8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17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ind w:right="80"/>
        <w:spacing w:after="0" w:line="381"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00"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Other than as reported in a Current Report on Form 8-K, we did not sell any securities that were not registered under the Securities Act during the three months ended September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225" w:lineRule="exact"/>
        <w:rPr>
          <w:sz w:val="20"/>
          <w:szCs w:val="20"/>
          <w:color w:val="auto"/>
        </w:rPr>
      </w:pPr>
    </w:p>
    <w:p>
      <w:pPr>
        <w:jc w:val="both"/>
        <w:ind w:right="120" w:firstLine="510"/>
        <w:spacing w:after="0" w:line="287" w:lineRule="auto"/>
        <w:rPr>
          <w:sz w:val="20"/>
          <w:szCs w:val="20"/>
          <w:color w:val="auto"/>
        </w:rPr>
      </w:pPr>
      <w:r>
        <w:rPr>
          <w:rFonts w:ascii="Arial" w:cs="Arial" w:eastAsia="Arial" w:hAnsi="Arial"/>
          <w:sz w:val="16"/>
          <w:szCs w:val="16"/>
          <w:color w:val="auto"/>
        </w:rPr>
        <w:t>On July 22, 2019, we completed our IPO, pursuant to which we issued and sold 4,500,000 shares of our common stock at a public offering price of $16.00 per share. The offer and sale of all of the shares of our common stock in our IPO were registered under the Securities Act pursuant to a registration statement on Form S-1 (File No. 333-232260), which was declared effective by the Securities and Exchange Commission, or SEC, on July 17, 2019.</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Morgan Stanley &amp; Co. LLC, BofA Securities, Inc. and SVB Leerink LLC. acted as joint book-running managers for our IPO. The IPO commenced on July 17, 2019 and terminated without the sale of the 675,000 shares registered for potential issuance upon exercise of the underwriters’ option to purchase additional shares in the IPO.</w:t>
      </w:r>
    </w:p>
    <w:p>
      <w:pPr>
        <w:spacing w:after="0" w:line="190"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We received aggregate gross proceeds from our IPO of $72.0 million, or aggregate net proceeds of $63.9 million after deducting underwriting discounts and commissions and offering expenses payable by us. None of the underwriting discounts and commissions or offering expenses were incurred or paid to directors or officers of ours or their associates or to persons owning 10% or more of our common stock or to any of our affiliates.</w:t>
      </w:r>
    </w:p>
    <w:p>
      <w:pPr>
        <w:spacing w:after="0" w:line="149"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have used approximately $26.5 million of the net proceeds from the IPO as of September 30, 2020 to fund the clinical development of losmapimod, to advance our pipeline of clinical-stage and preclinical product candidates, and to research and develop additional preclinical product candidates using our platform, and for working capital and other general corporate purposes. We have invested the unused net proceeds from the offering in cash equivalents and marketable securities. There has been no material change in our planned use of the net proceeds from our IPO as described in our final prospectus filed pursuant to Rule 424(b)(4) under the Securities Act with the SEC on July 18, 2019.</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Issuer Purchases of Equity Securities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(c) Total 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94"/>
              </w:rPr>
              <w:t>(d) Approximate</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(a) Total</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(b) Average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5760" w:type="dxa"/>
            <w:vAlign w:val="bottom"/>
            <w:gridSpan w:val="3"/>
            <w:vMerge w:val="continue"/>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Purchased(1)</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or Programs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July 1, 2020 through July 31, 2020</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4,581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gridSpan w:val="3"/>
          </w:tcPr>
          <w:p>
            <w:pPr>
              <w:spacing w:after="0"/>
              <w:rPr>
                <w:sz w:val="20"/>
                <w:szCs w:val="20"/>
                <w:color w:val="auto"/>
              </w:rPr>
            </w:pPr>
            <w:r>
              <w:rPr>
                <w:rFonts w:ascii="Arial" w:cs="Arial" w:eastAsia="Arial" w:hAnsi="Arial"/>
                <w:sz w:val="18"/>
                <w:szCs w:val="18"/>
                <w:color w:val="auto"/>
              </w:rPr>
              <w:t>August 1, 2020 through August 31,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September 1, 2020 through September 30, 2020</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36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38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shares of unvested common stock that were repurchased by us from certain former employees upon termination of employment in accordance with the terms of the applicable employee's restricted stock agreement. We repurchased the shares from the former employees at the original purchase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2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00" w:type="dxa"/>
            <w:vAlign w:val="bottom"/>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20" w:type="dxa"/>
            <w:vAlign w:val="bottom"/>
            <w:gridSpan w:val="10"/>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Collaboration and License Agreement, dated as of July 20, 2020, by and between the Registrant and MyoKardia, Inc.</w:t>
              </w:r>
            </w:hyperlink>
          </w:p>
        </w:tc>
        <w:tc>
          <w:tcPr>
            <w:tcW w:w="0" w:type="dxa"/>
            <w:vAlign w:val="bottom"/>
          </w:tcPr>
          <w:p>
            <w:pPr>
              <w:spacing w:after="0"/>
              <w:rPr>
                <w:sz w:val="1"/>
                <w:szCs w:val="1"/>
                <w:color w:val="auto"/>
              </w:rPr>
            </w:pPr>
          </w:p>
        </w:tc>
      </w:tr>
      <w:tr>
        <w:trPr>
          <w:trHeight w:val="190"/>
        </w:trPr>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6"/>
                <w:szCs w:val="16"/>
                <w:color w:val="auto"/>
              </w:rPr>
            </w:pPr>
          </w:p>
        </w:tc>
        <w:tc>
          <w:tcPr>
            <w:tcW w:w="9440" w:type="dxa"/>
            <w:vAlign w:val="bottom"/>
            <w:tcBorders>
              <w:bottom w:val="single" w:sz="8" w:color="0000EE"/>
            </w:tcBorders>
            <w:gridSpan w:val="6"/>
          </w:tcPr>
          <w:p>
            <w:pPr>
              <w:spacing w:after="0" w:line="190"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First Amendment to the Right of Reference and License Agreement, dated as of September 23, 2020, by and among the Registrant,</w:t>
              </w:r>
            </w:hyperlink>
          </w:p>
        </w:tc>
        <w:tc>
          <w:tcPr>
            <w:tcW w:w="9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53">
              <w:r>
                <w:rPr>
                  <w:rFonts w:ascii="Arial" w:cs="Arial" w:eastAsia="Arial" w:hAnsi="Arial"/>
                  <w:sz w:val="18"/>
                  <w:szCs w:val="18"/>
                  <w:color w:val="0000EE"/>
                  <w:w w:val="94"/>
                </w:rPr>
                <w:t>GlaxoSmithKline Intellectual Property (No. 2) Limited, GlaxoSmithKline LLC and Glaxo Group Limited.</w:t>
              </w:r>
            </w:hyperlink>
          </w:p>
        </w:tc>
        <w:tc>
          <w:tcPr>
            <w:tcW w:w="26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2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56">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56">
              <w:r>
                <w:rPr>
                  <w:rFonts w:ascii="Arial" w:cs="Arial" w:eastAsia="Arial" w:hAnsi="Arial"/>
                  <w:sz w:val="18"/>
                  <w:szCs w:val="18"/>
                  <w:color w:val="0000EE"/>
                  <w:w w:val="90"/>
                </w:rPr>
                <w:t>Pursuant to Section 302 of the Sarbanes-Oxley Act of 2002.</w:t>
              </w:r>
            </w:hyperlink>
          </w:p>
        </w:tc>
        <w:tc>
          <w:tcPr>
            <w:tcW w:w="60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340" w:type="dxa"/>
            <w:vAlign w:val="bottom"/>
            <w:gridSpan w:val="11"/>
          </w:tcPr>
          <w:p>
            <w:pPr>
              <w:spacing w:after="0"/>
              <w:rPr>
                <w:rFonts w:ascii="Arial" w:cs="Arial" w:eastAsia="Arial" w:hAnsi="Arial"/>
                <w:sz w:val="18"/>
                <w:szCs w:val="18"/>
                <w:color w:val="0000EE"/>
                <w:w w:val="92"/>
              </w:rPr>
            </w:pPr>
            <w:hyperlink w:anchor="page157">
              <w:r>
                <w:rPr>
                  <w:rFonts w:ascii="Arial" w:cs="Arial" w:eastAsia="Arial" w:hAnsi="Arial"/>
                  <w:sz w:val="18"/>
                  <w:szCs w:val="18"/>
                  <w:color w:val="0000EE"/>
                  <w:w w:val="92"/>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57">
              <w:r>
                <w:rPr>
                  <w:rFonts w:ascii="Arial" w:cs="Arial" w:eastAsia="Arial" w:hAnsi="Arial"/>
                  <w:sz w:val="18"/>
                  <w:szCs w:val="18"/>
                  <w:color w:val="0000EE"/>
                  <w:w w:val="90"/>
                </w:rPr>
                <w:t>Pursuant to Section 302 of the Sarbanes-Oxley Act of 2002.</w:t>
              </w:r>
            </w:hyperlink>
          </w:p>
        </w:tc>
        <w:tc>
          <w:tcPr>
            <w:tcW w:w="5900" w:type="dxa"/>
            <w:vAlign w:val="bottom"/>
            <w:tcBorders>
              <w:top w:val="single" w:sz="8" w:color="0000EE"/>
            </w:tcBorders>
            <w:gridSpan w:val="4"/>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58">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3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58">
              <w:r>
                <w:rPr>
                  <w:rFonts w:ascii="Arial" w:cs="Arial" w:eastAsia="Arial" w:hAnsi="Arial"/>
                  <w:sz w:val="18"/>
                  <w:szCs w:val="18"/>
                  <w:color w:val="0000EE"/>
                  <w:w w:val="91"/>
                </w:rPr>
                <w:t>Act of 2002.</w:t>
              </w:r>
            </w:hyperlink>
          </w:p>
        </w:tc>
        <w:tc>
          <w:tcPr>
            <w:tcW w:w="9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3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59">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of 2002.</w:t>
              </w:r>
            </w:hyperlink>
          </w:p>
        </w:tc>
        <w:tc>
          <w:tcPr>
            <w:tcW w:w="97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1"/>
                <w:szCs w:val="21"/>
                <w:color w:val="auto"/>
              </w:rPr>
            </w:pPr>
          </w:p>
        </w:tc>
        <w:tc>
          <w:tcPr>
            <w:tcW w:w="1034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1034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103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103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103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0"/>
                <w:szCs w:val="20"/>
                <w:color w:val="auto"/>
              </w:rPr>
            </w:pPr>
          </w:p>
        </w:tc>
        <w:tc>
          <w:tcPr>
            <w:tcW w:w="103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9" w:lineRule="exact"/>
        <w:rPr>
          <w:sz w:val="20"/>
          <w:szCs w:val="20"/>
          <w:color w:val="auto"/>
        </w:rPr>
      </w:pPr>
    </w:p>
    <w:p>
      <w:pPr>
        <w:ind w:left="500" w:right="640" w:hanging="492"/>
        <w:spacing w:after="0" w:line="27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would likely cause competitive harm to the Registrant if disclosed.</w:t>
      </w:r>
    </w:p>
    <w:p>
      <w:pPr>
        <w:spacing w:after="0" w:line="2"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1720"/>
              <w:spacing w:after="0"/>
              <w:rPr>
                <w:sz w:val="20"/>
                <w:szCs w:val="20"/>
                <w:color w:val="auto"/>
              </w:rPr>
            </w:pPr>
            <w:r>
              <w:rPr>
                <w:rFonts w:ascii="Arial" w:cs="Arial" w:eastAsia="Arial" w:hAnsi="Arial"/>
                <w:sz w:val="18"/>
                <w:szCs w:val="18"/>
                <w:color w:val="auto"/>
              </w:rPr>
              <w:t>FULCRUM THERAPEUTICS, INC.</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November 10, 2020</w:t>
            </w:r>
          </w:p>
        </w:tc>
        <w:tc>
          <w:tcPr>
            <w:tcW w:w="2040" w:type="dxa"/>
            <w:vAlign w:val="bottom"/>
          </w:tcPr>
          <w:p>
            <w:pPr>
              <w:ind w:left="172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J. Gould</w:t>
            </w:r>
          </w:p>
        </w:tc>
      </w:tr>
      <w:tr>
        <w:trPr>
          <w:trHeight w:val="222"/>
        </w:trPr>
        <w:tc>
          <w:tcPr>
            <w:tcW w:w="35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0"/>
              </w:rPr>
              <w:t>Robert J. Gould, Ph.D.</w:t>
            </w:r>
          </w:p>
        </w:tc>
      </w:tr>
      <w:tr>
        <w:trPr>
          <w:trHeight w:val="230"/>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President, Director</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November 10, 2020</w:t>
            </w:r>
          </w:p>
        </w:tc>
        <w:tc>
          <w:tcPr>
            <w:tcW w:w="2040" w:type="dxa"/>
            <w:vAlign w:val="bottom"/>
          </w:tcPr>
          <w:p>
            <w:pPr>
              <w:ind w:left="172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Bryan Stuart</w:t>
            </w:r>
          </w:p>
        </w:tc>
      </w:tr>
      <w:tr>
        <w:trPr>
          <w:trHeight w:val="224"/>
        </w:trPr>
        <w:tc>
          <w:tcPr>
            <w:tcW w:w="35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Bryan Stuart</w:t>
            </w:r>
          </w:p>
        </w:tc>
      </w:tr>
    </w:tbl>
    <w:p>
      <w:pPr>
        <w:ind w:left="6520"/>
        <w:spacing w:after="0"/>
        <w:rPr>
          <w:sz w:val="20"/>
          <w:szCs w:val="20"/>
          <w:color w:val="auto"/>
        </w:rPr>
      </w:pPr>
      <w:r>
        <w:rPr>
          <w:rFonts w:ascii="Arial" w:cs="Arial" w:eastAsia="Arial" w:hAnsi="Arial"/>
          <w:sz w:val="18"/>
          <w:szCs w:val="18"/>
          <w:color w:val="auto"/>
        </w:rPr>
        <w:t>Chief Operating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33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Exhibit.10.1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40"/>
        <w:spacing w:after="0" w:line="250" w:lineRule="auto"/>
        <w:rPr>
          <w:sz w:val="20"/>
          <w:szCs w:val="20"/>
          <w:color w:val="auto"/>
        </w:rPr>
      </w:pPr>
      <w:r>
        <w:rPr>
          <w:rFonts w:ascii="Arial" w:cs="Arial" w:eastAsia="Arial" w:hAnsi="Arial"/>
          <w:sz w:val="22"/>
          <w:szCs w:val="22"/>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COLLABORATION AND LICENSE AGREEMENT</w:t>
      </w:r>
    </w:p>
    <w:p>
      <w:pPr>
        <w:spacing w:after="0" w:line="20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BY AND BETWEEN</w:t>
      </w:r>
    </w:p>
    <w:p>
      <w:pPr>
        <w:spacing w:after="0" w:line="20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FULCRUM THERAPEUTICS, INC.</w:t>
      </w:r>
    </w:p>
    <w:p>
      <w:pPr>
        <w:spacing w:after="0" w:line="20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MYOKARDIA,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713740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80" w:top="11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color w:val="auto"/>
        </w:rPr>
        <w:t>COLLABORATION AND LICENSE AGREEMENT</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This Collaboration and License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July 20, 2020 (the “</w:t>
      </w:r>
      <w:r>
        <w:rPr>
          <w:rFonts w:ascii="Arial" w:cs="Arial" w:eastAsia="Arial" w:hAnsi="Arial"/>
          <w:sz w:val="22"/>
          <w:szCs w:val="22"/>
          <w:b w:val="1"/>
          <w:b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by and between Fulcrum Therapeutics, Inc., a corporation organized under the laws of the State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Fulcrum</w:t>
      </w:r>
      <w:r>
        <w:rPr>
          <w:rFonts w:ascii="Arial" w:cs="Arial" w:eastAsia="Arial" w:hAnsi="Arial"/>
          <w:sz w:val="22"/>
          <w:szCs w:val="22"/>
          <w:color w:val="auto"/>
        </w:rPr>
        <w:t>”), and MyoKardia, Inc., a corporation organized under the laws of the State of Delaware (“</w:t>
      </w:r>
      <w:r>
        <w:rPr>
          <w:rFonts w:ascii="Arial" w:cs="Arial" w:eastAsia="Arial" w:hAnsi="Arial"/>
          <w:sz w:val="22"/>
          <w:szCs w:val="22"/>
          <w:b w:val="1"/>
          <w:bCs w:val="1"/>
          <w:color w:val="auto"/>
        </w:rPr>
        <w:t>MyoKardia</w:t>
      </w:r>
      <w:r>
        <w:rPr>
          <w:rFonts w:ascii="Arial" w:cs="Arial" w:eastAsia="Arial" w:hAnsi="Arial"/>
          <w:sz w:val="22"/>
          <w:szCs w:val="22"/>
          <w:color w:val="auto"/>
        </w:rPr>
        <w:t>”). MyoKardia and Fulcrum each may be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or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Fulcrum owns or controls certain intellectual property relating to the interrogation, analysis and mapping</w:t>
      </w:r>
      <w:r>
        <w:rPr>
          <w:rFonts w:ascii="Arial" w:cs="Arial" w:eastAsia="Arial" w:hAnsi="Arial"/>
          <w:sz w:val="21"/>
          <w:szCs w:val="21"/>
          <w:b w:val="1"/>
          <w:bCs w:val="1"/>
          <w:color w:val="auto"/>
        </w:rPr>
        <w:t xml:space="preserve"> </w:t>
      </w:r>
      <w:r>
        <w:rPr>
          <w:rFonts w:ascii="Arial" w:cs="Arial" w:eastAsia="Arial" w:hAnsi="Arial"/>
          <w:sz w:val="21"/>
          <w:szCs w:val="21"/>
          <w:color w:val="auto"/>
        </w:rPr>
        <w:t>of novel signaling pathways regulating gene expression within biological systems in support of the identification of gene or protein targets amenable to therapeutic (whether prophylactic, palliative, diagnostic or curative) interventions;</w:t>
      </w:r>
    </w:p>
    <w:p>
      <w:pPr>
        <w:spacing w:after="0" w:line="16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MyoKardia owns or controls certain intellectual property relating to cardiovascular research and disease</w:t>
      </w:r>
      <w:r>
        <w:rPr>
          <w:rFonts w:ascii="Arial" w:cs="Arial" w:eastAsia="Arial" w:hAnsi="Arial"/>
          <w:sz w:val="22"/>
          <w:szCs w:val="22"/>
          <w:b w:val="1"/>
          <w:bCs w:val="1"/>
          <w:color w:val="auto"/>
        </w:rPr>
        <w:t xml:space="preserve"> </w:t>
      </w:r>
      <w:r>
        <w:rPr>
          <w:rFonts w:ascii="Arial" w:cs="Arial" w:eastAsia="Arial" w:hAnsi="Arial"/>
          <w:sz w:val="22"/>
          <w:szCs w:val="22"/>
          <w:color w:val="auto"/>
        </w:rPr>
        <w:t>and is a biopharmaceutical company dedicated to the discovery, development, and commercialization of therapeutics to treat serious and rare diseases, including cardiomyopathies;</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MyoKardia and Fulcrum desire to enter into this Agreement, pursuant to which MyoKardia and Fulcrum</w:t>
      </w:r>
      <w:r>
        <w:rPr>
          <w:rFonts w:ascii="Arial" w:cs="Arial" w:eastAsia="Arial" w:hAnsi="Arial"/>
          <w:sz w:val="22"/>
          <w:szCs w:val="22"/>
          <w:b w:val="1"/>
          <w:bCs w:val="1"/>
          <w:color w:val="auto"/>
        </w:rPr>
        <w:t xml:space="preserve"> </w:t>
      </w:r>
      <w:r>
        <w:rPr>
          <w:rFonts w:ascii="Arial" w:cs="Arial" w:eastAsia="Arial" w:hAnsi="Arial"/>
          <w:sz w:val="22"/>
          <w:szCs w:val="22"/>
          <w:color w:val="auto"/>
        </w:rPr>
        <w:t>will work to identify one or more target(s) capable of modulating one or more certain gene(s) of interest for the treatment of one or more genetically defined cardiomyopathies and other indications; and</w:t>
      </w:r>
    </w:p>
    <w:p>
      <w:pPr>
        <w:spacing w:after="0" w:line="177"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MyoKardia may subsequently exploit products that bind to and modulate the activity of, or express, one</w:t>
      </w:r>
      <w:r>
        <w:rPr>
          <w:rFonts w:ascii="Arial" w:cs="Arial" w:eastAsia="Arial" w:hAnsi="Arial"/>
          <w:sz w:val="19"/>
          <w:szCs w:val="19"/>
          <w:b w:val="1"/>
          <w:bCs w:val="1"/>
          <w:color w:val="auto"/>
        </w:rPr>
        <w:t xml:space="preserve"> </w:t>
      </w:r>
      <w:r>
        <w:rPr>
          <w:rFonts w:ascii="Arial" w:cs="Arial" w:eastAsia="Arial" w:hAnsi="Arial"/>
          <w:sz w:val="19"/>
          <w:szCs w:val="19"/>
          <w:color w:val="auto"/>
        </w:rPr>
        <w:t>or more selected cardiomyopathy target(s), in accordance with the terms and subject to the conditions set forth in this Agreement.</w:t>
      </w:r>
    </w:p>
    <w:p>
      <w:pPr>
        <w:spacing w:after="0" w:line="94"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and covenants set forth below and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is hereby acknowledged, the Parties hereto agree as follows: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For purposes of this Agreement, the following capitalized terms will have the following meanings:</w:t>
      </w:r>
    </w:p>
    <w:p>
      <w:pPr>
        <w:spacing w:after="0" w:line="20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AAA</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12.1.3</w:t>
      </w:r>
      <w:r>
        <w:rPr>
          <w:rFonts w:ascii="Arial" w:cs="Arial" w:eastAsia="Arial" w:hAnsi="Arial"/>
          <w:sz w:val="19"/>
          <w:szCs w:val="19"/>
          <w:color w:val="auto"/>
        </w:rPr>
        <w:t xml:space="preserve"> (Resolution by Mediation).</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Abandoned Patent Right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7.4.3</w:t>
      </w:r>
      <w:r>
        <w:rPr>
          <w:rFonts w:ascii="Arial" w:cs="Arial" w:eastAsia="Arial" w:hAnsi="Arial"/>
          <w:sz w:val="19"/>
          <w:szCs w:val="19"/>
          <w:color w:val="auto"/>
        </w:rPr>
        <w:t xml:space="preserve"> (Joint Patent Rights).</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1.3 “</w:t>
      </w:r>
      <w:r>
        <w:rPr>
          <w:rFonts w:ascii="Arial" w:cs="Arial" w:eastAsia="Arial" w:hAnsi="Arial"/>
          <w:sz w:val="22"/>
          <w:szCs w:val="22"/>
          <w:b w:val="1"/>
          <w:bCs w:val="1"/>
          <w:color w:val="auto"/>
        </w:rPr>
        <w:t>Acquired Party</w:t>
      </w:r>
      <w:r>
        <w:rPr>
          <w:rFonts w:ascii="Arial" w:cs="Arial" w:eastAsia="Arial" w:hAnsi="Arial"/>
          <w:sz w:val="22"/>
          <w:szCs w:val="22"/>
          <w:color w:val="auto"/>
        </w:rPr>
        <w:t>” means (a) any Third Party that Fulcrum acquires through an Affiliate Acquisition following the Effective Date, and (b) any of such Third Party’s Affiliates (other than Fulcrum or any Affiliate of Fulcrum that existed prior to such Affiliate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9" w:name="page90"/>
    <w:bookmarkEnd w:id="89"/>
    <w:p>
      <w:pPr>
        <w:ind w:left="880"/>
        <w:spacing w:after="0"/>
        <w:tabs>
          <w:tab w:leader="none" w:pos="17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Acquired Product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6.3.5(b)</w:t>
      </w:r>
      <w:r>
        <w:rPr>
          <w:rFonts w:ascii="Arial" w:cs="Arial" w:eastAsia="Arial" w:hAnsi="Arial"/>
          <w:sz w:val="19"/>
          <w:szCs w:val="19"/>
          <w:color w:val="auto"/>
        </w:rPr>
        <w:t xml:space="preserve"> (Skipped Milestones).</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color w:val="auto"/>
        </w:rPr>
        <w:t>Acquiring Party</w:t>
      </w:r>
      <w:r>
        <w:rPr>
          <w:rFonts w:ascii="Arial" w:cs="Arial" w:eastAsia="Arial" w:hAnsi="Arial"/>
          <w:sz w:val="22"/>
          <w:szCs w:val="22"/>
          <w:color w:val="auto"/>
        </w:rPr>
        <w:t>” means (a) any Third Party that acquires Fulcrum through a Change of Control of Fulcrum following the Effective Date, and (b) any of such Third Party’s Affiliates (other than Fulcrum or any Affiliate of Fulcrum that existed prior to such Change of Control).</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7.4.5</w:t>
      </w:r>
      <w:r>
        <w:rPr>
          <w:rFonts w:ascii="Arial" w:cs="Arial" w:eastAsia="Arial" w:hAnsi="Arial"/>
          <w:sz w:val="19"/>
          <w:szCs w:val="19"/>
          <w:color w:val="auto"/>
        </w:rPr>
        <w:t xml:space="preserve"> (Cooperation).</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1.7 “</w:t>
      </w:r>
      <w:r>
        <w:rPr>
          <w:rFonts w:ascii="Arial" w:cs="Arial" w:eastAsia="Arial" w:hAnsi="Arial"/>
          <w:sz w:val="22"/>
          <w:szCs w:val="22"/>
          <w:b w:val="1"/>
          <w:bCs w:val="1"/>
          <w:color w:val="auto"/>
        </w:rPr>
        <w:t>Additional Cardiomyopathy Target</w:t>
      </w:r>
      <w:r>
        <w:rPr>
          <w:rFonts w:ascii="Arial" w:cs="Arial" w:eastAsia="Arial" w:hAnsi="Arial"/>
          <w:sz w:val="22"/>
          <w:szCs w:val="22"/>
          <w:color w:val="auto"/>
        </w:rPr>
        <w:t xml:space="preserve">” means a Cardiomyopathy Target Candidate that modulates the expression of a Potential Project Gene other than the Lead Project Gene selected in accordance with </w:t>
      </w:r>
      <w:r>
        <w:rPr>
          <w:rFonts w:ascii="Arial" w:cs="Arial" w:eastAsia="Arial" w:hAnsi="Arial"/>
          <w:sz w:val="22"/>
          <w:szCs w:val="22"/>
          <w:u w:val="single" w:color="auto"/>
          <w:color w:val="auto"/>
        </w:rPr>
        <w:t>Section 3.6.6</w:t>
      </w:r>
      <w:r>
        <w:rPr>
          <w:rFonts w:ascii="Arial" w:cs="Arial" w:eastAsia="Arial" w:hAnsi="Arial"/>
          <w:sz w:val="22"/>
          <w:szCs w:val="22"/>
          <w:color w:val="auto"/>
        </w:rPr>
        <w:t xml:space="preserve"> (Selection of Follow-On Cardiomyopathy Targets and Additional Cardiomyopathy Targets). An Additional Cardiomyopathy Target will also include any [**]. With respect to the immediately preceding sentence, any [**] intended to be included as described in such sentence shall be identified and documented in writing at the time that Selected Targets are designated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3.6.2</w:t>
      </w:r>
      <w:r>
        <w:rPr>
          <w:rFonts w:ascii="Arial" w:cs="Arial" w:eastAsia="Arial" w:hAnsi="Arial"/>
          <w:sz w:val="22"/>
          <w:szCs w:val="22"/>
          <w:color w:val="auto"/>
        </w:rPr>
        <w:t xml:space="preserve"> (Part 1 Validation).</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color w:val="auto"/>
        </w:rPr>
        <w:t>Additional Project Gene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3.6.6</w:t>
      </w:r>
      <w:r>
        <w:rPr>
          <w:rFonts w:ascii="Arial" w:cs="Arial" w:eastAsia="Arial" w:hAnsi="Arial"/>
          <w:sz w:val="22"/>
          <w:szCs w:val="22"/>
          <w:color w:val="auto"/>
        </w:rPr>
        <w:t xml:space="preserve"> (Selection of Follow-On Cardiomyopathy Targets and Additional Cardiomyopathy Targets).</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1.9 “</w:t>
      </w:r>
      <w:r>
        <w:rPr>
          <w:rFonts w:ascii="Arial" w:cs="Arial" w:eastAsia="Arial" w:hAnsi="Arial"/>
          <w:sz w:val="22"/>
          <w:szCs w:val="22"/>
          <w:b w:val="1"/>
          <w:bCs w:val="1"/>
          <w:color w:val="auto"/>
        </w:rPr>
        <w:t>Additional Project Gene Exclusive Indications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3.6.6</w:t>
      </w:r>
      <w:r>
        <w:rPr>
          <w:rFonts w:ascii="Arial" w:cs="Arial" w:eastAsia="Arial" w:hAnsi="Arial"/>
          <w:sz w:val="22"/>
          <w:szCs w:val="22"/>
          <w:color w:val="auto"/>
        </w:rPr>
        <w:t xml:space="preserve"> (Selection of Follow-On Cardiomyopathy Targets and Additional Cardiomyopathy Targets).</w:t>
      </w:r>
    </w:p>
    <w:p>
      <w:pPr>
        <w:spacing w:after="0" w:line="16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b w:val="1"/>
          <w:bCs w:val="1"/>
          <w:color w:val="auto"/>
        </w:rPr>
        <w:t>Affiliate</w:t>
      </w:r>
      <w:r>
        <w:rPr>
          <w:rFonts w:ascii="Arial" w:cs="Arial" w:eastAsia="Arial" w:hAnsi="Arial"/>
          <w:sz w:val="22"/>
          <w:szCs w:val="22"/>
          <w:color w:val="auto"/>
        </w:rPr>
        <w:t>” means, as of any point in time and for so long as such relationship continues to exist, with respect to a Party, any other Person that controls, is controlled by or is under common control with such Party. For purposes of this definition, “control” means that a Person (a) owns or controls, directly or indirectly, more than fifty percent (50%) of the equity securities of the subject Person entitled to vote in the election of directors (or, in the case of a Person that is not a corporation, for the election of the corresponding managing authority), or (b) possesses, directly or indirectly, the power to direct or cause the direction of the management or policies of such Person (whether through ownership of securities or other ownership interests, by contract or otherwise).</w:t>
      </w:r>
    </w:p>
    <w:p>
      <w:pPr>
        <w:spacing w:after="0" w:line="18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Affiliate Acquisition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5.5.3</w:t>
      </w:r>
      <w:r>
        <w:rPr>
          <w:rFonts w:ascii="Arial" w:cs="Arial" w:eastAsia="Arial" w:hAnsi="Arial"/>
          <w:sz w:val="19"/>
          <w:szCs w:val="19"/>
          <w:color w:val="auto"/>
        </w:rPr>
        <w:t xml:space="preserve"> (Exception for Affiliate Acquisition).</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preamble to this Agreement.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Anticipated Research Budget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(Reporting).</w:t>
      </w:r>
    </w:p>
    <w:p>
      <w:pPr>
        <w:spacing w:after="0" w:line="206" w:lineRule="exact"/>
        <w:rPr>
          <w:sz w:val="20"/>
          <w:szCs w:val="20"/>
          <w:color w:val="auto"/>
        </w:rPr>
      </w:pPr>
    </w:p>
    <w:p>
      <w:pPr>
        <w:jc w:val="both"/>
        <w:ind w:right="20" w:firstLine="864"/>
        <w:spacing w:after="0" w:line="280" w:lineRule="auto"/>
        <w:rPr>
          <w:sz w:val="20"/>
          <w:szCs w:val="20"/>
          <w:color w:val="auto"/>
        </w:rPr>
      </w:pPr>
      <w:r>
        <w:rPr>
          <w:rFonts w:ascii="Arial" w:cs="Arial" w:eastAsia="Arial" w:hAnsi="Arial"/>
          <w:sz w:val="21"/>
          <w:szCs w:val="21"/>
          <w:color w:val="auto"/>
        </w:rPr>
        <w:t>1.14 “</w:t>
      </w:r>
      <w:r>
        <w:rPr>
          <w:rFonts w:ascii="Arial" w:cs="Arial" w:eastAsia="Arial" w:hAnsi="Arial"/>
          <w:sz w:val="21"/>
          <w:szCs w:val="21"/>
          <w:b w:val="1"/>
          <w:bCs w:val="1"/>
          <w:color w:val="auto"/>
        </w:rPr>
        <w:t>Applicable Law</w:t>
      </w:r>
      <w:r>
        <w:rPr>
          <w:rFonts w:ascii="Arial" w:cs="Arial" w:eastAsia="Arial" w:hAnsi="Arial"/>
          <w:sz w:val="21"/>
          <w:szCs w:val="21"/>
          <w:color w:val="auto"/>
        </w:rPr>
        <w:t>” means all applicable laws, statutes, rules, regulations (including any applicable rules, regulations, guidelines, or other requirements of Regulatory Authorities) that may be in effect from time to time.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0" w:name="page91"/>
    <w:bookmarkEnd w:id="90"/>
    <w:p>
      <w:pPr>
        <w:spacing w:after="0" w:line="223" w:lineRule="auto"/>
        <w:framePr w:w="440" w:h="192" w:wrap="auto" w:vAnchor="page" w:hAnchor="page" w:x="1160" w:y="5510"/>
        <w:rPr>
          <w:rFonts w:ascii="Arial" w:cs="Arial" w:eastAsia="Arial" w:hAnsi="Arial"/>
          <w:sz w:val="18"/>
          <w:szCs w:val="18"/>
          <w:color w:val="auto"/>
        </w:rPr>
      </w:pPr>
      <w:r>
        <w:rPr>
          <w:rFonts w:ascii="Arial" w:cs="Arial" w:eastAsia="Arial" w:hAnsi="Arial"/>
          <w:sz w:val="18"/>
          <w:szCs w:val="18"/>
          <w:color w:val="auto"/>
        </w:rPr>
        <w:t>1.23</w:t>
      </w:r>
    </w:p>
    <w:p>
      <w:pPr>
        <w:spacing w:after="0" w:line="211" w:lineRule="auto"/>
        <w:framePr w:w="1480" w:h="192" w:wrap="auto" w:vAnchor="page" w:hAnchor="page" w:x="280" w:y="5753"/>
        <w:rPr>
          <w:rFonts w:ascii="Arial" w:cs="Arial" w:eastAsia="Arial" w:hAnsi="Arial"/>
          <w:sz w:val="19"/>
          <w:szCs w:val="19"/>
          <w:color w:val="auto"/>
        </w:rPr>
      </w:pPr>
      <w:r>
        <w:rPr>
          <w:rFonts w:ascii="Arial" w:cs="Arial" w:eastAsia="Arial" w:hAnsi="Arial"/>
          <w:sz w:val="19"/>
          <w:szCs w:val="19"/>
          <w:color w:val="auto"/>
        </w:rPr>
        <w:t>of May 3, 2019.</w:t>
      </w:r>
    </w:p>
    <w:p>
      <w:pPr>
        <w:ind w:left="880"/>
        <w:spacing w:after="0"/>
        <w:tabs>
          <w:tab w:leader="none" w:pos="18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Approval Milestones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6.3.5(b)</w:t>
      </w:r>
      <w:r>
        <w:rPr>
          <w:rFonts w:ascii="Arial" w:cs="Arial" w:eastAsia="Arial" w:hAnsi="Arial"/>
          <w:sz w:val="19"/>
          <w:szCs w:val="19"/>
          <w:color w:val="auto"/>
        </w:rPr>
        <w:t xml:space="preserve"> (Skipped Milestones).</w:t>
      </w:r>
    </w:p>
    <w:p>
      <w:pPr>
        <w:spacing w:after="0" w:line="206" w:lineRule="exact"/>
        <w:rPr>
          <w:rFonts w:ascii="Arial" w:cs="Arial" w:eastAsia="Arial" w:hAnsi="Arial"/>
          <w:sz w:val="19"/>
          <w:szCs w:val="19"/>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Bankruptcy Code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10.2.4(b)</w:t>
      </w:r>
      <w:r>
        <w:rPr>
          <w:rFonts w:ascii="Arial" w:cs="Arial" w:eastAsia="Arial" w:hAnsi="Arial"/>
          <w:sz w:val="19"/>
          <w:szCs w:val="19"/>
          <w:color w:val="auto"/>
        </w:rPr>
        <w:t xml:space="preserve"> (Termination for Insolvency).</w:t>
      </w:r>
    </w:p>
    <w:p>
      <w:pPr>
        <w:spacing w:after="0" w:line="206" w:lineRule="exact"/>
        <w:rPr>
          <w:rFonts w:ascii="Arial" w:cs="Arial" w:eastAsia="Arial" w:hAnsi="Arial"/>
          <w:sz w:val="19"/>
          <w:szCs w:val="19"/>
          <w:color w:val="auto"/>
        </w:rPr>
      </w:pPr>
    </w:p>
    <w:p>
      <w:pPr>
        <w:jc w:val="both"/>
        <w:ind w:firstLine="864"/>
        <w:spacing w:after="0" w:line="256"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Sunday or bank or other public holiday in Boston, Massachusetts or San Francisco, California.</w:t>
      </w:r>
    </w:p>
    <w:p>
      <w:pPr>
        <w:spacing w:after="0" w:line="162" w:lineRule="exact"/>
        <w:rPr>
          <w:rFonts w:ascii="Arial" w:cs="Arial" w:eastAsia="Arial" w:hAnsi="Arial"/>
          <w:sz w:val="19"/>
          <w:szCs w:val="19"/>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b w:val="1"/>
          <w:bCs w:val="1"/>
          <w:color w:val="auto"/>
        </w:rPr>
        <w:t>Calendar Quarter</w:t>
      </w:r>
      <w:r>
        <w:rPr>
          <w:rFonts w:ascii="Arial" w:cs="Arial" w:eastAsia="Arial" w:hAnsi="Arial"/>
          <w:sz w:val="22"/>
          <w:szCs w:val="22"/>
          <w:color w:val="auto"/>
        </w:rPr>
        <w:t>” means the respective periods of three consecutive calendar months ending on March 31, June 30, September 30 or December 31, during the Term, or the applicable part thereof during the first or last calendar quarter of the Term.</w:t>
      </w:r>
    </w:p>
    <w:p>
      <w:pPr>
        <w:spacing w:after="0" w:line="177" w:lineRule="exact"/>
        <w:rPr>
          <w:rFonts w:ascii="Arial" w:cs="Arial" w:eastAsia="Arial" w:hAnsi="Arial"/>
          <w:sz w:val="19"/>
          <w:szCs w:val="19"/>
          <w:color w:val="auto"/>
        </w:rPr>
      </w:pPr>
    </w:p>
    <w:p>
      <w:pPr>
        <w:jc w:val="both"/>
        <w:ind w:firstLine="864"/>
        <w:spacing w:after="0" w:line="256"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b w:val="1"/>
          <w:bCs w:val="1"/>
          <w:color w:val="auto"/>
        </w:rPr>
        <w:t>Calendar Year</w:t>
      </w:r>
      <w:r>
        <w:rPr>
          <w:rFonts w:ascii="Arial" w:cs="Arial" w:eastAsia="Arial" w:hAnsi="Arial"/>
          <w:sz w:val="22"/>
          <w:szCs w:val="22"/>
          <w:color w:val="auto"/>
        </w:rPr>
        <w:t>” means any calendar year ending on December 31, or the applicable part thereof during the first or last calendar year of the Term.</w:t>
      </w:r>
    </w:p>
    <w:p>
      <w:pPr>
        <w:spacing w:after="0" w:line="162" w:lineRule="exact"/>
        <w:rPr>
          <w:rFonts w:ascii="Arial" w:cs="Arial" w:eastAsia="Arial" w:hAnsi="Arial"/>
          <w:sz w:val="19"/>
          <w:szCs w:val="19"/>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b w:val="1"/>
          <w:bCs w:val="1"/>
          <w:color w:val="auto"/>
        </w:rPr>
        <w:t>Cardiomyopathy Milestone Target</w:t>
      </w:r>
      <w:r>
        <w:rPr>
          <w:rFonts w:ascii="Arial" w:cs="Arial" w:eastAsia="Arial" w:hAnsi="Arial"/>
          <w:sz w:val="22"/>
          <w:szCs w:val="22"/>
          <w:color w:val="auto"/>
        </w:rPr>
        <w:t>” means an Initial Cardiomyopathy Milestone Target or a Secondary Cardiomyopathy Milestone Target.</w:t>
      </w:r>
    </w:p>
    <w:p>
      <w:pPr>
        <w:spacing w:after="0" w:line="162" w:lineRule="exact"/>
        <w:rPr>
          <w:rFonts w:ascii="Arial" w:cs="Arial" w:eastAsia="Arial" w:hAnsi="Arial"/>
          <w:sz w:val="19"/>
          <w:szCs w:val="19"/>
          <w:color w:val="auto"/>
        </w:rPr>
      </w:pPr>
    </w:p>
    <w:p>
      <w:pPr>
        <w:jc w:val="both"/>
        <w:ind w:firstLine="864"/>
        <w:spacing w:after="0" w:line="256"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Cardiomyopathy Target</w:t>
      </w:r>
      <w:r>
        <w:rPr>
          <w:rFonts w:ascii="Arial" w:cs="Arial" w:eastAsia="Arial" w:hAnsi="Arial"/>
          <w:sz w:val="22"/>
          <w:szCs w:val="22"/>
          <w:color w:val="auto"/>
        </w:rPr>
        <w:t>” means the Lead Cardiomyopathy Target, a Follow-On Cardiomyopathy Target, or an Additional Cardiomyopathy Target, as applicable.</w:t>
      </w:r>
    </w:p>
    <w:p>
      <w:pPr>
        <w:spacing w:after="0" w:line="162" w:lineRule="exact"/>
        <w:rPr>
          <w:rFonts w:ascii="Arial" w:cs="Arial" w:eastAsia="Arial" w:hAnsi="Arial"/>
          <w:sz w:val="19"/>
          <w:szCs w:val="19"/>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Cardiomyopathy Target Candidate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3.6.3</w:t>
      </w:r>
      <w:r>
        <w:rPr>
          <w:rFonts w:ascii="Arial" w:cs="Arial" w:eastAsia="Arial" w:hAnsi="Arial"/>
          <w:sz w:val="19"/>
          <w:szCs w:val="19"/>
          <w:color w:val="auto"/>
        </w:rPr>
        <w:t xml:space="preserve"> (Part 2 Validation).</w:t>
      </w:r>
    </w:p>
    <w:p>
      <w:pPr>
        <w:spacing w:after="0" w:line="206" w:lineRule="exact"/>
        <w:rPr>
          <w:rFonts w:ascii="Arial" w:cs="Arial" w:eastAsia="Arial" w:hAnsi="Arial"/>
          <w:sz w:val="19"/>
          <w:szCs w:val="19"/>
          <w:color w:val="auto"/>
        </w:rPr>
      </w:pPr>
    </w:p>
    <w:p>
      <w:pPr>
        <w:ind w:left="19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CDA</w:t>
      </w:r>
      <w:r>
        <w:rPr>
          <w:rFonts w:ascii="Arial" w:cs="Arial" w:eastAsia="Arial" w:hAnsi="Arial"/>
          <w:sz w:val="19"/>
          <w:szCs w:val="19"/>
          <w:color w:val="auto"/>
        </w:rPr>
        <w:t>” means the Confidential Disclosure Agreement by and between MyoKardia and Fulcrum, dated as</w:t>
      </w:r>
    </w:p>
    <w:p>
      <w:pPr>
        <w:spacing w:after="0" w:line="200" w:lineRule="exact"/>
        <w:rPr>
          <w:rFonts w:ascii="Arial" w:cs="Arial" w:eastAsia="Arial" w:hAnsi="Arial"/>
          <w:sz w:val="19"/>
          <w:szCs w:val="19"/>
          <w:color w:val="auto"/>
        </w:rPr>
      </w:pPr>
    </w:p>
    <w:p>
      <w:pPr>
        <w:spacing w:after="0" w:line="284" w:lineRule="exact"/>
        <w:rPr>
          <w:rFonts w:ascii="Arial" w:cs="Arial" w:eastAsia="Arial" w:hAnsi="Arial"/>
          <w:sz w:val="19"/>
          <w:szCs w:val="19"/>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Cell Toxicity Screen</w:t>
      </w:r>
      <w:r>
        <w:rPr>
          <w:rFonts w:ascii="Arial" w:cs="Arial" w:eastAsia="Arial" w:hAnsi="Arial"/>
          <w:sz w:val="19"/>
          <w:szCs w:val="19"/>
          <w:color w:val="auto"/>
        </w:rPr>
        <w:t>” means the screen identified as the Cell Toxicity Screen in Figure 2 of the Research</w:t>
      </w:r>
    </w:p>
    <w:p>
      <w:pPr>
        <w:spacing w:after="0" w:line="14"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Plan.</w:t>
      </w:r>
    </w:p>
    <w:p>
      <w:pPr>
        <w:spacing w:after="0" w:line="182" w:lineRule="exact"/>
        <w:rPr>
          <w:rFonts w:ascii="Arial" w:cs="Arial" w:eastAsia="Arial" w:hAnsi="Arial"/>
          <w:sz w:val="19"/>
          <w:szCs w:val="19"/>
          <w:color w:val="auto"/>
        </w:rPr>
      </w:pPr>
    </w:p>
    <w:p>
      <w:pPr>
        <w:jc w:val="both"/>
        <w:ind w:firstLine="864"/>
        <w:spacing w:after="0" w:line="278"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b w:val="1"/>
          <w:bCs w:val="1"/>
          <w:color w:val="auto"/>
        </w:rPr>
        <w:t>Change of Control</w:t>
      </w:r>
      <w:r>
        <w:rPr>
          <w:rFonts w:ascii="Arial" w:cs="Arial" w:eastAsia="Arial" w:hAnsi="Arial"/>
          <w:sz w:val="19"/>
          <w:szCs w:val="19"/>
          <w:color w:val="auto"/>
        </w:rPr>
        <w:t>” means, with respect to a Party, that: (a) any Third Party acquires directly or indirectly the beneficial ownership of greater than fifty percent (50%) of the outstanding voting securities of such Party; (b) a merger, consolidation, recapitalization, or reorganization of such Party is consummated that results in shareholders or equity holders of such Party immediately prior to such transaction, ceasing to own at least fifty percent (50%) of the combined outstanding voting securities of the surviving entity (or its parent entity) immediately following such transaction; (c) the shareholders or equity holders of such Party approve a plan of complete liquidation of such Party; or (d) the sale or transfer to a Third Party of all or substantially all of such Party’s consolidated assets taken as a whole, through one or more related transactions.</w:t>
      </w:r>
    </w:p>
    <w:p>
      <w:pPr>
        <w:spacing w:after="0" w:line="145" w:lineRule="exact"/>
        <w:rPr>
          <w:rFonts w:ascii="Arial" w:cs="Arial" w:eastAsia="Arial" w:hAnsi="Arial"/>
          <w:sz w:val="19"/>
          <w:szCs w:val="19"/>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Proof-of-Concept</w:t>
      </w:r>
      <w:r>
        <w:rPr>
          <w:rFonts w:ascii="Arial" w:cs="Arial" w:eastAsia="Arial" w:hAnsi="Arial"/>
          <w:sz w:val="19"/>
          <w:szCs w:val="19"/>
          <w:color w:val="auto"/>
        </w:rPr>
        <w:t>” means [**].</w:t>
      </w:r>
    </w:p>
    <w:p>
      <w:pPr>
        <w:spacing w:after="0" w:line="206" w:lineRule="exact"/>
        <w:rPr>
          <w:rFonts w:ascii="Arial" w:cs="Arial" w:eastAsia="Arial" w:hAnsi="Arial"/>
          <w:sz w:val="19"/>
          <w:szCs w:val="19"/>
          <w:color w:val="auto"/>
        </w:rPr>
      </w:pPr>
    </w:p>
    <w:p>
      <w:pPr>
        <w:jc w:val="both"/>
        <w:ind w:firstLine="864"/>
        <w:spacing w:after="0" w:line="256"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Clinical Trial</w:t>
      </w:r>
      <w:r>
        <w:rPr>
          <w:rFonts w:ascii="Arial" w:cs="Arial" w:eastAsia="Arial" w:hAnsi="Arial"/>
          <w:sz w:val="22"/>
          <w:szCs w:val="22"/>
          <w:color w:val="auto"/>
        </w:rPr>
        <w:t>” means a Phase 1 Clinical Trial, Phase 2 Clinical Trial, Phase 3 Clinical Trial, or any combination thereof.</w:t>
      </w:r>
    </w:p>
    <w:p>
      <w:pPr>
        <w:spacing w:after="0" w:line="162" w:lineRule="exact"/>
        <w:rPr>
          <w:rFonts w:ascii="Arial" w:cs="Arial" w:eastAsia="Arial" w:hAnsi="Arial"/>
          <w:sz w:val="19"/>
          <w:szCs w:val="19"/>
          <w:color w:val="auto"/>
        </w:rPr>
      </w:pPr>
    </w:p>
    <w:p>
      <w:pPr>
        <w:jc w:val="both"/>
        <w:ind w:firstLine="864"/>
        <w:spacing w:after="0" w:line="256"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b w:val="1"/>
          <w:bCs w:val="1"/>
          <w:color w:val="auto"/>
        </w:rPr>
        <w:t>Collaboration Molecule</w:t>
      </w:r>
      <w:r>
        <w:rPr>
          <w:rFonts w:ascii="Arial" w:cs="Arial" w:eastAsia="Arial" w:hAnsi="Arial"/>
          <w:sz w:val="22"/>
          <w:szCs w:val="22"/>
          <w:color w:val="auto"/>
        </w:rPr>
        <w:t>” means any therapeutic agent that (a) (i) binds to and modulates the activity of a Cardiomyopathy Target or (ii) expresses, in whole or in part, a</w:t>
      </w:r>
    </w:p>
    <w:p>
      <w:pPr>
        <w:spacing w:after="0" w:line="168" w:lineRule="exact"/>
        <w:rPr>
          <w:rFonts w:ascii="Arial" w:cs="Arial" w:eastAsia="Arial" w:hAnsi="Arial"/>
          <w:sz w:val="19"/>
          <w:szCs w:val="19"/>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1" w:name="page92"/>
    <w:bookmarkEnd w:id="91"/>
    <w:p>
      <w:pPr>
        <w:ind w:firstLine="864"/>
        <w:spacing w:after="0" w:line="239" w:lineRule="auto"/>
        <w:framePr w:w="1340" w:h="435" w:wrap="auto" w:vAnchor="page" w:hAnchor="page" w:x="280" w:y="4403"/>
        <w:rPr>
          <w:rFonts w:ascii="Arial" w:cs="Arial" w:eastAsia="Arial" w:hAnsi="Arial"/>
          <w:sz w:val="19"/>
          <w:szCs w:val="19"/>
          <w:color w:val="auto"/>
        </w:rPr>
      </w:pPr>
      <w:r>
        <w:rPr>
          <w:rFonts w:ascii="Arial" w:cs="Arial" w:eastAsia="Arial" w:hAnsi="Arial"/>
          <w:sz w:val="19"/>
          <w:szCs w:val="19"/>
          <w:color w:val="auto"/>
        </w:rPr>
        <w:t>1.32 Infringement).</w:t>
      </w:r>
    </w:p>
    <w:p>
      <w:pPr>
        <w:jc w:val="both"/>
        <w:spacing w:after="0" w:line="236" w:lineRule="auto"/>
        <w:rPr>
          <w:sz w:val="20"/>
          <w:szCs w:val="20"/>
          <w:color w:val="auto"/>
        </w:rPr>
      </w:pPr>
      <w:r>
        <w:rPr>
          <w:rFonts w:ascii="Arial" w:cs="Arial" w:eastAsia="Arial" w:hAnsi="Arial"/>
          <w:sz w:val="22"/>
          <w:szCs w:val="22"/>
          <w:color w:val="auto"/>
        </w:rPr>
        <w:t>Cardiomyopathy Target ((i) or (ii), “</w:t>
      </w:r>
      <w:r>
        <w:rPr>
          <w:rFonts w:ascii="Arial" w:cs="Arial" w:eastAsia="Arial" w:hAnsi="Arial"/>
          <w:sz w:val="22"/>
          <w:szCs w:val="22"/>
          <w:b w:val="1"/>
          <w:bCs w:val="1"/>
          <w:color w:val="auto"/>
        </w:rPr>
        <w:t>directed against</w:t>
      </w:r>
      <w:r>
        <w:rPr>
          <w:rFonts w:ascii="Arial" w:cs="Arial" w:eastAsia="Arial" w:hAnsi="Arial"/>
          <w:sz w:val="22"/>
          <w:szCs w:val="22"/>
          <w:color w:val="auto"/>
        </w:rPr>
        <w:t xml:space="preserve">” a Cardiomyopathy Target) and (b) (i) is Covered by a Fulcrum Patent Right that claims or discloses a method of using such therapeutic agent, (ii) with respect to which MyoKardia or any of its Affiliates or Licensees has initiated Lead Optimization within [**] after the Final Data Package Delivery Date or (iii) MyoKardia or any of its Affiliates or Licensees has in-licensed or acquired within [**] after the Final Data Package Delivery Date, (whether or not, in the case of clause (ii) or this clause (iii), Covered by a Fulcrum Patent Right);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 (collectively, the “</w:t>
      </w:r>
      <w:r>
        <w:rPr>
          <w:rFonts w:ascii="Arial" w:cs="Arial" w:eastAsia="Arial" w:hAnsi="Arial"/>
          <w:sz w:val="22"/>
          <w:szCs w:val="22"/>
          <w:b w:val="1"/>
          <w:bCs w:val="1"/>
          <w:color w:val="auto"/>
        </w:rPr>
        <w:t>Exceptions</w:t>
      </w:r>
      <w:r>
        <w:rPr>
          <w:rFonts w:ascii="Arial" w:cs="Arial" w:eastAsia="Arial" w:hAnsi="Arial"/>
          <w:sz w:val="22"/>
          <w:szCs w:val="22"/>
          <w:color w:val="auto"/>
        </w:rPr>
        <w:t>”) will not be deemed a Collaboration Molecule.</w:t>
      </w:r>
    </w:p>
    <w:p>
      <w:pPr>
        <w:spacing w:after="0" w:line="182" w:lineRule="exact"/>
        <w:rPr>
          <w:rFonts w:ascii="Arial" w:cs="Arial" w:eastAsia="Arial" w:hAnsi="Arial"/>
          <w:sz w:val="19"/>
          <w:szCs w:val="19"/>
          <w:color w:val="auto"/>
        </w:rPr>
      </w:pPr>
    </w:p>
    <w:p>
      <w:pPr>
        <w:jc w:val="both"/>
        <w:ind w:firstLine="864"/>
        <w:spacing w:after="0" w:line="283" w:lineRule="auto"/>
        <w:rPr>
          <w:sz w:val="20"/>
          <w:szCs w:val="20"/>
          <w:color w:val="auto"/>
        </w:rPr>
      </w:pPr>
      <w:r>
        <w:rPr>
          <w:rFonts w:ascii="Arial" w:cs="Arial" w:eastAsia="Arial" w:hAnsi="Arial"/>
          <w:sz w:val="19"/>
          <w:szCs w:val="19"/>
          <w:color w:val="auto"/>
        </w:rPr>
        <w:t>1.29 “</w:t>
      </w:r>
      <w:r>
        <w:rPr>
          <w:rFonts w:ascii="Arial" w:cs="Arial" w:eastAsia="Arial" w:hAnsi="Arial"/>
          <w:sz w:val="19"/>
          <w:szCs w:val="19"/>
          <w:b w:val="1"/>
          <w:bCs w:val="1"/>
          <w:color w:val="auto"/>
        </w:rPr>
        <w:t>Combination Product</w:t>
      </w:r>
      <w:r>
        <w:rPr>
          <w:rFonts w:ascii="Arial" w:cs="Arial" w:eastAsia="Arial" w:hAnsi="Arial"/>
          <w:sz w:val="19"/>
          <w:szCs w:val="19"/>
          <w:color w:val="auto"/>
        </w:rPr>
        <w:t>” means a Product that is (a) sold in the form of a combination that contains or comprises one or more additional therapeutically active pharmaceutical agents (whether co-formulated or co-packaged or otherwise sold for a single price) other than a Molecule in the Product, or (b) sold for a single price together with any delivery device or component therefor, companion diagnostic, process, service, or therapy other than the Product (each, an “</w:t>
      </w:r>
      <w:r>
        <w:rPr>
          <w:rFonts w:ascii="Arial" w:cs="Arial" w:eastAsia="Arial" w:hAnsi="Arial"/>
          <w:sz w:val="19"/>
          <w:szCs w:val="19"/>
          <w:b w:val="1"/>
          <w:bCs w:val="1"/>
          <w:color w:val="auto"/>
        </w:rPr>
        <w:t>Other</w:t>
      </w:r>
      <w:r>
        <w:rPr>
          <w:rFonts w:ascii="Arial" w:cs="Arial" w:eastAsia="Arial" w:hAnsi="Arial"/>
          <w:sz w:val="19"/>
          <w:szCs w:val="19"/>
          <w:color w:val="auto"/>
        </w:rPr>
        <w:t xml:space="preserve"> </w:t>
      </w:r>
      <w:r>
        <w:rPr>
          <w:rFonts w:ascii="Arial" w:cs="Arial" w:eastAsia="Arial" w:hAnsi="Arial"/>
          <w:sz w:val="19"/>
          <w:szCs w:val="19"/>
          <w:b w:val="1"/>
          <w:bCs w:val="1"/>
          <w:color w:val="auto"/>
        </w:rPr>
        <w:t>Component</w:t>
      </w:r>
      <w:r>
        <w:rPr>
          <w:rFonts w:ascii="Arial" w:cs="Arial" w:eastAsia="Arial" w:hAnsi="Arial"/>
          <w:sz w:val="19"/>
          <w:szCs w:val="19"/>
          <w:color w:val="auto"/>
        </w:rPr>
        <w:t>”); or (c) defined as a “combination product” by the FDA pursuant to 21 C.F.R. §3.2(e) or its foreign equivalent.</w:t>
      </w:r>
    </w:p>
    <w:p>
      <w:pPr>
        <w:spacing w:after="0" w:line="143" w:lineRule="exact"/>
        <w:rPr>
          <w:rFonts w:ascii="Arial" w:cs="Arial" w:eastAsia="Arial" w:hAnsi="Arial"/>
          <w:sz w:val="19"/>
          <w:szCs w:val="19"/>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each Party and its Affiliates, [**].</w:t>
      </w:r>
    </w:p>
    <w:p>
      <w:pPr>
        <w:spacing w:after="0" w:line="206" w:lineRule="exact"/>
        <w:rPr>
          <w:rFonts w:ascii="Arial" w:cs="Arial" w:eastAsia="Arial" w:hAnsi="Arial"/>
          <w:sz w:val="19"/>
          <w:szCs w:val="19"/>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5.5.1(b)</w:t>
      </w:r>
      <w:r>
        <w:rPr>
          <w:rFonts w:ascii="Arial" w:cs="Arial" w:eastAsia="Arial" w:hAnsi="Arial"/>
          <w:sz w:val="19"/>
          <w:szCs w:val="19"/>
          <w:color w:val="auto"/>
        </w:rPr>
        <w:t xml:space="preserve"> (Cardiomyopathy Target Candidates).</w:t>
      </w:r>
    </w:p>
    <w:p>
      <w:pPr>
        <w:spacing w:after="0" w:line="206" w:lineRule="exact"/>
        <w:rPr>
          <w:rFonts w:ascii="Arial" w:cs="Arial" w:eastAsia="Arial" w:hAnsi="Arial"/>
          <w:sz w:val="19"/>
          <w:szCs w:val="19"/>
          <w:color w:val="auto"/>
        </w:rPr>
      </w:pPr>
    </w:p>
    <w:p>
      <w:pPr>
        <w:ind w:left="19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Competitive Infringement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7.6.1</w:t>
      </w:r>
      <w:r>
        <w:rPr>
          <w:rFonts w:ascii="Arial" w:cs="Arial" w:eastAsia="Arial" w:hAnsi="Arial"/>
          <w:sz w:val="21"/>
          <w:szCs w:val="21"/>
          <w:color w:val="auto"/>
        </w:rPr>
        <w:t xml:space="preserve">  (Notice  of  Competitive</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firstLine="864"/>
        <w:spacing w:after="0" w:line="271" w:lineRule="auto"/>
        <w:rPr>
          <w:sz w:val="20"/>
          <w:szCs w:val="20"/>
          <w:color w:val="auto"/>
        </w:rPr>
      </w:pPr>
      <w:r>
        <w:rPr>
          <w:rFonts w:ascii="Arial" w:cs="Arial" w:eastAsia="Arial" w:hAnsi="Arial"/>
          <w:sz w:val="19"/>
          <w:szCs w:val="19"/>
          <w:color w:val="auto"/>
        </w:rPr>
        <w:t>1.33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with respect to each Party, all Know-How or other non-public information in whatever form (including, written, oral, or visual), including proprietary information and materials (whether or not patentable) regarding or embodying such Party’s or its Representatives’ technology, products, services, intellectual property, software, inventions, processes, formulas, technical data, designs, drawings, research and development plans, finances, operations or business information or objectives, that is communicated, provided or made available by or on behalf of the Disclosing Party to the Receiving Party or its Representatives, on or after the Effective Date. In addition, “Confidential Information” will include:</w:t>
      </w:r>
    </w:p>
    <w:p>
      <w:pPr>
        <w:spacing w:after="0" w:line="2" w:lineRule="exact"/>
        <w:rPr>
          <w:rFonts w:ascii="Arial" w:cs="Arial" w:eastAsia="Arial" w:hAnsi="Arial"/>
          <w:sz w:val="19"/>
          <w:szCs w:val="19"/>
          <w:color w:val="auto"/>
        </w:rPr>
      </w:pPr>
    </w:p>
    <w:p>
      <w:pPr>
        <w:jc w:val="both"/>
        <w:ind w:firstLine="8"/>
        <w:spacing w:after="0" w:line="271" w:lineRule="auto"/>
        <w:tabs>
          <w:tab w:leader="none" w:pos="299" w:val="left"/>
        </w:tabs>
        <w:numPr>
          <w:ilvl w:val="0"/>
          <w:numId w:val="50"/>
        </w:numPr>
        <w:rPr>
          <w:rFonts w:ascii="Arial" w:cs="Arial" w:eastAsia="Arial" w:hAnsi="Arial"/>
          <w:sz w:val="19"/>
          <w:szCs w:val="19"/>
          <w:color w:val="auto"/>
        </w:rPr>
      </w:pPr>
      <w:r>
        <w:rPr>
          <w:rFonts w:ascii="Arial" w:cs="Arial" w:eastAsia="Arial" w:hAnsi="Arial"/>
          <w:sz w:val="19"/>
          <w:szCs w:val="19"/>
          <w:color w:val="auto"/>
        </w:rPr>
        <w:t>confidential information of a Third Party provided or made available by or on behalf of the Disclosing Party to the Receiving Party or its Representatives on or after the Effective Date, which the Disclosing Party has a legal right to disclose to the Receiving Party under terms of confidentiality; and (b) any notes, analyses, compilations, studies, interpretations, memoranda or other documents prepared by the Receiving Party or its Representatives to the extent containing, reflecting or based upon, in whole or in part, any Confidential Information communicated, furnished or made available to the Receiving Party or its Representatives pursuant hereto. The terms and conditions of this Agreement will be considered Confidential Information of both Parties being deemed the Receiving Party of such Confidential Information. Notwithstanding anything to the contrary herein, all Research Data ([**]) and all Data Packages ([**]) will be the Confidential Information of both Parties. All [**] will be the Confidential Information of MyoKardia. Notwithstanding anything to the contrary in the foregoing, all “Confidential Information,” as that term is defined in the CDA, is Confidential Information under this Agreement, all “Confidential</w:t>
      </w:r>
    </w:p>
    <w:p>
      <w:pPr>
        <w:spacing w:after="0" w:line="161" w:lineRule="exact"/>
        <w:rPr>
          <w:rFonts w:ascii="Arial" w:cs="Arial" w:eastAsia="Arial" w:hAnsi="Arial"/>
          <w:sz w:val="19"/>
          <w:szCs w:val="19"/>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jc w:val="both"/>
        <w:spacing w:after="0"/>
        <w:rPr>
          <w:sz w:val="20"/>
          <w:szCs w:val="20"/>
          <w:color w:val="auto"/>
        </w:rPr>
      </w:pPr>
      <w:r>
        <w:rPr>
          <w:rFonts w:ascii="Arial" w:cs="Arial" w:eastAsia="Arial" w:hAnsi="Arial"/>
          <w:sz w:val="22"/>
          <w:szCs w:val="22"/>
          <w:color w:val="auto"/>
        </w:rPr>
        <w:t>Information,” as that term is defined in the CDA, disclosed by MyoKardia under the CDA is the Confidential Information of MyoKardia under this Agreement, and all “Confidential Information,” as that term is defined in the CDA, disclosed by Fulcrum under the CDA is the Confidential Information of Fulcrum under this Agreement.</w:t>
      </w:r>
    </w:p>
    <w:p>
      <w:pPr>
        <w:spacing w:after="0" w:line="18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1.34 “</w:t>
      </w:r>
      <w:r>
        <w:rPr>
          <w:rFonts w:ascii="Arial" w:cs="Arial" w:eastAsia="Arial" w:hAnsi="Arial"/>
          <w:sz w:val="22"/>
          <w:szCs w:val="22"/>
          <w:b w:val="1"/>
          <w:bCs w:val="1"/>
          <w:color w:val="auto"/>
        </w:rPr>
        <w:t>Control</w:t>
      </w:r>
      <w:r>
        <w:rPr>
          <w:rFonts w:ascii="Arial" w:cs="Arial" w:eastAsia="Arial" w:hAnsi="Arial"/>
          <w:sz w:val="22"/>
          <w:szCs w:val="22"/>
          <w:color w:val="auto"/>
        </w:rPr>
        <w:t>” or “</w:t>
      </w:r>
      <w:r>
        <w:rPr>
          <w:rFonts w:ascii="Arial" w:cs="Arial" w:eastAsia="Arial" w:hAnsi="Arial"/>
          <w:sz w:val="22"/>
          <w:szCs w:val="22"/>
          <w:b w:val="1"/>
          <w:bCs w:val="1"/>
          <w:color w:val="auto"/>
        </w:rPr>
        <w:t>Controlled</w:t>
      </w:r>
      <w:r>
        <w:rPr>
          <w:rFonts w:ascii="Arial" w:cs="Arial" w:eastAsia="Arial" w:hAnsi="Arial"/>
          <w:sz w:val="22"/>
          <w:szCs w:val="22"/>
          <w:color w:val="auto"/>
        </w:rPr>
        <w:t>” means, as to any Know-How, Patent Right or other intellectual property right, the possession (whether by ownership or license, other than by a license granted pursuant to this Agreement) by a Person of the ability to grant to another Person access, ownership, a license or a sublicense as required herein to such Know-How or Patent Right, without (a) violating the terms of any agreement or other arrangement with any Third Party or (b) requiring the payment of any consideration to any Third Party, except, in the case of this clause (b), to the extent such other Person has agreed to be responsible for the payment of such consideration.</w:t>
      </w:r>
    </w:p>
    <w:p>
      <w:pPr>
        <w:spacing w:after="0" w:line="18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1.35 “</w:t>
      </w:r>
      <w:r>
        <w:rPr>
          <w:rFonts w:ascii="Arial" w:cs="Arial" w:eastAsia="Arial" w:hAnsi="Arial"/>
          <w:sz w:val="22"/>
          <w:szCs w:val="22"/>
          <w:b w:val="1"/>
          <w:bCs w:val="1"/>
          <w:color w:val="auto"/>
        </w:rPr>
        <w:t>Cover</w:t>
      </w:r>
      <w:r>
        <w:rPr>
          <w:rFonts w:ascii="Arial" w:cs="Arial" w:eastAsia="Arial" w:hAnsi="Arial"/>
          <w:sz w:val="22"/>
          <w:szCs w:val="22"/>
          <w:color w:val="auto"/>
        </w:rPr>
        <w:t>,” “</w:t>
      </w:r>
      <w:r>
        <w:rPr>
          <w:rFonts w:ascii="Arial" w:cs="Arial" w:eastAsia="Arial" w:hAnsi="Arial"/>
          <w:sz w:val="22"/>
          <w:szCs w:val="22"/>
          <w:b w:val="1"/>
          <w:bCs w:val="1"/>
          <w:color w:val="auto"/>
        </w:rPr>
        <w:t>Covering</w:t>
      </w:r>
      <w:r>
        <w:rPr>
          <w:rFonts w:ascii="Arial" w:cs="Arial" w:eastAsia="Arial" w:hAnsi="Arial"/>
          <w:sz w:val="22"/>
          <w:szCs w:val="22"/>
          <w:color w:val="auto"/>
        </w:rPr>
        <w:t>” or “</w:t>
      </w:r>
      <w:r>
        <w:rPr>
          <w:rFonts w:ascii="Arial" w:cs="Arial" w:eastAsia="Arial" w:hAnsi="Arial"/>
          <w:sz w:val="22"/>
          <w:szCs w:val="22"/>
          <w:b w:val="1"/>
          <w:bCs w:val="1"/>
          <w:color w:val="auto"/>
        </w:rPr>
        <w:t>Covers</w:t>
      </w:r>
      <w:r>
        <w:rPr>
          <w:rFonts w:ascii="Arial" w:cs="Arial" w:eastAsia="Arial" w:hAnsi="Arial"/>
          <w:sz w:val="22"/>
          <w:szCs w:val="22"/>
          <w:color w:val="auto"/>
        </w:rPr>
        <w:t>” means, as to a particular subject matter at issue and a Patent Right, that, in the absence of a license granted under, or ownership of, such Patent Right, the making, using, keeping, selling, offering for sale or importation of such subject matter at issue would infringe a Valid Claim in such Patent Right or, with respect to a Valid Claim that is a claim of a pending patent application, the making, using, keeping, selling, offering for sale or importation of such subject matter at issue would infringe such Valid Claim in such Patent Right if such pending claim were to issue in an issued patent without modification.</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Covered Research Expenses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(Research Funding).</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COVID-19 Pandemic</w:t>
      </w:r>
      <w:r>
        <w:rPr>
          <w:rFonts w:ascii="Arial" w:cs="Arial" w:eastAsia="Arial" w:hAnsi="Arial"/>
          <w:sz w:val="19"/>
          <w:szCs w:val="19"/>
          <w:color w:val="auto"/>
        </w:rPr>
        <w:t>” means the global novel coronavirus (COVID-19) pandemic.</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1.38 “</w:t>
      </w:r>
      <w:r>
        <w:rPr>
          <w:rFonts w:ascii="Arial" w:cs="Arial" w:eastAsia="Arial" w:hAnsi="Arial"/>
          <w:sz w:val="22"/>
          <w:szCs w:val="22"/>
          <w:b w:val="1"/>
          <w:bCs w:val="1"/>
          <w:color w:val="auto"/>
        </w:rPr>
        <w:t>CPI</w:t>
      </w:r>
      <w:r>
        <w:rPr>
          <w:rFonts w:ascii="Arial" w:cs="Arial" w:eastAsia="Arial" w:hAnsi="Arial"/>
          <w:sz w:val="22"/>
          <w:szCs w:val="22"/>
          <w:color w:val="auto"/>
        </w:rPr>
        <w:t>” means the Consumer Price Index – Urban Wage Earners and Clerical Workers, U.S. City Average (All Items, 1982-84 = 100) published by the United States Department of Labor, Bureau of Labor Statistics, or any successor index thereto.</w:t>
      </w:r>
    </w:p>
    <w:p>
      <w:pPr>
        <w:spacing w:after="0" w:line="17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1.39 “</w:t>
      </w:r>
      <w:r>
        <w:rPr>
          <w:rFonts w:ascii="Arial" w:cs="Arial" w:eastAsia="Arial" w:hAnsi="Arial"/>
          <w:sz w:val="22"/>
          <w:szCs w:val="22"/>
          <w:b w:val="1"/>
          <w:bCs w:val="1"/>
          <w:color w:val="auto"/>
        </w:rPr>
        <w:t>CRC Screen</w:t>
      </w:r>
      <w:r>
        <w:rPr>
          <w:rFonts w:ascii="Arial" w:cs="Arial" w:eastAsia="Arial" w:hAnsi="Arial"/>
          <w:sz w:val="22"/>
          <w:szCs w:val="22"/>
          <w:color w:val="auto"/>
        </w:rPr>
        <w:t>” means the nine (9) point concentration response curve, identified as the CRC Screen in paragraph 5.1(a) of the Research Plan.</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1.40 “</w:t>
      </w:r>
      <w:r>
        <w:rPr>
          <w:rFonts w:ascii="Arial" w:cs="Arial" w:eastAsia="Arial" w:hAnsi="Arial"/>
          <w:sz w:val="22"/>
          <w:szCs w:val="22"/>
          <w:b w:val="1"/>
          <w:bCs w:val="1"/>
          <w:color w:val="auto"/>
        </w:rPr>
        <w:t>CRISPR Confirmation</w:t>
      </w:r>
      <w:r>
        <w:rPr>
          <w:rFonts w:ascii="Arial" w:cs="Arial" w:eastAsia="Arial" w:hAnsi="Arial"/>
          <w:sz w:val="22"/>
          <w:szCs w:val="22"/>
          <w:color w:val="auto"/>
        </w:rPr>
        <w:t>” means the use of CRISPR technology to confirm an active hit from the Primary Screen by genetic manipulation, as conducted in Part 1 Validation activities.</w:t>
      </w:r>
    </w:p>
    <w:p>
      <w:pPr>
        <w:spacing w:after="0" w:line="162"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color w:val="auto"/>
        </w:rPr>
        <w:t>1.41 “</w:t>
      </w:r>
      <w:r>
        <w:rPr>
          <w:rFonts w:ascii="Arial" w:cs="Arial" w:eastAsia="Arial" w:hAnsi="Arial"/>
          <w:sz w:val="19"/>
          <w:szCs w:val="19"/>
          <w:b w:val="1"/>
          <w:bCs w:val="1"/>
          <w:color w:val="auto"/>
        </w:rPr>
        <w:t>Data Package</w:t>
      </w:r>
      <w:r>
        <w:rPr>
          <w:rFonts w:ascii="Arial" w:cs="Arial" w:eastAsia="Arial" w:hAnsi="Arial"/>
          <w:sz w:val="19"/>
          <w:szCs w:val="19"/>
          <w:color w:val="auto"/>
        </w:rPr>
        <w:t>” means the Screen Preparation Data Package, Primary Screen Data Package, Preliminary Validation Data Package, Part 1 Validation Package, Part 2 Validation Summary and the Final Data Package, as applicable.</w:t>
      </w:r>
    </w:p>
    <w:p>
      <w:pPr>
        <w:spacing w:after="0" w:line="94"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1.42 “</w:t>
      </w:r>
      <w:r>
        <w:rPr>
          <w:rFonts w:ascii="Arial" w:cs="Arial" w:eastAsia="Arial" w:hAnsi="Arial"/>
          <w:sz w:val="21"/>
          <w:szCs w:val="21"/>
          <w:b w:val="1"/>
          <w:bCs w:val="1"/>
          <w:color w:val="auto"/>
        </w:rPr>
        <w:t>Development Candidate</w:t>
      </w:r>
      <w:r>
        <w:rPr>
          <w:rFonts w:ascii="Arial" w:cs="Arial" w:eastAsia="Arial" w:hAnsi="Arial"/>
          <w:sz w:val="21"/>
          <w:szCs w:val="21"/>
          <w:color w:val="auto"/>
        </w:rPr>
        <w:t>” means a Molecule that MyoKardia has deemed suitable, in accordance with its standard internal processes, for advancement into IND-enabling studies and intends to advance into a Clinical Trial.</w:t>
      </w:r>
    </w:p>
    <w:p>
      <w:pPr>
        <w:spacing w:after="0" w:line="139"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Candidate Designation</w:t>
      </w:r>
      <w:r>
        <w:rPr>
          <w:rFonts w:ascii="Arial" w:cs="Arial" w:eastAsia="Arial" w:hAnsi="Arial"/>
          <w:sz w:val="19"/>
          <w:szCs w:val="19"/>
          <w:color w:val="auto"/>
        </w:rPr>
        <w:t>” means the earlier of [**].</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3" w:name="page94"/>
    <w:bookmarkEnd w:id="93"/>
    <w:p>
      <w:pPr>
        <w:spacing w:after="0" w:line="223" w:lineRule="auto"/>
        <w:framePr w:w="440" w:h="192" w:wrap="auto" w:vAnchor="page" w:hAnchor="page" w:x="1160" w:y="839"/>
        <w:rPr>
          <w:rFonts w:ascii="Arial" w:cs="Arial" w:eastAsia="Arial" w:hAnsi="Arial"/>
          <w:sz w:val="18"/>
          <w:szCs w:val="18"/>
          <w:color w:val="auto"/>
        </w:rPr>
      </w:pPr>
      <w:r>
        <w:rPr>
          <w:rFonts w:ascii="Arial" w:cs="Arial" w:eastAsia="Arial" w:hAnsi="Arial"/>
          <w:sz w:val="18"/>
          <w:szCs w:val="18"/>
          <w:color w:val="auto"/>
        </w:rPr>
        <w:t>1.45</w:t>
      </w:r>
    </w:p>
    <w:p>
      <w:pPr>
        <w:spacing w:after="0" w:line="211" w:lineRule="auto"/>
        <w:framePr w:w="1160" w:h="192" w:wrap="auto" w:vAnchor="page" w:hAnchor="page" w:x="280" w:y="1082"/>
        <w:rPr>
          <w:rFonts w:ascii="Arial" w:cs="Arial" w:eastAsia="Arial" w:hAnsi="Arial"/>
          <w:sz w:val="19"/>
          <w:szCs w:val="19"/>
          <w:color w:val="auto"/>
        </w:rPr>
      </w:pPr>
      <w:r>
        <w:rPr>
          <w:rFonts w:ascii="Arial" w:cs="Arial" w:eastAsia="Arial" w:hAnsi="Arial"/>
          <w:sz w:val="19"/>
          <w:szCs w:val="19"/>
          <w:color w:val="auto"/>
        </w:rPr>
        <w:t>Milestones).</w:t>
      </w:r>
    </w:p>
    <w:p>
      <w:pPr>
        <w:ind w:left="880"/>
        <w:spacing w:after="0"/>
        <w:tabs>
          <w:tab w:leader="none" w:pos="18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Milestone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6.3.3</w:t>
      </w:r>
      <w:r>
        <w:rPr>
          <w:rFonts w:ascii="Arial" w:cs="Arial" w:eastAsia="Arial" w:hAnsi="Arial"/>
          <w:sz w:val="19"/>
          <w:szCs w:val="19"/>
          <w:color w:val="auto"/>
        </w:rPr>
        <w:t xml:space="preserve"> (Development Milestones).</w:t>
      </w:r>
    </w:p>
    <w:p>
      <w:pPr>
        <w:spacing w:after="0" w:line="206" w:lineRule="exact"/>
        <w:rPr>
          <w:rFonts w:ascii="Arial" w:cs="Arial" w:eastAsia="Arial" w:hAnsi="Arial"/>
          <w:sz w:val="19"/>
          <w:szCs w:val="19"/>
          <w:color w:val="auto"/>
        </w:rPr>
      </w:pPr>
    </w:p>
    <w:p>
      <w:pPr>
        <w:ind w:left="19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Development  Milestone  Payments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6.3.3</w:t>
      </w:r>
      <w:r>
        <w:rPr>
          <w:rFonts w:ascii="Arial" w:cs="Arial" w:eastAsia="Arial" w:hAnsi="Arial"/>
          <w:sz w:val="19"/>
          <w:szCs w:val="19"/>
          <w:color w:val="auto"/>
        </w:rPr>
        <w:t xml:space="preserve">  (Development</w:t>
      </w:r>
    </w:p>
    <w:p>
      <w:pPr>
        <w:spacing w:after="0" w:line="200" w:lineRule="exact"/>
        <w:rPr>
          <w:rFonts w:ascii="Arial" w:cs="Arial" w:eastAsia="Arial" w:hAnsi="Arial"/>
          <w:sz w:val="19"/>
          <w:szCs w:val="19"/>
          <w:color w:val="auto"/>
        </w:rPr>
      </w:pPr>
    </w:p>
    <w:p>
      <w:pPr>
        <w:spacing w:after="0" w:line="284" w:lineRule="exact"/>
        <w:rPr>
          <w:rFonts w:ascii="Arial" w:cs="Arial" w:eastAsia="Arial" w:hAnsi="Arial"/>
          <w:sz w:val="19"/>
          <w:szCs w:val="19"/>
          <w:color w:val="auto"/>
        </w:rPr>
      </w:pPr>
    </w:p>
    <w:p>
      <w:pPr>
        <w:ind w:firstLine="864"/>
        <w:spacing w:after="0" w:line="256" w:lineRule="auto"/>
        <w:rPr>
          <w:sz w:val="20"/>
          <w:szCs w:val="20"/>
          <w:color w:val="auto"/>
        </w:rPr>
      </w:pPr>
      <w:r>
        <w:rPr>
          <w:rFonts w:ascii="Arial" w:cs="Arial" w:eastAsia="Arial" w:hAnsi="Arial"/>
          <w:sz w:val="22"/>
          <w:szCs w:val="22"/>
          <w:color w:val="auto"/>
        </w:rPr>
        <w:t>1.46 “</w:t>
      </w:r>
      <w:r>
        <w:rPr>
          <w:rFonts w:ascii="Arial" w:cs="Arial" w:eastAsia="Arial" w:hAnsi="Arial"/>
          <w:sz w:val="22"/>
          <w:szCs w:val="22"/>
          <w:b w:val="1"/>
          <w:bCs w:val="1"/>
          <w:color w:val="auto"/>
        </w:rPr>
        <w:t>directed against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1.28</w:t>
      </w:r>
      <w:r>
        <w:rPr>
          <w:rFonts w:ascii="Arial" w:cs="Arial" w:eastAsia="Arial" w:hAnsi="Arial"/>
          <w:sz w:val="22"/>
          <w:szCs w:val="22"/>
          <w:color w:val="auto"/>
        </w:rPr>
        <w:t xml:space="preserve"> (Collaboration Molecule) or </w:t>
      </w:r>
      <w:r>
        <w:rPr>
          <w:rFonts w:ascii="Arial" w:cs="Arial" w:eastAsia="Arial" w:hAnsi="Arial"/>
          <w:sz w:val="22"/>
          <w:szCs w:val="22"/>
          <w:u w:val="single" w:color="auto"/>
          <w:color w:val="auto"/>
        </w:rPr>
        <w:t>Section 1.47</w:t>
      </w:r>
      <w:r>
        <w:rPr>
          <w:rFonts w:ascii="Arial" w:cs="Arial" w:eastAsia="Arial" w:hAnsi="Arial"/>
          <w:sz w:val="22"/>
          <w:szCs w:val="22"/>
          <w:color w:val="auto"/>
        </w:rPr>
        <w:t xml:space="preserve"> (Disclosed Molecule), as applicable.</w:t>
      </w:r>
    </w:p>
    <w:p>
      <w:pPr>
        <w:spacing w:after="0" w:line="162" w:lineRule="exact"/>
        <w:rPr>
          <w:rFonts w:ascii="Arial" w:cs="Arial" w:eastAsia="Arial" w:hAnsi="Arial"/>
          <w:sz w:val="19"/>
          <w:szCs w:val="19"/>
          <w:color w:val="auto"/>
        </w:rPr>
      </w:pPr>
    </w:p>
    <w:p>
      <w:pPr>
        <w:ind w:firstLine="864"/>
        <w:spacing w:after="0" w:line="280" w:lineRule="auto"/>
        <w:rPr>
          <w:sz w:val="20"/>
          <w:szCs w:val="20"/>
          <w:color w:val="auto"/>
        </w:rPr>
      </w:pPr>
      <w:r>
        <w:rPr>
          <w:rFonts w:ascii="Arial" w:cs="Arial" w:eastAsia="Arial" w:hAnsi="Arial"/>
          <w:sz w:val="19"/>
          <w:szCs w:val="19"/>
          <w:color w:val="auto"/>
        </w:rPr>
        <w:t>1.47 “</w:t>
      </w:r>
      <w:r>
        <w:rPr>
          <w:rFonts w:ascii="Arial" w:cs="Arial" w:eastAsia="Arial" w:hAnsi="Arial"/>
          <w:sz w:val="19"/>
          <w:szCs w:val="19"/>
          <w:b w:val="1"/>
          <w:bCs w:val="1"/>
          <w:color w:val="auto"/>
        </w:rPr>
        <w:t>Disclosed Molecule</w:t>
      </w:r>
      <w:r>
        <w:rPr>
          <w:rFonts w:ascii="Arial" w:cs="Arial" w:eastAsia="Arial" w:hAnsi="Arial"/>
          <w:sz w:val="19"/>
          <w:szCs w:val="19"/>
          <w:color w:val="auto"/>
        </w:rPr>
        <w:t>” means any therapeutic agent that (a)(i) binds to and modulates the activity of a Disclosed Target or (ii) expresses, in whole or in part, a Disclosed Target ((a) or (b), “</w:t>
      </w:r>
      <w:r>
        <w:rPr>
          <w:rFonts w:ascii="Arial" w:cs="Arial" w:eastAsia="Arial" w:hAnsi="Arial"/>
          <w:sz w:val="19"/>
          <w:szCs w:val="19"/>
          <w:b w:val="1"/>
          <w:bCs w:val="1"/>
          <w:color w:val="auto"/>
        </w:rPr>
        <w:t>directed against</w:t>
      </w:r>
      <w:r>
        <w:rPr>
          <w:rFonts w:ascii="Arial" w:cs="Arial" w:eastAsia="Arial" w:hAnsi="Arial"/>
          <w:sz w:val="19"/>
          <w:szCs w:val="19"/>
          <w:color w:val="auto"/>
        </w:rPr>
        <w:t>” a Disclosed Target) and</w:t>
      </w:r>
    </w:p>
    <w:p>
      <w:pPr>
        <w:jc w:val="both"/>
        <w:ind w:firstLine="8"/>
        <w:spacing w:after="0" w:line="233" w:lineRule="auto"/>
        <w:tabs>
          <w:tab w:leader="none" w:pos="308"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(i) is Covered by a Fulcrum Patent Right that claims or discloses a method of using such therapeutic agent, (ii) with respect to which MyoKardia or any of its Affiliates or Licensees has initiated Lead Optimization within [**] after the Final Data Package Delivery Date or (iii) MyoKardia or any of its Affiliates or Licensees has in-licensed or acquired within [**] after the Final Data Package Delivery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therapeutic agent that meets the criteria of an Exception will not be deemed a Disclosed Molecule.</w:t>
      </w:r>
    </w:p>
    <w:p>
      <w:pPr>
        <w:spacing w:after="0" w:line="179" w:lineRule="exact"/>
        <w:rPr>
          <w:rFonts w:ascii="Arial" w:cs="Arial" w:eastAsia="Arial" w:hAnsi="Arial"/>
          <w:sz w:val="19"/>
          <w:szCs w:val="19"/>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Disclosed Product</w:t>
      </w:r>
      <w:r>
        <w:rPr>
          <w:rFonts w:ascii="Arial" w:cs="Arial" w:eastAsia="Arial" w:hAnsi="Arial"/>
          <w:sz w:val="19"/>
          <w:szCs w:val="19"/>
          <w:color w:val="auto"/>
        </w:rPr>
        <w:t>” mean a pharmaceutical product that contains a Disclosed Molecule.</w:t>
      </w:r>
    </w:p>
    <w:p>
      <w:pPr>
        <w:spacing w:after="0" w:line="206" w:lineRule="exact"/>
        <w:rPr>
          <w:rFonts w:ascii="Arial" w:cs="Arial" w:eastAsia="Arial" w:hAnsi="Arial"/>
          <w:sz w:val="19"/>
          <w:szCs w:val="19"/>
          <w:color w:val="auto"/>
        </w:rPr>
      </w:pPr>
    </w:p>
    <w:p>
      <w:pPr>
        <w:jc w:val="both"/>
        <w:ind w:firstLine="864"/>
        <w:spacing w:after="0" w:line="236" w:lineRule="auto"/>
        <w:rPr>
          <w:sz w:val="20"/>
          <w:szCs w:val="20"/>
          <w:color w:val="auto"/>
        </w:rPr>
      </w:pPr>
      <w:r>
        <w:rPr>
          <w:rFonts w:ascii="Arial" w:cs="Arial" w:eastAsia="Arial" w:hAnsi="Arial"/>
          <w:sz w:val="22"/>
          <w:szCs w:val="22"/>
          <w:color w:val="auto"/>
        </w:rPr>
        <w:t>1.49 “</w:t>
      </w:r>
      <w:r>
        <w:rPr>
          <w:rFonts w:ascii="Arial" w:cs="Arial" w:eastAsia="Arial" w:hAnsi="Arial"/>
          <w:sz w:val="22"/>
          <w:szCs w:val="22"/>
          <w:b w:val="1"/>
          <w:bCs w:val="1"/>
          <w:color w:val="auto"/>
        </w:rPr>
        <w:t>Disclosed Target</w:t>
      </w:r>
      <w:r>
        <w:rPr>
          <w:rFonts w:ascii="Arial" w:cs="Arial" w:eastAsia="Arial" w:hAnsi="Arial"/>
          <w:sz w:val="22"/>
          <w:szCs w:val="22"/>
          <w:color w:val="auto"/>
        </w:rPr>
        <w:t xml:space="preserve">” means a Selected Target that is not a Cardiomyopathy Target;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target that, through documented evidence, can be shown to have been identified by a Third Party collaborator of MyoKardia without using confidential results generated by the Research Activities shall not be deemed a Disclosed Target hereunder. A Disclosed Target will also include any [**]. With respect to the immediately preceding sentence, any [**] intended to be included as described in such sentence shall be identified and documented in writing at the time that Selected Targets are designated in accordance with </w:t>
      </w:r>
      <w:r>
        <w:rPr>
          <w:rFonts w:ascii="Arial" w:cs="Arial" w:eastAsia="Arial" w:hAnsi="Arial"/>
          <w:sz w:val="22"/>
          <w:szCs w:val="22"/>
          <w:u w:val="single" w:color="auto"/>
          <w:color w:val="auto"/>
        </w:rPr>
        <w:t>Section 3.6.2</w:t>
      </w:r>
      <w:r>
        <w:rPr>
          <w:rFonts w:ascii="Arial" w:cs="Arial" w:eastAsia="Arial" w:hAnsi="Arial"/>
          <w:sz w:val="22"/>
          <w:szCs w:val="22"/>
          <w:color w:val="auto"/>
        </w:rPr>
        <w:t xml:space="preserve"> (Part 1 Validation).</w:t>
      </w:r>
    </w:p>
    <w:p>
      <w:pPr>
        <w:spacing w:after="0" w:line="182" w:lineRule="exact"/>
        <w:rPr>
          <w:rFonts w:ascii="Arial" w:cs="Arial" w:eastAsia="Arial" w:hAnsi="Arial"/>
          <w:sz w:val="19"/>
          <w:szCs w:val="19"/>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(Confidentiality).</w:t>
      </w:r>
    </w:p>
    <w:p>
      <w:pPr>
        <w:spacing w:after="0" w:line="206" w:lineRule="exact"/>
        <w:rPr>
          <w:rFonts w:ascii="Arial" w:cs="Arial" w:eastAsia="Arial" w:hAnsi="Arial"/>
          <w:sz w:val="19"/>
          <w:szCs w:val="19"/>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w:t>
      </w:r>
      <w:r>
        <w:rPr>
          <w:rFonts w:ascii="Arial" w:cs="Arial" w:eastAsia="Arial" w:hAnsi="Arial"/>
          <w:sz w:val="19"/>
          <w:szCs w:val="19"/>
          <w:color w:val="auto"/>
        </w:rPr>
        <w:t>,” “</w:t>
      </w:r>
      <w:r>
        <w:rPr>
          <w:rFonts w:ascii="Arial" w:cs="Arial" w:eastAsia="Arial" w:hAnsi="Arial"/>
          <w:sz w:val="19"/>
          <w:szCs w:val="19"/>
          <w:b w:val="1"/>
          <w:bCs w:val="1"/>
          <w:color w:val="auto"/>
        </w:rPr>
        <w:t>USD</w:t>
      </w:r>
      <w:r>
        <w:rPr>
          <w:rFonts w:ascii="Arial" w:cs="Arial" w:eastAsia="Arial" w:hAnsi="Arial"/>
          <w:sz w:val="19"/>
          <w:szCs w:val="19"/>
          <w:color w:val="auto"/>
        </w:rPr>
        <w:t>,” or “</w:t>
      </w:r>
      <w:r>
        <w:rPr>
          <w:rFonts w:ascii="Arial" w:cs="Arial" w:eastAsia="Arial" w:hAnsi="Arial"/>
          <w:sz w:val="19"/>
          <w:szCs w:val="19"/>
          <w:b w:val="1"/>
          <w:bCs w:val="1"/>
          <w:color w:val="auto"/>
        </w:rPr>
        <w:t>$</w:t>
      </w:r>
      <w:r>
        <w:rPr>
          <w:rFonts w:ascii="Arial" w:cs="Arial" w:eastAsia="Arial" w:hAnsi="Arial"/>
          <w:sz w:val="19"/>
          <w:szCs w:val="19"/>
          <w:color w:val="auto"/>
        </w:rPr>
        <w:t>” means legal tender in the U.S.</w:t>
      </w:r>
    </w:p>
    <w:p>
      <w:pPr>
        <w:spacing w:after="0" w:line="206" w:lineRule="exact"/>
        <w:rPr>
          <w:rFonts w:ascii="Arial" w:cs="Arial" w:eastAsia="Arial" w:hAnsi="Arial"/>
          <w:sz w:val="19"/>
          <w:szCs w:val="19"/>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the preamble of this Agreement.</w:t>
      </w:r>
    </w:p>
    <w:p>
      <w:pPr>
        <w:spacing w:after="0" w:line="206" w:lineRule="exact"/>
        <w:rPr>
          <w:rFonts w:ascii="Arial" w:cs="Arial" w:eastAsia="Arial" w:hAnsi="Arial"/>
          <w:sz w:val="19"/>
          <w:szCs w:val="19"/>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and any successor entity thereto.</w:t>
      </w:r>
    </w:p>
    <w:p>
      <w:pPr>
        <w:spacing w:after="0" w:line="206" w:lineRule="exact"/>
        <w:rPr>
          <w:rFonts w:ascii="Arial" w:cs="Arial" w:eastAsia="Arial" w:hAnsi="Arial"/>
          <w:sz w:val="19"/>
          <w:szCs w:val="19"/>
          <w:color w:val="auto"/>
        </w:rPr>
      </w:pPr>
    </w:p>
    <w:p>
      <w:pPr>
        <w:jc w:val="both"/>
        <w:ind w:firstLine="864"/>
        <w:spacing w:after="0" w:line="256" w:lineRule="auto"/>
        <w:rPr>
          <w:sz w:val="20"/>
          <w:szCs w:val="20"/>
          <w:color w:val="auto"/>
        </w:rPr>
      </w:pPr>
      <w:r>
        <w:rPr>
          <w:rFonts w:ascii="Arial" w:cs="Arial" w:eastAsia="Arial" w:hAnsi="Arial"/>
          <w:sz w:val="22"/>
          <w:szCs w:val="22"/>
          <w:color w:val="auto"/>
        </w:rPr>
        <w:t>1.54 “</w:t>
      </w:r>
      <w:r>
        <w:rPr>
          <w:rFonts w:ascii="Arial" w:cs="Arial" w:eastAsia="Arial" w:hAnsi="Arial"/>
          <w:sz w:val="22"/>
          <w:szCs w:val="22"/>
          <w:b w:val="1"/>
          <w:bCs w:val="1"/>
          <w:color w:val="auto"/>
        </w:rPr>
        <w:t>Engineered Cell Line</w:t>
      </w:r>
      <w:r>
        <w:rPr>
          <w:rFonts w:ascii="Arial" w:cs="Arial" w:eastAsia="Arial" w:hAnsi="Arial"/>
          <w:sz w:val="22"/>
          <w:szCs w:val="22"/>
          <w:color w:val="auto"/>
        </w:rPr>
        <w:t>” means a genetically engineered cell line for use in the Primary Screen, carrying a relevant mutation, initially [**].</w:t>
      </w:r>
    </w:p>
    <w:p>
      <w:pPr>
        <w:spacing w:after="0" w:line="162" w:lineRule="exact"/>
        <w:rPr>
          <w:rFonts w:ascii="Arial" w:cs="Arial" w:eastAsia="Arial" w:hAnsi="Arial"/>
          <w:sz w:val="19"/>
          <w:szCs w:val="19"/>
          <w:color w:val="auto"/>
        </w:rPr>
      </w:pPr>
    </w:p>
    <w:p>
      <w:pPr>
        <w:jc w:val="both"/>
        <w:ind w:firstLine="864"/>
        <w:spacing w:after="0" w:line="256" w:lineRule="auto"/>
        <w:rPr>
          <w:sz w:val="20"/>
          <w:szCs w:val="20"/>
          <w:color w:val="auto"/>
        </w:rPr>
      </w:pPr>
      <w:r>
        <w:rPr>
          <w:rFonts w:ascii="Arial" w:cs="Arial" w:eastAsia="Arial" w:hAnsi="Arial"/>
          <w:sz w:val="22"/>
          <w:szCs w:val="22"/>
          <w:color w:val="auto"/>
        </w:rPr>
        <w:t>1.55 “</w:t>
      </w:r>
      <w:r>
        <w:rPr>
          <w:rFonts w:ascii="Arial" w:cs="Arial" w:eastAsia="Arial" w:hAnsi="Arial"/>
          <w:sz w:val="22"/>
          <w:szCs w:val="22"/>
          <w:b w:val="1"/>
          <w:bCs w:val="1"/>
          <w:color w:val="auto"/>
        </w:rPr>
        <w:t>European Commission</w:t>
      </w:r>
      <w:r>
        <w:rPr>
          <w:rFonts w:ascii="Arial" w:cs="Arial" w:eastAsia="Arial" w:hAnsi="Arial"/>
          <w:sz w:val="22"/>
          <w:szCs w:val="22"/>
          <w:color w:val="auto"/>
        </w:rPr>
        <w:t>” means the European Commission or any successor entity that is responsible for granting marketing approvals authorizing the sale of pharmaceuticals in the European Union.</w:t>
      </w:r>
    </w:p>
    <w:p>
      <w:pPr>
        <w:spacing w:after="0" w:line="162" w:lineRule="exact"/>
        <w:rPr>
          <w:rFonts w:ascii="Arial" w:cs="Arial" w:eastAsia="Arial" w:hAnsi="Arial"/>
          <w:sz w:val="19"/>
          <w:szCs w:val="19"/>
          <w:color w:val="auto"/>
        </w:rPr>
      </w:pPr>
    </w:p>
    <w:p>
      <w:pPr>
        <w:jc w:val="both"/>
        <w:ind w:firstLine="864"/>
        <w:spacing w:after="0" w:line="256" w:lineRule="auto"/>
        <w:rPr>
          <w:sz w:val="20"/>
          <w:szCs w:val="20"/>
          <w:color w:val="auto"/>
        </w:rPr>
      </w:pPr>
      <w:r>
        <w:rPr>
          <w:rFonts w:ascii="Arial" w:cs="Arial" w:eastAsia="Arial" w:hAnsi="Arial"/>
          <w:sz w:val="22"/>
          <w:szCs w:val="22"/>
          <w:color w:val="auto"/>
        </w:rPr>
        <w:t>1.56 “</w:t>
      </w:r>
      <w:r>
        <w:rPr>
          <w:rFonts w:ascii="Arial" w:cs="Arial" w:eastAsia="Arial" w:hAnsi="Arial"/>
          <w:sz w:val="22"/>
          <w:szCs w:val="22"/>
          <w:b w:val="1"/>
          <w:bCs w:val="1"/>
          <w:color w:val="auto"/>
        </w:rPr>
        <w:t>European Union</w:t>
      </w:r>
      <w:r>
        <w:rPr>
          <w:rFonts w:ascii="Arial" w:cs="Arial" w:eastAsia="Arial" w:hAnsi="Arial"/>
          <w:sz w:val="22"/>
          <w:szCs w:val="22"/>
          <w:color w:val="auto"/>
        </w:rPr>
        <w:t>” or “</w:t>
      </w:r>
      <w:r>
        <w:rPr>
          <w:rFonts w:ascii="Arial" w:cs="Arial" w:eastAsia="Arial" w:hAnsi="Arial"/>
          <w:sz w:val="22"/>
          <w:szCs w:val="22"/>
          <w:b w:val="1"/>
          <w:bCs w:val="1"/>
          <w:color w:val="auto"/>
        </w:rPr>
        <w:t>EU</w:t>
      </w:r>
      <w:r>
        <w:rPr>
          <w:rFonts w:ascii="Arial" w:cs="Arial" w:eastAsia="Arial" w:hAnsi="Arial"/>
          <w:sz w:val="22"/>
          <w:szCs w:val="22"/>
          <w:color w:val="auto"/>
        </w:rPr>
        <w:t>” means (a) all countries or territories that are officially part of the European Union, as constituted from time to time, and (b) the United Kingdom.</w:t>
      </w:r>
    </w:p>
    <w:p>
      <w:pPr>
        <w:spacing w:after="0" w:line="168" w:lineRule="exact"/>
        <w:rPr>
          <w:rFonts w:ascii="Arial" w:cs="Arial" w:eastAsia="Arial" w:hAnsi="Arial"/>
          <w:sz w:val="19"/>
          <w:szCs w:val="19"/>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4" w:name="page95"/>
    <w:bookmarkEnd w:id="94"/>
    <w:p>
      <w:pPr>
        <w:ind w:left="880"/>
        <w:spacing w:after="0"/>
        <w:tabs>
          <w:tab w:leader="none" w:pos="188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Exceptions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1.28</w:t>
      </w:r>
      <w:r>
        <w:rPr>
          <w:rFonts w:ascii="Arial" w:cs="Arial" w:eastAsia="Arial" w:hAnsi="Arial"/>
          <w:sz w:val="19"/>
          <w:szCs w:val="19"/>
          <w:color w:val="auto"/>
        </w:rPr>
        <w:t xml:space="preserve"> (Collaboration Molecule).</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Claim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12.1.4</w:t>
      </w:r>
      <w:r>
        <w:rPr>
          <w:rFonts w:ascii="Arial" w:cs="Arial" w:eastAsia="Arial" w:hAnsi="Arial"/>
          <w:sz w:val="19"/>
          <w:szCs w:val="19"/>
          <w:color w:val="auto"/>
        </w:rPr>
        <w:t xml:space="preserve"> (Excluded Claims).</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Field</w:t>
      </w:r>
      <w:r>
        <w:rPr>
          <w:rFonts w:ascii="Arial" w:cs="Arial" w:eastAsia="Arial" w:hAnsi="Arial"/>
          <w:sz w:val="19"/>
          <w:szCs w:val="19"/>
          <w:color w:val="auto"/>
        </w:rPr>
        <w:t>” means the treatment, prophylaxis or diagnosis of [**].</w:t>
      </w:r>
    </w:p>
    <w:p>
      <w:pPr>
        <w:spacing w:after="0" w:line="20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1.60 “</w:t>
      </w:r>
      <w:r>
        <w:rPr>
          <w:rFonts w:ascii="Arial" w:cs="Arial" w:eastAsia="Arial" w:hAnsi="Arial"/>
          <w:sz w:val="19"/>
          <w:szCs w:val="19"/>
          <w:b w:val="1"/>
          <w:bCs w:val="1"/>
          <w:color w:val="auto"/>
        </w:rPr>
        <w:t>Excluded Know-How</w:t>
      </w:r>
      <w:r>
        <w:rPr>
          <w:rFonts w:ascii="Arial" w:cs="Arial" w:eastAsia="Arial" w:hAnsi="Arial"/>
          <w:sz w:val="19"/>
          <w:szCs w:val="19"/>
          <w:color w:val="auto"/>
        </w:rPr>
        <w:t>” means any Know-How to the extent Controlled by any Acquiring Party, which Know-How is (a) Controlled by such Acquiring Party immediately prior to the effective date of the applicable Change of Control or (b) Controlled by such Acquiring Party on or after the effective date of such Change of Control but, in each case ((a) and (b)), is not Controlled by Fulcrum or an Affiliate of Fulcrum (excluding for purposes of this provision, such Acquiring Party and Affiliates of Fulcrum that are Affiliates by virtue of controlling, being controlled by or under common control with such Acquiring Party) and was invented, created or obtained without the direct or indirect use of any Fulcrum Technology.</w:t>
      </w:r>
    </w:p>
    <w:p>
      <w:pPr>
        <w:spacing w:after="0" w:line="145"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1.61 “</w:t>
      </w:r>
      <w:r>
        <w:rPr>
          <w:rFonts w:ascii="Arial" w:cs="Arial" w:eastAsia="Arial" w:hAnsi="Arial"/>
          <w:sz w:val="19"/>
          <w:szCs w:val="19"/>
          <w:b w:val="1"/>
          <w:bCs w:val="1"/>
          <w:color w:val="auto"/>
        </w:rPr>
        <w:t>Excluded Patent Rights</w:t>
      </w:r>
      <w:r>
        <w:rPr>
          <w:rFonts w:ascii="Arial" w:cs="Arial" w:eastAsia="Arial" w:hAnsi="Arial"/>
          <w:sz w:val="19"/>
          <w:szCs w:val="19"/>
          <w:color w:val="auto"/>
        </w:rPr>
        <w:t>” means any Patent Right to the extent Controlled by any Acquiring Party, which Patent Right is (a) Controlled by such Acquiring Party immediately prior to the effective date of the applicable Change of Control or (b) Controlled by such Acquiring Party on or after the effective date of such Change of Control but in each case ((a) and (b)), is not Controlled by Fulcrum or an Affiliate of Fulcrum (excluding for purposes of this provision, such Acquiring Party and Affiliates of Fulcrum that are Affiliates by virtue of controlling, being controlled by or under common control with such Acquiring Party) and was invented, created or obtained without the direct or indirect use of any Fulcrum Technology.</w:t>
      </w:r>
    </w:p>
    <w:p>
      <w:pPr>
        <w:spacing w:after="0" w:line="14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1.62 “</w:t>
      </w:r>
      <w:r>
        <w:rPr>
          <w:rFonts w:ascii="Arial" w:cs="Arial" w:eastAsia="Arial" w:hAnsi="Arial"/>
          <w:sz w:val="19"/>
          <w:szCs w:val="19"/>
          <w:b w:val="1"/>
          <w:bCs w:val="1"/>
          <w:color w:val="auto"/>
        </w:rPr>
        <w:t>Excluded Target</w:t>
      </w:r>
      <w:r>
        <w:rPr>
          <w:rFonts w:ascii="Arial" w:cs="Arial" w:eastAsia="Arial" w:hAnsi="Arial"/>
          <w:sz w:val="19"/>
          <w:szCs w:val="19"/>
          <w:color w:val="auto"/>
        </w:rPr>
        <w:t xml:space="preserve">” means, as of a particular period in time, a target that is (a) (i) subject to a binding contractual obligation under a written agreement with a Third Party that would conflict with the inclusion of a target as a Selected Target hereunder or (ii) the subject of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development program specific to such target for which Fulcrum has initiated</w:t>
      </w:r>
    </w:p>
    <w:p>
      <w:pPr>
        <w:spacing w:after="0" w:line="2" w:lineRule="exact"/>
        <w:rPr>
          <w:sz w:val="20"/>
          <w:szCs w:val="20"/>
          <w:color w:val="auto"/>
        </w:rPr>
      </w:pPr>
    </w:p>
    <w:p>
      <w:pPr>
        <w:jc w:val="both"/>
        <w:ind w:firstLine="8"/>
        <w:spacing w:after="0" w:line="234" w:lineRule="auto"/>
        <w:tabs>
          <w:tab w:leader="none" w:pos="418"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and Fulcrum intends in good faith to continue to pursue or (b) MyoKardia has identified on </w:t>
      </w:r>
      <w:r>
        <w:rPr>
          <w:rFonts w:ascii="Arial" w:cs="Arial" w:eastAsia="Arial" w:hAnsi="Arial"/>
          <w:sz w:val="22"/>
          <w:szCs w:val="22"/>
          <w:u w:val="single" w:color="auto"/>
          <w:color w:val="auto"/>
        </w:rPr>
        <w:t>Schedule 1.62(b)</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 that</w:t>
      </w:r>
      <w:r>
        <w:rPr>
          <w:rFonts w:ascii="Arial" w:cs="Arial" w:eastAsia="Arial" w:hAnsi="Arial"/>
          <w:sz w:val="22"/>
          <w:szCs w:val="22"/>
          <w:color w:val="auto"/>
        </w:rPr>
        <w:t>, until the selection of Cardiomyopathy Target Candidates, no Selected Targets may become Excluded Targets without MyoKardia’s prior written permission.</w:t>
      </w:r>
    </w:p>
    <w:p>
      <w:pPr>
        <w:spacing w:after="0" w:line="181"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Technology</w:t>
      </w:r>
      <w:r>
        <w:rPr>
          <w:rFonts w:ascii="Arial" w:cs="Arial" w:eastAsia="Arial" w:hAnsi="Arial"/>
          <w:sz w:val="19"/>
          <w:szCs w:val="19"/>
          <w:color w:val="auto"/>
        </w:rPr>
        <w:t>” means the Excluded Patent Rights and the Excluded Know-How.</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Exclusivity Period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5.5.1(a)</w:t>
      </w:r>
      <w:r>
        <w:rPr>
          <w:rFonts w:ascii="Arial" w:cs="Arial" w:eastAsia="Arial" w:hAnsi="Arial"/>
          <w:sz w:val="19"/>
          <w:szCs w:val="19"/>
          <w:color w:val="auto"/>
        </w:rPr>
        <w:t xml:space="preserve"> (Data).</w:t>
      </w:r>
    </w:p>
    <w:p>
      <w:pPr>
        <w:spacing w:after="0" w:line="206" w:lineRule="exact"/>
        <w:rPr>
          <w:sz w:val="20"/>
          <w:szCs w:val="20"/>
          <w:color w:val="auto"/>
        </w:rPr>
      </w:pPr>
    </w:p>
    <w:p>
      <w:pPr>
        <w:ind w:right="20" w:firstLine="864"/>
        <w:spacing w:after="0" w:line="256" w:lineRule="auto"/>
        <w:rPr>
          <w:sz w:val="20"/>
          <w:szCs w:val="20"/>
          <w:color w:val="auto"/>
        </w:rPr>
      </w:pPr>
      <w:r>
        <w:rPr>
          <w:rFonts w:ascii="Arial" w:cs="Arial" w:eastAsia="Arial" w:hAnsi="Arial"/>
          <w:sz w:val="22"/>
          <w:szCs w:val="22"/>
          <w:color w:val="auto"/>
        </w:rPr>
        <w:t>1.65 “</w:t>
      </w:r>
      <w:r>
        <w:rPr>
          <w:rFonts w:ascii="Arial" w:cs="Arial" w:eastAsia="Arial" w:hAnsi="Arial"/>
          <w:sz w:val="22"/>
          <w:szCs w:val="22"/>
          <w:b w:val="1"/>
          <w:bCs w:val="1"/>
          <w:color w:val="auto"/>
        </w:rPr>
        <w:t>Executive Officers</w:t>
      </w:r>
      <w:r>
        <w:rPr>
          <w:rFonts w:ascii="Arial" w:cs="Arial" w:eastAsia="Arial" w:hAnsi="Arial"/>
          <w:sz w:val="22"/>
          <w:szCs w:val="22"/>
          <w:color w:val="auto"/>
        </w:rPr>
        <w:t>” means the [**] of Fulcrum, initially [**], and the [**] of MyoKardia, initially [**] or either of their respective designees having sufficient authority to resolve the applicable matter.</w:t>
      </w:r>
    </w:p>
    <w:p>
      <w:pPr>
        <w:spacing w:after="0" w:line="162"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1.66 “</w:t>
      </w:r>
      <w:r>
        <w:rPr>
          <w:rFonts w:ascii="Arial" w:cs="Arial" w:eastAsia="Arial" w:hAnsi="Arial"/>
          <w:sz w:val="22"/>
          <w:szCs w:val="22"/>
          <w:b w:val="1"/>
          <w:bCs w:val="1"/>
          <w:color w:val="auto"/>
        </w:rPr>
        <w:t>Existing Platform Patent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8.2.1</w:t>
      </w:r>
      <w:r>
        <w:rPr>
          <w:rFonts w:ascii="Arial" w:cs="Arial" w:eastAsia="Arial" w:hAnsi="Arial"/>
          <w:sz w:val="22"/>
          <w:szCs w:val="22"/>
          <w:color w:val="auto"/>
        </w:rPr>
        <w:t xml:space="preserve"> (Representations and Warranties of Fulcrum).</w:t>
      </w:r>
    </w:p>
    <w:p>
      <w:pPr>
        <w:spacing w:after="0" w:line="162"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1.67 “</w:t>
      </w:r>
      <w:r>
        <w:rPr>
          <w:rFonts w:ascii="Arial" w:cs="Arial" w:eastAsia="Arial" w:hAnsi="Arial"/>
          <w:sz w:val="22"/>
          <w:szCs w:val="22"/>
          <w:b w:val="1"/>
          <w:bCs w:val="1"/>
          <w:color w:val="auto"/>
        </w:rPr>
        <w:t>FD&amp;C Act</w:t>
      </w:r>
      <w:r>
        <w:rPr>
          <w:rFonts w:ascii="Arial" w:cs="Arial" w:eastAsia="Arial" w:hAnsi="Arial"/>
          <w:sz w:val="22"/>
          <w:szCs w:val="22"/>
          <w:color w:val="auto"/>
        </w:rPr>
        <w:t>” means the United States Federal Food, Drug, and Cosmetic Act, as amended, and the rules and regulations promulgated thereunder.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5" w:name="page96"/>
    <w:bookmarkEnd w:id="95"/>
    <w:p>
      <w:pPr>
        <w:ind w:left="880"/>
        <w:spacing w:after="0"/>
        <w:tabs>
          <w:tab w:leader="none" w:pos="188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and any successor entity thereto.</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1.69 “</w:t>
      </w:r>
      <w:r>
        <w:rPr>
          <w:rFonts w:ascii="Arial" w:cs="Arial" w:eastAsia="Arial" w:hAnsi="Arial"/>
          <w:sz w:val="22"/>
          <w:szCs w:val="22"/>
          <w:b w:val="1"/>
          <w:bCs w:val="1"/>
          <w:color w:val="auto"/>
        </w:rPr>
        <w:t>Field</w:t>
      </w:r>
      <w:r>
        <w:rPr>
          <w:rFonts w:ascii="Arial" w:cs="Arial" w:eastAsia="Arial" w:hAnsi="Arial"/>
          <w:sz w:val="22"/>
          <w:szCs w:val="22"/>
          <w:color w:val="auto"/>
        </w:rPr>
        <w:t>” means all fields of use except, for so long as Fulcrum is contractually prohibited from granting rights with respect thereto, the Excluded Field.</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Final Data Package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3.6.4</w:t>
      </w:r>
      <w:r>
        <w:rPr>
          <w:rFonts w:ascii="Arial" w:cs="Arial" w:eastAsia="Arial" w:hAnsi="Arial"/>
          <w:sz w:val="19"/>
          <w:szCs w:val="19"/>
          <w:color w:val="auto"/>
        </w:rPr>
        <w:t xml:space="preserve"> (Final Data Package).</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Final Data Package Delivery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3.6.4</w:t>
      </w:r>
      <w:r>
        <w:rPr>
          <w:rFonts w:ascii="Arial" w:cs="Arial" w:eastAsia="Arial" w:hAnsi="Arial"/>
          <w:sz w:val="19"/>
          <w:szCs w:val="19"/>
          <w:color w:val="auto"/>
        </w:rPr>
        <w:t xml:space="preserve"> (Final Data Package).</w:t>
      </w:r>
    </w:p>
    <w:p>
      <w:pPr>
        <w:spacing w:after="0" w:line="20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1.72 “</w:t>
      </w:r>
      <w:r>
        <w:rPr>
          <w:rFonts w:ascii="Arial" w:cs="Arial" w:eastAsia="Arial" w:hAnsi="Arial"/>
          <w:sz w:val="19"/>
          <w:szCs w:val="19"/>
          <w:b w:val="1"/>
          <w:bCs w:val="1"/>
          <w:color w:val="auto"/>
        </w:rPr>
        <w:t>First Commercial Sale</w:t>
      </w:r>
      <w:r>
        <w:rPr>
          <w:rFonts w:ascii="Arial" w:cs="Arial" w:eastAsia="Arial" w:hAnsi="Arial"/>
          <w:sz w:val="19"/>
          <w:szCs w:val="19"/>
          <w:color w:val="auto"/>
        </w:rPr>
        <w:t xml:space="preserve">” means with respect to a Product in a country, the first commercial sale in a country by MyoKardia, its Affiliates, or Licensees of such Product to a Third Party following receipt of Regulatory Approval for such Product;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First Commercial Sale does not include (a) any sale to or between MyoKardia, its Affiliates, or Licensees, (b) any use of such Product in Clinical Trials, pre-clinical studies or other development activities, or (c) the disposal or transfer of such Product for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charitable purpose, including expanded access or compassionate use.</w:t>
      </w:r>
    </w:p>
    <w:p>
      <w:pPr>
        <w:spacing w:after="0" w:line="14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First Designation Period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3.6.5</w:t>
      </w:r>
      <w:r>
        <w:rPr>
          <w:rFonts w:ascii="Arial" w:cs="Arial" w:eastAsia="Arial" w:hAnsi="Arial"/>
          <w:sz w:val="19"/>
          <w:szCs w:val="19"/>
          <w:color w:val="auto"/>
        </w:rPr>
        <w:t xml:space="preserve"> (Selection of Lead Cardiomyopathy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Target).</w:t>
      </w:r>
    </w:p>
    <w:p>
      <w:pPr>
        <w:spacing w:after="0" w:line="18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1.74 “</w:t>
      </w:r>
      <w:r>
        <w:rPr>
          <w:rFonts w:ascii="Arial" w:cs="Arial" w:eastAsia="Arial" w:hAnsi="Arial"/>
          <w:sz w:val="22"/>
          <w:szCs w:val="22"/>
          <w:b w:val="1"/>
          <w:bCs w:val="1"/>
          <w:color w:val="auto"/>
        </w:rPr>
        <w:t>Follow-On Cardiomyopathy Target</w:t>
      </w:r>
      <w:r>
        <w:rPr>
          <w:rFonts w:ascii="Arial" w:cs="Arial" w:eastAsia="Arial" w:hAnsi="Arial"/>
          <w:sz w:val="22"/>
          <w:szCs w:val="22"/>
          <w:color w:val="auto"/>
        </w:rPr>
        <w:t xml:space="preserve">” means a Cardiomyopathy Target Candidate other than the Lead Cardiomyopathy Target that modulates the expression of the Lead Project Gene selected in accordance with </w:t>
      </w:r>
      <w:r>
        <w:rPr>
          <w:rFonts w:ascii="Arial" w:cs="Arial" w:eastAsia="Arial" w:hAnsi="Arial"/>
          <w:sz w:val="22"/>
          <w:szCs w:val="22"/>
          <w:u w:val="single" w:color="auto"/>
          <w:color w:val="auto"/>
        </w:rPr>
        <w:t>Section 3.6.6</w:t>
      </w:r>
      <w:r>
        <w:rPr>
          <w:rFonts w:ascii="Arial" w:cs="Arial" w:eastAsia="Arial" w:hAnsi="Arial"/>
          <w:sz w:val="22"/>
          <w:szCs w:val="22"/>
          <w:color w:val="auto"/>
        </w:rPr>
        <w:t xml:space="preserve"> (Selection of Follow-On Cardiomyopathy Targets and Additional Cardiomyopathy Targets). A Follow-On Cardiomyopathy Target will also include any [**]. With respect to the immediately preceding sentence, any [**] intended to be included as described in such sentence shall be identified and documented in writing at the time that Selected Targets are designated in accordance with </w:t>
      </w:r>
      <w:r>
        <w:rPr>
          <w:rFonts w:ascii="Arial" w:cs="Arial" w:eastAsia="Arial" w:hAnsi="Arial"/>
          <w:sz w:val="22"/>
          <w:szCs w:val="22"/>
          <w:u w:val="single" w:color="auto"/>
          <w:color w:val="auto"/>
        </w:rPr>
        <w:t>Section 3.6.2</w:t>
      </w:r>
      <w:r>
        <w:rPr>
          <w:rFonts w:ascii="Arial" w:cs="Arial" w:eastAsia="Arial" w:hAnsi="Arial"/>
          <w:sz w:val="22"/>
          <w:szCs w:val="22"/>
          <w:color w:val="auto"/>
        </w:rPr>
        <w:t xml:space="preserve"> (Part 1 Validation).</w:t>
      </w:r>
    </w:p>
    <w:p>
      <w:pPr>
        <w:spacing w:after="0" w:line="18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1.75 “</w:t>
      </w:r>
      <w:r>
        <w:rPr>
          <w:rFonts w:ascii="Arial" w:cs="Arial" w:eastAsia="Arial" w:hAnsi="Arial"/>
          <w:sz w:val="19"/>
          <w:szCs w:val="19"/>
          <w:b w:val="1"/>
          <w:bCs w:val="1"/>
          <w:color w:val="auto"/>
        </w:rPr>
        <w:t>FTE</w:t>
      </w:r>
      <w:r>
        <w:rPr>
          <w:rFonts w:ascii="Arial" w:cs="Arial" w:eastAsia="Arial" w:hAnsi="Arial"/>
          <w:sz w:val="19"/>
          <w:szCs w:val="19"/>
          <w:color w:val="auto"/>
        </w:rPr>
        <w:t>” means a full-time equivalent employee (</w:t>
      </w:r>
      <w:r>
        <w:rPr>
          <w:rFonts w:ascii="Arial" w:cs="Arial" w:eastAsia="Arial" w:hAnsi="Arial"/>
          <w:sz w:val="19"/>
          <w:szCs w:val="19"/>
          <w:i w:val="1"/>
          <w:iCs w:val="1"/>
          <w:color w:val="auto"/>
        </w:rPr>
        <w:t>i.e.</w:t>
      </w:r>
      <w:r>
        <w:rPr>
          <w:rFonts w:ascii="Arial" w:cs="Arial" w:eastAsia="Arial" w:hAnsi="Arial"/>
          <w:sz w:val="19"/>
          <w:szCs w:val="19"/>
          <w:color w:val="auto"/>
        </w:rPr>
        <w:t>, one fully-committed or multiple partially-committed employees aggregating to one full-time employee) employed or contracted by a Party and assigned to perform specified work, with such commitment of time and effort to constitute one employee performing such work on a full-time basis, which for purposes of activities performed under this Agreement will be [**]. For the avoidance of doubt, FTEs shall not include personnel performing administrative and corporate functions, including but not limited to human resources, legal and investor relations.</w:t>
      </w:r>
    </w:p>
    <w:p>
      <w:pPr>
        <w:spacing w:after="0" w:line="143"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1.76 “</w:t>
      </w:r>
      <w:r>
        <w:rPr>
          <w:rFonts w:ascii="Arial" w:cs="Arial" w:eastAsia="Arial" w:hAnsi="Arial"/>
          <w:sz w:val="19"/>
          <w:szCs w:val="19"/>
          <w:b w:val="1"/>
          <w:bCs w:val="1"/>
          <w:color w:val="auto"/>
        </w:rPr>
        <w:t>FTE Hourly Rate</w:t>
      </w:r>
      <w:r>
        <w:rPr>
          <w:rFonts w:ascii="Arial" w:cs="Arial" w:eastAsia="Arial" w:hAnsi="Arial"/>
          <w:sz w:val="19"/>
          <w:szCs w:val="19"/>
          <w:color w:val="auto"/>
        </w:rPr>
        <w:t>” means, with respect to any Fulcrum FTE performing Fulcrum Research Activities, a rate of [**], subject to annual increases beginning on January 1, 2021 to reflect, as of December 31 of the then-most recently completed Calendar Year, the increase in the level of the CPI in the U.S. as compared to December 31 of the immediately preceding Calendar Year. The FTE Hourly Rate is “fully burdened” and includes employee salaries, benefits, bonuses and overhead allocated to such employee’s work hereunder, but excludes, for the avoidance of doubt, Out-of-Pocket Expenses.</w:t>
      </w:r>
    </w:p>
    <w:p>
      <w:pPr>
        <w:spacing w:after="0" w:line="14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Fulcrum</w:t>
      </w:r>
      <w:r>
        <w:rPr>
          <w:rFonts w:ascii="Arial" w:cs="Arial" w:eastAsia="Arial" w:hAnsi="Arial"/>
          <w:sz w:val="19"/>
          <w:szCs w:val="19"/>
          <w:color w:val="auto"/>
        </w:rPr>
        <w:t>” has the meaning set forth in the preamble of this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6" w:name="page97"/>
    <w:bookmarkEnd w:id="96"/>
    <w:p>
      <w:pPr>
        <w:ind w:left="880"/>
        <w:spacing w:after="0"/>
        <w:tabs>
          <w:tab w:leader="none" w:pos="188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Fulcrum 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(Indemnification by MyoKardia).</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Fulcrum Patent Rights</w:t>
      </w:r>
      <w:r>
        <w:rPr>
          <w:rFonts w:ascii="Arial" w:cs="Arial" w:eastAsia="Arial" w:hAnsi="Arial"/>
          <w:sz w:val="19"/>
          <w:szCs w:val="19"/>
          <w:color w:val="auto"/>
        </w:rPr>
        <w:t>” means the Patent Rights within the Fulcrum Technology.</w:t>
      </w:r>
    </w:p>
    <w:p>
      <w:pPr>
        <w:spacing w:after="0" w:line="20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color w:val="auto"/>
        </w:rPr>
        <w:t>1.80 “</w:t>
      </w:r>
      <w:r>
        <w:rPr>
          <w:rFonts w:ascii="Arial" w:cs="Arial" w:eastAsia="Arial" w:hAnsi="Arial"/>
          <w:sz w:val="21"/>
          <w:szCs w:val="21"/>
          <w:b w:val="1"/>
          <w:bCs w:val="1"/>
          <w:color w:val="auto"/>
        </w:rPr>
        <w:t>Fulcrum Platform</w:t>
      </w:r>
      <w:r>
        <w:rPr>
          <w:rFonts w:ascii="Arial" w:cs="Arial" w:eastAsia="Arial" w:hAnsi="Arial"/>
          <w:sz w:val="21"/>
          <w:szCs w:val="21"/>
          <w:color w:val="auto"/>
        </w:rPr>
        <w:t>” means Fulcrum’s proprietary high-throughput discovery platform designed to identify and validate biological drug targets that balance the expression of the genes known to drive or ameliorate disease and Fulcrum’s proprietary library of compounds, in each case, as such exist from time to time during the Research Term.</w:t>
      </w:r>
    </w:p>
    <w:p>
      <w:pPr>
        <w:spacing w:after="0" w:line="16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1.81 “</w:t>
      </w:r>
      <w:r>
        <w:rPr>
          <w:rFonts w:ascii="Arial" w:cs="Arial" w:eastAsia="Arial" w:hAnsi="Arial"/>
          <w:sz w:val="22"/>
          <w:szCs w:val="22"/>
          <w:b w:val="1"/>
          <w:bCs w:val="1"/>
          <w:color w:val="auto"/>
        </w:rPr>
        <w:t>Fulcrum Research Activities</w:t>
      </w:r>
      <w:r>
        <w:rPr>
          <w:rFonts w:ascii="Arial" w:cs="Arial" w:eastAsia="Arial" w:hAnsi="Arial"/>
          <w:sz w:val="22"/>
          <w:szCs w:val="22"/>
          <w:color w:val="auto"/>
        </w:rPr>
        <w:t>” means any research conducted or to be conducted by or on behalf of Fulcrum (including by an Affiliate or subcontractor of Fulcrum) under the Research Plan.</w:t>
      </w:r>
    </w:p>
    <w:p>
      <w:pPr>
        <w:spacing w:after="0" w:line="16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1.82 “</w:t>
      </w:r>
      <w:r>
        <w:rPr>
          <w:rFonts w:ascii="Arial" w:cs="Arial" w:eastAsia="Arial" w:hAnsi="Arial"/>
          <w:sz w:val="22"/>
          <w:szCs w:val="22"/>
          <w:b w:val="1"/>
          <w:bCs w:val="1"/>
          <w:color w:val="auto"/>
        </w:rPr>
        <w:t>Fulcrum Technology</w:t>
      </w:r>
      <w:r>
        <w:rPr>
          <w:rFonts w:ascii="Arial" w:cs="Arial" w:eastAsia="Arial" w:hAnsi="Arial"/>
          <w:sz w:val="22"/>
          <w:szCs w:val="22"/>
          <w:color w:val="auto"/>
        </w:rPr>
        <w:t xml:space="preserve">” means </w:t>
      </w:r>
      <w:r>
        <w:rPr>
          <w:rFonts w:ascii="Arial" w:cs="Arial" w:eastAsia="Arial" w:hAnsi="Arial"/>
          <w:sz w:val="22"/>
          <w:szCs w:val="22"/>
          <w:color w:val="201F1E"/>
        </w:rPr>
        <w:t>all Know-How and Patent Rights (a) Controlled by Fulcrum (i) as of the</w:t>
      </w:r>
      <w:r>
        <w:rPr>
          <w:rFonts w:ascii="Arial" w:cs="Arial" w:eastAsia="Arial" w:hAnsi="Arial"/>
          <w:sz w:val="22"/>
          <w:szCs w:val="22"/>
          <w:color w:val="auto"/>
        </w:rPr>
        <w:t xml:space="preserve"> </w:t>
      </w:r>
      <w:r>
        <w:rPr>
          <w:rFonts w:ascii="Arial" w:cs="Arial" w:eastAsia="Arial" w:hAnsi="Arial"/>
          <w:sz w:val="22"/>
          <w:szCs w:val="22"/>
          <w:color w:val="201F1E"/>
        </w:rPr>
        <w:t xml:space="preserve">Effective Date or (ii) during the Research Term and, in the case of this clause (ii), (x) developed in the conduct of the Fulcrum Research Activities or (y) otherwise to the extent related to, covering or </w:t>
      </w:r>
      <w:r>
        <w:rPr>
          <w:rFonts w:ascii="Arial" w:cs="Arial" w:eastAsia="Arial" w:hAnsi="Arial"/>
          <w:sz w:val="22"/>
          <w:szCs w:val="22"/>
          <w:color w:val="000000"/>
        </w:rPr>
        <w:t>disclosing</w:t>
      </w:r>
      <w:r>
        <w:rPr>
          <w:rFonts w:ascii="Arial" w:cs="Arial" w:eastAsia="Arial" w:hAnsi="Arial"/>
          <w:sz w:val="22"/>
          <w:szCs w:val="22"/>
          <w:color w:val="201F1E"/>
        </w:rPr>
        <w:t xml:space="preserve"> any method of modulating the activity of any Target for the treatment of any Lead Project Gene Exclusive Indication or Additional Project Gene Exclusive Indication, and (b) that are necessary to research, develop, manufacture, commercialize, or otherwise exploit Molecules and Products in the Territory in the Field, other than any Excluded Technology. For the avoidance of doubt, the Fulcrum Technology includes Fulcrum’s interest in the Joint Technology.</w:t>
      </w:r>
    </w:p>
    <w:p>
      <w:pPr>
        <w:spacing w:after="0" w:line="183"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as practiced in the United States, consistently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applied.</w:t>
      </w:r>
    </w:p>
    <w:p>
      <w:pPr>
        <w:spacing w:after="0" w:line="18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1.84 “</w:t>
      </w:r>
      <w:r>
        <w:rPr>
          <w:rFonts w:ascii="Arial" w:cs="Arial" w:eastAsia="Arial" w:hAnsi="Arial"/>
          <w:sz w:val="19"/>
          <w:szCs w:val="19"/>
          <w:b w:val="1"/>
          <w:bCs w:val="1"/>
          <w:color w:val="auto"/>
        </w:rPr>
        <w:t>Generic Product</w:t>
      </w:r>
      <w:r>
        <w:rPr>
          <w:rFonts w:ascii="Arial" w:cs="Arial" w:eastAsia="Arial" w:hAnsi="Arial"/>
          <w:sz w:val="19"/>
          <w:szCs w:val="19"/>
          <w:color w:val="auto"/>
        </w:rPr>
        <w:t>” means, with respect to a Product, and on a Product-by-Product and country-by-country basis, any product (including a “generic product,” “biogeneric,” “follow-on biologic,” “follow-on biological product,” “follow-on protein product,” “similar biological medicinal product,” or “biosimilar product”) approved by way of an abbreviated regulatory mechanism by the relevant Regulatory Authority in a country in reference to such Product, that in each case: (a) is sold in the same country (or is commercially available in the same country via import from another country) as such Product by any Third Party that is not a Sublicensee of MyoKardia or its Affiliates and that did not purchase such product in a chain of distribution that included any of MyoKardia or any of its Affiliates or its Sublicensees; and (b) meets the equivalency determination by the applicable Regulatory Authority in such country (including a determination that the product is “comparable,” “interchangeable,” “bioequivalent,” “biosimilar” or other term of similar meaning, with respect to the Product), in each case, as is necessary to permit substitution of such product for the Product under Applicable Law in such country.</w:t>
      </w:r>
    </w:p>
    <w:p>
      <w:pPr>
        <w:spacing w:after="0" w:line="15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1.85 “</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court, agency, department, authority or other instrumentality of any national, state, county, city or other political subdivision.</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1.86 “</w:t>
      </w:r>
      <w:r>
        <w:rPr>
          <w:rFonts w:ascii="Arial" w:cs="Arial" w:eastAsia="Arial" w:hAnsi="Arial"/>
          <w:sz w:val="22"/>
          <w:szCs w:val="22"/>
          <w:b w:val="1"/>
          <w:bCs w:val="1"/>
          <w:color w:val="auto"/>
        </w:rPr>
        <w:t>IND</w:t>
      </w:r>
      <w:r>
        <w:rPr>
          <w:rFonts w:ascii="Arial" w:cs="Arial" w:eastAsia="Arial" w:hAnsi="Arial"/>
          <w:sz w:val="22"/>
          <w:szCs w:val="22"/>
          <w:color w:val="auto"/>
        </w:rPr>
        <w:t>” means an Investigational New Drug Application submitted under the FD&amp;C Act, or an analogous application or submission with any analogous agency or Regulatory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Authority outside of the United States for the purposes of obtaining permission to conduct Clinical Trials.</w:t>
      </w:r>
    </w:p>
    <w:p>
      <w:pPr>
        <w:spacing w:after="0" w:line="20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(Procedure).</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(Procedure).</w:t>
      </w:r>
    </w:p>
    <w:p>
      <w:pPr>
        <w:spacing w:after="0" w:line="20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1.89 “</w:t>
      </w:r>
      <w:r>
        <w:rPr>
          <w:rFonts w:ascii="Arial" w:cs="Arial" w:eastAsia="Arial" w:hAnsi="Arial"/>
          <w:sz w:val="21"/>
          <w:szCs w:val="21"/>
          <w:b w:val="1"/>
          <w:bCs w:val="1"/>
          <w:color w:val="auto"/>
        </w:rPr>
        <w:t>Initial Cardiomyopathy Milestone Target</w:t>
      </w:r>
      <w:r>
        <w:rPr>
          <w:rFonts w:ascii="Arial" w:cs="Arial" w:eastAsia="Arial" w:hAnsi="Arial"/>
          <w:sz w:val="21"/>
          <w:szCs w:val="21"/>
          <w:color w:val="auto"/>
        </w:rPr>
        <w:t>” means (a) the Lead Cardiomyopathy Target, (b) a Follow-On Cardiomyopathy Target or (c) a Disclosed Target that modulates the expression of the Lead Project Gene.</w:t>
      </w:r>
    </w:p>
    <w:p>
      <w:pPr>
        <w:spacing w:after="0" w:line="13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1.90 “</w:t>
      </w:r>
      <w:r>
        <w:rPr>
          <w:rFonts w:ascii="Arial" w:cs="Arial" w:eastAsia="Arial" w:hAnsi="Arial"/>
          <w:sz w:val="22"/>
          <w:szCs w:val="22"/>
          <w:b w:val="1"/>
          <w:bCs w:val="1"/>
          <w:color w:val="auto"/>
        </w:rPr>
        <w:t>Initiation</w:t>
      </w:r>
      <w:r>
        <w:rPr>
          <w:rFonts w:ascii="Arial" w:cs="Arial" w:eastAsia="Arial" w:hAnsi="Arial"/>
          <w:sz w:val="22"/>
          <w:szCs w:val="22"/>
          <w:color w:val="auto"/>
        </w:rPr>
        <w:t>” or “</w:t>
      </w:r>
      <w:r>
        <w:rPr>
          <w:rFonts w:ascii="Arial" w:cs="Arial" w:eastAsia="Arial" w:hAnsi="Arial"/>
          <w:sz w:val="22"/>
          <w:szCs w:val="22"/>
          <w:b w:val="1"/>
          <w:bCs w:val="1"/>
          <w:color w:val="auto"/>
        </w:rPr>
        <w:t>Initiate</w:t>
      </w:r>
      <w:r>
        <w:rPr>
          <w:rFonts w:ascii="Arial" w:cs="Arial" w:eastAsia="Arial" w:hAnsi="Arial"/>
          <w:sz w:val="22"/>
          <w:szCs w:val="22"/>
          <w:color w:val="auto"/>
        </w:rPr>
        <w:t>” means, with respect to any Clinical Trial, dosing of the first human subject in such Clinical Trial.</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Insolvency Event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10.2.4(a)</w:t>
      </w:r>
      <w:r>
        <w:rPr>
          <w:rFonts w:ascii="Arial" w:cs="Arial" w:eastAsia="Arial" w:hAnsi="Arial"/>
          <w:sz w:val="19"/>
          <w:szCs w:val="19"/>
          <w:color w:val="auto"/>
        </w:rPr>
        <w:t xml:space="preserve"> (Termination for Insolvency).</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Insolvent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10.2.4(a)</w:t>
      </w:r>
      <w:r>
        <w:rPr>
          <w:rFonts w:ascii="Arial" w:cs="Arial" w:eastAsia="Arial" w:hAnsi="Arial"/>
          <w:sz w:val="19"/>
          <w:szCs w:val="19"/>
          <w:color w:val="auto"/>
        </w:rPr>
        <w:t xml:space="preserve"> (Termination for Insolvency).</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1.93 “</w:t>
      </w:r>
      <w:r>
        <w:rPr>
          <w:rFonts w:ascii="Arial" w:cs="Arial" w:eastAsia="Arial" w:hAnsi="Arial"/>
          <w:sz w:val="22"/>
          <w:szCs w:val="22"/>
          <w:b w:val="1"/>
          <w:bCs w:val="1"/>
          <w:color w:val="auto"/>
        </w:rPr>
        <w:t>Joint Know-How</w:t>
      </w:r>
      <w:r>
        <w:rPr>
          <w:rFonts w:ascii="Arial" w:cs="Arial" w:eastAsia="Arial" w:hAnsi="Arial"/>
          <w:sz w:val="22"/>
          <w:szCs w:val="22"/>
          <w:color w:val="auto"/>
        </w:rPr>
        <w:t xml:space="preserve">” means the Target Know-How and any other Know-How that is jointly owned by the Parties pursuant to </w:t>
      </w:r>
      <w:r>
        <w:rPr>
          <w:rFonts w:ascii="Arial" w:cs="Arial" w:eastAsia="Arial" w:hAnsi="Arial"/>
          <w:sz w:val="22"/>
          <w:szCs w:val="22"/>
          <w:u w:val="single" w:color="auto"/>
          <w:color w:val="auto"/>
        </w:rPr>
        <w:t>Sections 7.1.1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7.1.4(b)(i)</w:t>
      </w:r>
      <w:r>
        <w:rPr>
          <w:rFonts w:ascii="Arial" w:cs="Arial" w:eastAsia="Arial" w:hAnsi="Arial"/>
          <w:sz w:val="22"/>
          <w:szCs w:val="22"/>
          <w:color w:val="auto"/>
        </w:rPr>
        <w:t xml:space="preserve"> (Ownership of Technology).</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Patent Rights</w:t>
      </w:r>
      <w:r>
        <w:rPr>
          <w:rFonts w:ascii="Arial" w:cs="Arial" w:eastAsia="Arial" w:hAnsi="Arial"/>
          <w:sz w:val="19"/>
          <w:szCs w:val="19"/>
          <w:color w:val="auto"/>
        </w:rPr>
        <w:t>” means the Target Patent Rights and any other Patent Rights that Cover Joint Know-</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How.</w:t>
      </w:r>
    </w:p>
    <w:p>
      <w:pPr>
        <w:spacing w:after="0" w:line="18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1.95 “</w:t>
      </w:r>
      <w:r>
        <w:rPr>
          <w:rFonts w:ascii="Arial" w:cs="Arial" w:eastAsia="Arial" w:hAnsi="Arial"/>
          <w:sz w:val="22"/>
          <w:szCs w:val="22"/>
          <w:b w:val="1"/>
          <w:bCs w:val="1"/>
          <w:color w:val="auto"/>
        </w:rPr>
        <w:t>Joint Steering Committee”</w:t>
      </w:r>
      <w:r>
        <w:rPr>
          <w:rFonts w:ascii="Arial" w:cs="Arial" w:eastAsia="Arial" w:hAnsi="Arial"/>
          <w:sz w:val="22"/>
          <w:szCs w:val="22"/>
          <w:color w:val="auto"/>
        </w:rPr>
        <w:t xml:space="preserve"> or “</w:t>
      </w:r>
      <w:r>
        <w:rPr>
          <w:rFonts w:ascii="Arial" w:cs="Arial" w:eastAsia="Arial" w:hAnsi="Arial"/>
          <w:sz w:val="22"/>
          <w:szCs w:val="22"/>
          <w:b w:val="1"/>
          <w:bCs w:val="1"/>
          <w:color w:val="auto"/>
        </w:rPr>
        <w:t>JSC</w:t>
      </w:r>
      <w:r>
        <w:rPr>
          <w:rFonts w:ascii="Arial" w:cs="Arial" w:eastAsia="Arial" w:hAnsi="Arial"/>
          <w:sz w:val="22"/>
          <w:szCs w:val="22"/>
          <w:color w:val="auto"/>
        </w:rPr>
        <w:t xml:space="preserve">” means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(Joint Steering Committee).</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Technology</w:t>
      </w:r>
      <w:r>
        <w:rPr>
          <w:rFonts w:ascii="Arial" w:cs="Arial" w:eastAsia="Arial" w:hAnsi="Arial"/>
          <w:sz w:val="19"/>
          <w:szCs w:val="19"/>
          <w:color w:val="auto"/>
        </w:rPr>
        <w:t>” means the Joint Know-How and the Joint Patent Rights.</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Jointly Controlled Patent Rights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7.4.3</w:t>
      </w:r>
      <w:r>
        <w:rPr>
          <w:rFonts w:ascii="Arial" w:cs="Arial" w:eastAsia="Arial" w:hAnsi="Arial"/>
          <w:sz w:val="19"/>
          <w:szCs w:val="19"/>
          <w:color w:val="auto"/>
        </w:rPr>
        <w:t xml:space="preserve"> (Joint Patent Rights).</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1.98 “</w:t>
      </w:r>
      <w:r>
        <w:rPr>
          <w:rFonts w:ascii="Arial" w:cs="Arial" w:eastAsia="Arial" w:hAnsi="Arial"/>
          <w:sz w:val="22"/>
          <w:szCs w:val="22"/>
          <w:b w:val="1"/>
          <w:bCs w:val="1"/>
          <w:color w:val="auto"/>
        </w:rPr>
        <w:t>Know-How</w:t>
      </w:r>
      <w:r>
        <w:rPr>
          <w:rFonts w:ascii="Arial" w:cs="Arial" w:eastAsia="Arial" w:hAnsi="Arial"/>
          <w:sz w:val="22"/>
          <w:szCs w:val="22"/>
          <w:color w:val="auto"/>
        </w:rPr>
        <w:t xml:space="preserve">” means confidential (as of the time of disclosure) intellectual property, data, results, pre-clinical and clinical protocols and data from studies and Clinical Trials, chemical structures, chemical sequences, information, inventions, know-how, formulas, trade secrets, techniques, methods, processes, procedures and developments;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Know-How does not include Patent Rights.</w:t>
      </w:r>
    </w:p>
    <w:p>
      <w:pPr>
        <w:spacing w:after="0" w:line="18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1.99 “</w:t>
      </w:r>
      <w:r>
        <w:rPr>
          <w:rFonts w:ascii="Arial" w:cs="Arial" w:eastAsia="Arial" w:hAnsi="Arial"/>
          <w:sz w:val="22"/>
          <w:szCs w:val="22"/>
          <w:b w:val="1"/>
          <w:bCs w:val="1"/>
          <w:color w:val="auto"/>
        </w:rPr>
        <w:t>Lead Cardiomyopathy Target</w:t>
      </w:r>
      <w:r>
        <w:rPr>
          <w:rFonts w:ascii="Arial" w:cs="Arial" w:eastAsia="Arial" w:hAnsi="Arial"/>
          <w:sz w:val="22"/>
          <w:szCs w:val="22"/>
          <w:color w:val="auto"/>
        </w:rPr>
        <w:t xml:space="preserve">” means the Cardiomyopathy Target Candidate selected as the Lead Cardiomyopathy Target in accordance with </w:t>
      </w:r>
      <w:r>
        <w:rPr>
          <w:rFonts w:ascii="Arial" w:cs="Arial" w:eastAsia="Arial" w:hAnsi="Arial"/>
          <w:sz w:val="22"/>
          <w:szCs w:val="22"/>
          <w:u w:val="single" w:color="auto"/>
          <w:color w:val="auto"/>
        </w:rPr>
        <w:t>Section 3.6.5</w:t>
      </w:r>
      <w:r>
        <w:rPr>
          <w:rFonts w:ascii="Arial" w:cs="Arial" w:eastAsia="Arial" w:hAnsi="Arial"/>
          <w:sz w:val="22"/>
          <w:szCs w:val="22"/>
          <w:color w:val="auto"/>
        </w:rPr>
        <w:t xml:space="preserve"> (Selection of Lead Cardiomyopathy Target). The Lead Cardiomyopathy Target will also include any [**]. With respect to the immediately preceding sentence, any [**] intended to be included as described in such sentence shall be identified and documented in writing at the time that Selected Targets are designated in accordance with </w:t>
      </w:r>
      <w:r>
        <w:rPr>
          <w:rFonts w:ascii="Arial" w:cs="Arial" w:eastAsia="Arial" w:hAnsi="Arial"/>
          <w:sz w:val="22"/>
          <w:szCs w:val="22"/>
          <w:u w:val="single" w:color="auto"/>
          <w:color w:val="auto"/>
        </w:rPr>
        <w:t>Section 3.6.2</w:t>
      </w:r>
      <w:r>
        <w:rPr>
          <w:rFonts w:ascii="Arial" w:cs="Arial" w:eastAsia="Arial" w:hAnsi="Arial"/>
          <w:sz w:val="22"/>
          <w:szCs w:val="22"/>
          <w:color w:val="auto"/>
        </w:rPr>
        <w:t xml:space="preserve"> (Part 1 Validation).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8" w:name="page99"/>
    <w:bookmarkEnd w:id="98"/>
    <w:p>
      <w:pPr>
        <w:jc w:val="both"/>
        <w:ind w:firstLine="864"/>
        <w:spacing w:after="0" w:line="256" w:lineRule="auto"/>
        <w:rPr>
          <w:sz w:val="20"/>
          <w:szCs w:val="20"/>
          <w:color w:val="auto"/>
        </w:rPr>
      </w:pPr>
      <w:r>
        <w:rPr>
          <w:rFonts w:ascii="Arial" w:cs="Arial" w:eastAsia="Arial" w:hAnsi="Arial"/>
          <w:sz w:val="22"/>
          <w:szCs w:val="22"/>
          <w:color w:val="auto"/>
        </w:rPr>
        <w:t>1.100 “</w:t>
      </w:r>
      <w:r>
        <w:rPr>
          <w:rFonts w:ascii="Arial" w:cs="Arial" w:eastAsia="Arial" w:hAnsi="Arial"/>
          <w:sz w:val="22"/>
          <w:szCs w:val="22"/>
          <w:b w:val="1"/>
          <w:bCs w:val="1"/>
          <w:color w:val="auto"/>
        </w:rPr>
        <w:t>Lead Cardiomyopathy Target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3.6.5</w:t>
      </w:r>
      <w:r>
        <w:rPr>
          <w:rFonts w:ascii="Arial" w:cs="Arial" w:eastAsia="Arial" w:hAnsi="Arial"/>
          <w:sz w:val="22"/>
          <w:szCs w:val="22"/>
          <w:color w:val="auto"/>
        </w:rPr>
        <w:t xml:space="preserve"> (Selection of Lead Cardiomyopathy Target).</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1.101 “</w:t>
      </w:r>
      <w:r>
        <w:rPr>
          <w:rFonts w:ascii="Arial" w:cs="Arial" w:eastAsia="Arial" w:hAnsi="Arial"/>
          <w:sz w:val="22"/>
          <w:szCs w:val="22"/>
          <w:b w:val="1"/>
          <w:bCs w:val="1"/>
          <w:color w:val="auto"/>
        </w:rPr>
        <w:t>Lead Optimization</w:t>
      </w:r>
      <w:r>
        <w:rPr>
          <w:rFonts w:ascii="Arial" w:cs="Arial" w:eastAsia="Arial" w:hAnsi="Arial"/>
          <w:sz w:val="22"/>
          <w:szCs w:val="22"/>
          <w:color w:val="auto"/>
        </w:rPr>
        <w:t>” means the process of optimizing the properties of structurally-related compounds directed against a Target with the intent of identifying a suitable Development Candidate.</w:t>
      </w:r>
    </w:p>
    <w:p>
      <w:pPr>
        <w:spacing w:after="0" w:line="16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Project Gene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3.6.5</w:t>
      </w:r>
      <w:r>
        <w:rPr>
          <w:rFonts w:ascii="Arial" w:cs="Arial" w:eastAsia="Arial" w:hAnsi="Arial"/>
          <w:sz w:val="19"/>
          <w:szCs w:val="19"/>
          <w:color w:val="auto"/>
        </w:rPr>
        <w:t xml:space="preserve"> (Selection of Lead Cardiomyopathy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Target).</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1.103 “</w:t>
      </w:r>
      <w:r>
        <w:rPr>
          <w:rFonts w:ascii="Arial" w:cs="Arial" w:eastAsia="Arial" w:hAnsi="Arial"/>
          <w:sz w:val="22"/>
          <w:szCs w:val="22"/>
          <w:b w:val="1"/>
          <w:bCs w:val="1"/>
          <w:color w:val="auto"/>
        </w:rPr>
        <w:t>Lead Project Gene Exclusive Indications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3.6.5</w:t>
      </w:r>
      <w:r>
        <w:rPr>
          <w:rFonts w:ascii="Arial" w:cs="Arial" w:eastAsia="Arial" w:hAnsi="Arial"/>
          <w:sz w:val="22"/>
          <w:szCs w:val="22"/>
          <w:color w:val="auto"/>
        </w:rPr>
        <w:t xml:space="preserve"> (Selection of Lead Cardiomyopathy Target).</w:t>
      </w:r>
    </w:p>
    <w:p>
      <w:pPr>
        <w:spacing w:after="0" w:line="16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Liability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(Indemnification by MyoKardia).</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Product</w:t>
      </w:r>
      <w:r>
        <w:rPr>
          <w:rFonts w:ascii="Arial" w:cs="Arial" w:eastAsia="Arial" w:hAnsi="Arial"/>
          <w:sz w:val="19"/>
          <w:szCs w:val="19"/>
          <w:color w:val="auto"/>
        </w:rPr>
        <w:t>” means a pharmaceutical product containing a Collaboration Molecule.</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1.106 “</w:t>
      </w:r>
      <w:r>
        <w:rPr>
          <w:rFonts w:ascii="Arial" w:cs="Arial" w:eastAsia="Arial" w:hAnsi="Arial"/>
          <w:sz w:val="22"/>
          <w:szCs w:val="22"/>
          <w:b w:val="1"/>
          <w:bCs w:val="1"/>
          <w:color w:val="auto"/>
        </w:rPr>
        <w:t>Licensee</w:t>
      </w:r>
      <w:r>
        <w:rPr>
          <w:rFonts w:ascii="Arial" w:cs="Arial" w:eastAsia="Arial" w:hAnsi="Arial"/>
          <w:sz w:val="22"/>
          <w:szCs w:val="22"/>
          <w:color w:val="auto"/>
        </w:rPr>
        <w:t>” means (a) any Sublicensee or (b) any other entity to which MyoKardia or any of its Affiliates, directly or through multiple tiers, grants any rights to commercialize a Product.</w:t>
      </w:r>
    </w:p>
    <w:p>
      <w:pPr>
        <w:spacing w:after="0" w:line="16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1.107 “</w:t>
      </w:r>
      <w:r>
        <w:rPr>
          <w:rFonts w:ascii="Arial" w:cs="Arial" w:eastAsia="Arial" w:hAnsi="Arial"/>
          <w:sz w:val="21"/>
          <w:szCs w:val="21"/>
          <w:b w:val="1"/>
          <w:bCs w:val="1"/>
          <w:color w:val="auto"/>
        </w:rPr>
        <w:t>Loss of Market Exclusivity</w:t>
      </w:r>
      <w:r>
        <w:rPr>
          <w:rFonts w:ascii="Arial" w:cs="Arial" w:eastAsia="Arial" w:hAnsi="Arial"/>
          <w:sz w:val="21"/>
          <w:szCs w:val="21"/>
          <w:color w:val="auto"/>
        </w:rPr>
        <w:t>” means an event where, with respect to any Product in any country: (a) one or more Generic Products are being marketed in such country; and (b) aggregate Net Sales of such Product sold in that country during any Calendar Quarter following introduction of such Generic Product in such country have fallen by at least [**] in that country as compared to the average quarterly total aggregate Net Sales of such Product sold in such country during the last [**] prior to the Calendar Quarter in which such Generic Product was first introduced.</w:t>
      </w:r>
    </w:p>
    <w:p>
      <w:pPr>
        <w:spacing w:after="0" w:line="168"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1.108</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Major Market Countries</w:t>
      </w:r>
      <w:r>
        <w:rPr>
          <w:rFonts w:ascii="Arial" w:cs="Arial" w:eastAsia="Arial" w:hAnsi="Arial"/>
          <w:sz w:val="21"/>
          <w:szCs w:val="21"/>
          <w:color w:val="auto"/>
        </w:rPr>
        <w:t>” means [**].</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1.109 “</w:t>
      </w:r>
      <w:r>
        <w:rPr>
          <w:rFonts w:ascii="Arial" w:cs="Arial" w:eastAsia="Arial" w:hAnsi="Arial"/>
          <w:sz w:val="22"/>
          <w:szCs w:val="22"/>
          <w:b w:val="1"/>
          <w:bCs w:val="1"/>
          <w:color w:val="auto"/>
        </w:rPr>
        <w:t>Medicinal Chemistry Services</w:t>
      </w:r>
      <w:r>
        <w:rPr>
          <w:rFonts w:ascii="Arial" w:cs="Arial" w:eastAsia="Arial" w:hAnsi="Arial"/>
          <w:sz w:val="22"/>
          <w:szCs w:val="22"/>
          <w:color w:val="auto"/>
        </w:rPr>
        <w:t>” means services performed by Fulcrum, as requested by MyoKardia, outside of the Research Plan relating to the generation and optimization of Collaboration Molecules.</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1.110 “</w:t>
      </w:r>
      <w:r>
        <w:rPr>
          <w:rFonts w:ascii="Arial" w:cs="Arial" w:eastAsia="Arial" w:hAnsi="Arial"/>
          <w:sz w:val="22"/>
          <w:szCs w:val="22"/>
          <w:b w:val="1"/>
          <w:bCs w:val="1"/>
          <w:color w:val="auto"/>
        </w:rPr>
        <w:t>MHRA</w:t>
      </w:r>
      <w:r>
        <w:rPr>
          <w:rFonts w:ascii="Arial" w:cs="Arial" w:eastAsia="Arial" w:hAnsi="Arial"/>
          <w:sz w:val="22"/>
          <w:szCs w:val="22"/>
          <w:color w:val="auto"/>
        </w:rPr>
        <w:t>” means the Medicines and Healthcare Products Regulatory Agency in the United Kingdom and any successor entity thereto.</w:t>
      </w:r>
    </w:p>
    <w:p>
      <w:pPr>
        <w:spacing w:after="0" w:line="162"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Milestone</w:t>
      </w:r>
      <w:r>
        <w:rPr>
          <w:rFonts w:ascii="Arial" w:cs="Arial" w:eastAsia="Arial" w:hAnsi="Arial"/>
          <w:sz w:val="19"/>
          <w:szCs w:val="19"/>
          <w:color w:val="auto"/>
        </w:rPr>
        <w:t>” means a Development Milestone, Preclinical Milestone, [**] Milestone or Sales Milestone.</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1.112 “</w:t>
      </w:r>
      <w:r>
        <w:rPr>
          <w:rFonts w:ascii="Arial" w:cs="Arial" w:eastAsia="Arial" w:hAnsi="Arial"/>
          <w:sz w:val="22"/>
          <w:szCs w:val="22"/>
          <w:b w:val="1"/>
          <w:bCs w:val="1"/>
          <w:color w:val="auto"/>
        </w:rPr>
        <w:t>Milestone Payment</w:t>
      </w:r>
      <w:r>
        <w:rPr>
          <w:rFonts w:ascii="Arial" w:cs="Arial" w:eastAsia="Arial" w:hAnsi="Arial"/>
          <w:sz w:val="22"/>
          <w:szCs w:val="22"/>
          <w:color w:val="auto"/>
        </w:rPr>
        <w:t>” means a Development Milestone Payment, Preclinical Milestone Payment, [**] Milestone Payment or Sales Milestone Payment.</w:t>
      </w:r>
    </w:p>
    <w:p>
      <w:pPr>
        <w:spacing w:after="0" w:line="16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Molecule</w:t>
      </w:r>
      <w:r>
        <w:rPr>
          <w:rFonts w:ascii="Arial" w:cs="Arial" w:eastAsia="Arial" w:hAnsi="Arial"/>
          <w:sz w:val="19"/>
          <w:szCs w:val="19"/>
          <w:color w:val="auto"/>
        </w:rPr>
        <w:t>” means any Collaboration Molecule or Disclosed Molecule.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9" w:name="page100"/>
    <w:bookmarkEnd w:id="99"/>
    <w:p>
      <w:pPr>
        <w:ind w:left="880"/>
        <w:spacing w:after="0"/>
        <w:tabs>
          <w:tab w:leader="none" w:pos="198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MyoKardia</w:t>
      </w:r>
      <w:r>
        <w:rPr>
          <w:rFonts w:ascii="Arial" w:cs="Arial" w:eastAsia="Arial" w:hAnsi="Arial"/>
          <w:sz w:val="19"/>
          <w:szCs w:val="19"/>
          <w:color w:val="auto"/>
        </w:rPr>
        <w:t>” has the meaning set forth in the preamble to this Agreement.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MyoKardia 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9.1.2</w:t>
      </w:r>
      <w:r>
        <w:rPr>
          <w:rFonts w:ascii="Arial" w:cs="Arial" w:eastAsia="Arial" w:hAnsi="Arial"/>
          <w:sz w:val="22"/>
          <w:szCs w:val="22"/>
          <w:color w:val="auto"/>
        </w:rPr>
        <w:t xml:space="preserve"> (Indemnification by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Fulcrum).</w:t>
      </w:r>
    </w:p>
    <w:p>
      <w:pPr>
        <w:spacing w:after="0" w:line="18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MyoKardia Patent Rights</w:t>
      </w:r>
      <w:r>
        <w:rPr>
          <w:rFonts w:ascii="Arial" w:cs="Arial" w:eastAsia="Arial" w:hAnsi="Arial"/>
          <w:sz w:val="19"/>
          <w:szCs w:val="19"/>
          <w:color w:val="auto"/>
        </w:rPr>
        <w:t>” means the Patent Rights within the MyoKardia Technology.</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1.117 “</w:t>
      </w:r>
      <w:r>
        <w:rPr>
          <w:rFonts w:ascii="Arial" w:cs="Arial" w:eastAsia="Arial" w:hAnsi="Arial"/>
          <w:sz w:val="22"/>
          <w:szCs w:val="22"/>
          <w:b w:val="1"/>
          <w:bCs w:val="1"/>
          <w:color w:val="auto"/>
        </w:rPr>
        <w:t>MyoKardia Research Activities</w:t>
      </w:r>
      <w:r>
        <w:rPr>
          <w:rFonts w:ascii="Arial" w:cs="Arial" w:eastAsia="Arial" w:hAnsi="Arial"/>
          <w:sz w:val="22"/>
          <w:szCs w:val="22"/>
          <w:color w:val="auto"/>
        </w:rPr>
        <w:t>” means any research conducted or to be conducted by or on behalf of MyoKardia (including by an Affiliate or subcontractor of MyoKardia) under the Research Plan.</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1.118 “</w:t>
      </w:r>
      <w:r>
        <w:rPr>
          <w:rFonts w:ascii="Arial" w:cs="Arial" w:eastAsia="Arial" w:hAnsi="Arial"/>
          <w:sz w:val="22"/>
          <w:szCs w:val="22"/>
          <w:b w:val="1"/>
          <w:bCs w:val="1"/>
          <w:color w:val="auto"/>
        </w:rPr>
        <w:t>MyoKardia Technology</w:t>
      </w:r>
      <w:r>
        <w:rPr>
          <w:rFonts w:ascii="Arial" w:cs="Arial" w:eastAsia="Arial" w:hAnsi="Arial"/>
          <w:sz w:val="22"/>
          <w:szCs w:val="22"/>
          <w:color w:val="auto"/>
        </w:rPr>
        <w:t>” means all Know-How and Patent Rights Controlled by MyoKardia or its Affiliates as of the Effective Date or during the Term that are necessary or useful for Fulcrum to perform the Fulcrum Research Activities.</w:t>
      </w:r>
    </w:p>
    <w:p>
      <w:pPr>
        <w:spacing w:after="0" w:line="177"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1.119 “</w:t>
      </w:r>
      <w:r>
        <w:rPr>
          <w:rFonts w:ascii="Arial" w:cs="Arial" w:eastAsia="Arial" w:hAnsi="Arial"/>
          <w:sz w:val="22"/>
          <w:szCs w:val="22"/>
          <w:b w:val="1"/>
          <w:bCs w:val="1"/>
          <w:color w:val="auto"/>
        </w:rPr>
        <w:t>NDA</w:t>
      </w:r>
      <w:r>
        <w:rPr>
          <w:rFonts w:ascii="Arial" w:cs="Arial" w:eastAsia="Arial" w:hAnsi="Arial"/>
          <w:sz w:val="22"/>
          <w:szCs w:val="22"/>
          <w:color w:val="auto"/>
        </w:rPr>
        <w:t>” means a New Drug Application submitted to the FDA in the United States in accordance with the FD&amp;C Act with respect to a pharmaceutical product or any analogous application or submission with any Regulatory Authority outside of the United States.</w:t>
      </w:r>
    </w:p>
    <w:p>
      <w:pPr>
        <w:spacing w:after="0" w:line="177"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1.120 “</w:t>
      </w:r>
      <w:r>
        <w:rPr>
          <w:rFonts w:ascii="Arial" w:cs="Arial" w:eastAsia="Arial" w:hAnsi="Arial"/>
          <w:sz w:val="21"/>
          <w:szCs w:val="21"/>
          <w:b w:val="1"/>
          <w:bCs w:val="1"/>
          <w:color w:val="auto"/>
        </w:rPr>
        <w:t>Net Sales</w:t>
      </w:r>
      <w:r>
        <w:rPr>
          <w:rFonts w:ascii="Arial" w:cs="Arial" w:eastAsia="Arial" w:hAnsi="Arial"/>
          <w:sz w:val="21"/>
          <w:szCs w:val="21"/>
          <w:color w:val="auto"/>
        </w:rPr>
        <w:t>” means, for any Calendar Quarter during the Royalty Term and for any country, the total aggregate amount invoiced during such Calendar Quarter in such country by MyoKardia, its Affiliates, Licensees or, to the extent not a Licensee, any of their distributors (the “</w:t>
      </w:r>
      <w:r>
        <w:rPr>
          <w:rFonts w:ascii="Arial" w:cs="Arial" w:eastAsia="Arial" w:hAnsi="Arial"/>
          <w:sz w:val="21"/>
          <w:szCs w:val="21"/>
          <w:b w:val="1"/>
          <w:bCs w:val="1"/>
          <w:color w:val="auto"/>
        </w:rPr>
        <w:t>Selling Party</w:t>
      </w:r>
      <w:r>
        <w:rPr>
          <w:rFonts w:ascii="Arial" w:cs="Arial" w:eastAsia="Arial" w:hAnsi="Arial"/>
          <w:sz w:val="21"/>
          <w:szCs w:val="21"/>
          <w:color w:val="auto"/>
        </w:rPr>
        <w:t>”) in such country for all sales of the Products to Third Parties (other than to MyoKardia, its Affiliates, or Licensees), after deducting, if not previously deducted, from the amount invoiced or received, the following deductions, in each case, in accordance with GAAP or the Selling Party’s accounting standard, actually applied or taken, and specifically allocable to such sales of the Products:</w:t>
      </w:r>
    </w:p>
    <w:p>
      <w:pPr>
        <w:spacing w:after="0" w:line="177" w:lineRule="exact"/>
        <w:rPr>
          <w:sz w:val="20"/>
          <w:szCs w:val="20"/>
          <w:color w:val="auto"/>
        </w:rPr>
      </w:pPr>
    </w:p>
    <w:p>
      <w:pPr>
        <w:jc w:val="both"/>
        <w:ind w:left="880" w:right="20" w:firstLine="797"/>
        <w:spacing w:after="0" w:line="252" w:lineRule="auto"/>
        <w:rPr>
          <w:sz w:val="20"/>
          <w:szCs w:val="20"/>
          <w:color w:val="auto"/>
        </w:rPr>
      </w:pPr>
      <w:r>
        <w:rPr>
          <w:rFonts w:ascii="Arial" w:cs="Arial" w:eastAsia="Arial" w:hAnsi="Arial"/>
          <w:sz w:val="21"/>
          <w:szCs w:val="21"/>
          <w:color w:val="auto"/>
        </w:rPr>
        <w:t>1.120.1 [discounts (including trade, cash and quantity discounts), cash and non-cash coupons, charge back payments and rebates granted to managed health care organizations, hospital or group purchasing organizations, or to federal, state and local governments, their agencies, and purchasers and reimbursers or to customers or required by Applicable Law (including governmental medical assistance programs);</w:t>
      </w:r>
    </w:p>
    <w:p>
      <w:pPr>
        <w:spacing w:after="0" w:line="174" w:lineRule="exact"/>
        <w:rPr>
          <w:sz w:val="20"/>
          <w:szCs w:val="20"/>
          <w:color w:val="auto"/>
        </w:rPr>
      </w:pPr>
    </w:p>
    <w:p>
      <w:pPr>
        <w:jc w:val="both"/>
        <w:ind w:left="880" w:firstLine="797"/>
        <w:spacing w:after="0"/>
        <w:rPr>
          <w:sz w:val="20"/>
          <w:szCs w:val="20"/>
          <w:color w:val="auto"/>
        </w:rPr>
      </w:pPr>
      <w:r>
        <w:rPr>
          <w:rFonts w:ascii="Arial" w:cs="Arial" w:eastAsia="Arial" w:hAnsi="Arial"/>
          <w:sz w:val="22"/>
          <w:szCs w:val="22"/>
          <w:color w:val="auto"/>
        </w:rPr>
        <w:t>1.120.2 actually granted credits, allowances, repayments, discounts to and chargebacks for claims, spoiled, damaged, or outdated goods, rejections or returns of the Products, including Products returned in connection with recalls or withdrawals;</w:t>
      </w:r>
    </w:p>
    <w:p>
      <w:pPr>
        <w:spacing w:after="0" w:line="186" w:lineRule="exact"/>
        <w:rPr>
          <w:sz w:val="20"/>
          <w:szCs w:val="20"/>
          <w:color w:val="auto"/>
        </w:rPr>
      </w:pPr>
    </w:p>
    <w:p>
      <w:pPr>
        <w:jc w:val="both"/>
        <w:ind w:left="880" w:firstLine="797"/>
        <w:spacing w:after="0" w:line="287" w:lineRule="auto"/>
        <w:rPr>
          <w:sz w:val="20"/>
          <w:szCs w:val="20"/>
          <w:color w:val="auto"/>
        </w:rPr>
      </w:pPr>
      <w:r>
        <w:rPr>
          <w:rFonts w:ascii="Arial" w:cs="Arial" w:eastAsia="Arial" w:hAnsi="Arial"/>
          <w:sz w:val="19"/>
          <w:szCs w:val="19"/>
          <w:color w:val="auto"/>
        </w:rPr>
        <w:t>1.120.3 any sales, value added or similar taxes, insurance, custom duties, excise (including annual fees due under Section 9008 of the United States Patient Protection and Affordable Care Act of 2010 (Pub. L. No. 111-48)) or other similar governmental charges levied directly on the production, sale, transportation, delivery or use of a Product that are paid by or on behalf of the Selling Party, but not including any tax levied with respect to income;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0" w:name="page101"/>
    <w:bookmarkEnd w:id="100"/>
    <w:p>
      <w:pPr>
        <w:jc w:val="both"/>
        <w:ind w:left="880" w:firstLine="797"/>
        <w:spacing w:after="0" w:line="250" w:lineRule="auto"/>
        <w:rPr>
          <w:sz w:val="20"/>
          <w:szCs w:val="20"/>
          <w:color w:val="auto"/>
        </w:rPr>
      </w:pPr>
      <w:r>
        <w:rPr>
          <w:rFonts w:ascii="Arial" w:cs="Arial" w:eastAsia="Arial" w:hAnsi="Arial"/>
          <w:sz w:val="22"/>
          <w:szCs w:val="22"/>
          <w:color w:val="auto"/>
        </w:rPr>
        <w:t>1.120.4 actual freight and insurance costs and other expenses incurred in distributing, warehousing, importing, handling and transporting the Product to distributors or customers;</w:t>
      </w:r>
    </w:p>
    <w:p>
      <w:pPr>
        <w:spacing w:after="0" w:line="175" w:lineRule="exact"/>
        <w:rPr>
          <w:sz w:val="20"/>
          <w:szCs w:val="20"/>
          <w:color w:val="auto"/>
        </w:rPr>
      </w:pPr>
    </w:p>
    <w:p>
      <w:pPr>
        <w:ind w:left="1660"/>
        <w:spacing w:after="0"/>
        <w:tabs>
          <w:tab w:leader="none" w:pos="2940" w:val="left"/>
        </w:tabs>
        <w:rPr>
          <w:sz w:val="20"/>
          <w:szCs w:val="20"/>
          <w:color w:val="auto"/>
        </w:rPr>
      </w:pPr>
      <w:r>
        <w:rPr>
          <w:rFonts w:ascii="Arial" w:cs="Arial" w:eastAsia="Arial" w:hAnsi="Arial"/>
          <w:sz w:val="22"/>
          <w:szCs w:val="22"/>
          <w:color w:val="auto"/>
        </w:rPr>
        <w:t>1.120.5</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660"/>
        <w:spacing w:after="0"/>
        <w:tabs>
          <w:tab w:leader="none" w:pos="2940" w:val="left"/>
        </w:tabs>
        <w:rPr>
          <w:sz w:val="20"/>
          <w:szCs w:val="20"/>
          <w:color w:val="auto"/>
        </w:rPr>
      </w:pPr>
      <w:r>
        <w:rPr>
          <w:rFonts w:ascii="Arial" w:cs="Arial" w:eastAsia="Arial" w:hAnsi="Arial"/>
          <w:sz w:val="22"/>
          <w:szCs w:val="22"/>
          <w:color w:val="auto"/>
        </w:rPr>
        <w:t>1.120.6</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660"/>
        <w:spacing w:after="0"/>
        <w:tabs>
          <w:tab w:leader="none" w:pos="2940" w:val="left"/>
        </w:tabs>
        <w:rPr>
          <w:sz w:val="20"/>
          <w:szCs w:val="20"/>
          <w:color w:val="auto"/>
        </w:rPr>
      </w:pPr>
      <w:r>
        <w:rPr>
          <w:rFonts w:ascii="Arial" w:cs="Arial" w:eastAsia="Arial" w:hAnsi="Arial"/>
          <w:sz w:val="22"/>
          <w:szCs w:val="22"/>
          <w:color w:val="auto"/>
        </w:rPr>
        <w:t>1.120.7</w:t>
      </w:r>
      <w:r>
        <w:rPr>
          <w:sz w:val="20"/>
          <w:szCs w:val="20"/>
          <w:color w:val="auto"/>
        </w:rPr>
        <w:tab/>
      </w:r>
      <w:r>
        <w:rPr>
          <w:rFonts w:ascii="Arial" w:cs="Arial" w:eastAsia="Arial" w:hAnsi="Arial"/>
          <w:sz w:val="19"/>
          <w:szCs w:val="19"/>
          <w:color w:val="auto"/>
        </w:rPr>
        <w:t>retroactive price reductions or billing corrections;</w:t>
      </w:r>
    </w:p>
    <w:p>
      <w:pPr>
        <w:spacing w:after="0" w:line="206" w:lineRule="exact"/>
        <w:rPr>
          <w:sz w:val="20"/>
          <w:szCs w:val="20"/>
          <w:color w:val="auto"/>
        </w:rPr>
      </w:pPr>
    </w:p>
    <w:p>
      <w:pPr>
        <w:jc w:val="both"/>
        <w:ind w:left="880" w:right="20" w:firstLine="797"/>
        <w:spacing w:after="0"/>
        <w:rPr>
          <w:sz w:val="20"/>
          <w:szCs w:val="20"/>
          <w:color w:val="auto"/>
        </w:rPr>
      </w:pPr>
      <w:r>
        <w:rPr>
          <w:rFonts w:ascii="Arial" w:cs="Arial" w:eastAsia="Arial" w:hAnsi="Arial"/>
          <w:sz w:val="22"/>
          <w:szCs w:val="22"/>
          <w:color w:val="auto"/>
        </w:rPr>
        <w:t xml:space="preserve">1.120.8 amounts that are written off as uncollectible; </w:t>
      </w:r>
      <w:r>
        <w:rPr>
          <w:rFonts w:ascii="Arial" w:cs="Arial" w:eastAsia="Arial" w:hAnsi="Arial"/>
          <w:sz w:val="22"/>
          <w:szCs w:val="22"/>
          <w:i w:val="1"/>
          <w:iCs w:val="1"/>
          <w:color w:val="auto"/>
        </w:rPr>
        <w:t>provided</w:t>
      </w:r>
      <w:r>
        <w:rPr>
          <w:rFonts w:ascii="Arial" w:cs="Arial" w:eastAsia="Arial" w:hAnsi="Arial"/>
          <w:sz w:val="22"/>
          <w:szCs w:val="22"/>
          <w:color w:val="auto"/>
        </w:rPr>
        <w:t>, that if any such written-off amounts are subsequently collected, such collected amounts will be included in Net Sales in the Calendar Quarter in which they are subsequently collected; and</w:t>
      </w:r>
    </w:p>
    <w:p>
      <w:pPr>
        <w:spacing w:after="0" w:line="186" w:lineRule="exact"/>
        <w:rPr>
          <w:sz w:val="20"/>
          <w:szCs w:val="20"/>
          <w:color w:val="auto"/>
        </w:rPr>
      </w:pPr>
    </w:p>
    <w:p>
      <w:pPr>
        <w:jc w:val="both"/>
        <w:ind w:left="880" w:right="20" w:firstLine="797"/>
        <w:spacing w:after="0" w:line="250" w:lineRule="auto"/>
        <w:rPr>
          <w:sz w:val="20"/>
          <w:szCs w:val="20"/>
          <w:color w:val="auto"/>
        </w:rPr>
      </w:pPr>
      <w:r>
        <w:rPr>
          <w:rFonts w:ascii="Arial" w:cs="Arial" w:eastAsia="Arial" w:hAnsi="Arial"/>
          <w:sz w:val="22"/>
          <w:szCs w:val="22"/>
          <w:color w:val="auto"/>
        </w:rPr>
        <w:t>1.120.9 other specifically identifiable amounts deducted for reasons similar to those listed above in accordance with the Selling Party’s accounting standards.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Net Sales does not include (a) any sale of such Product to or between MyoKardia, its Affiliates or Licensees for further sale by such entity (but includes the subsequent sale by such entity to a Third Party), (b) sales by a Third Party distributor who purchases such Product for resale, (c) samples of Product used to promote additional Net Sales, in amounts consistent with normal business practices of a Selling Party, (d) any use of such Product in Clinical Trials, pre-clinical studies or other development activities, or</w:t>
      </w:r>
    </w:p>
    <w:p>
      <w:pPr>
        <w:spacing w:after="0" w:line="3" w:lineRule="exact"/>
        <w:rPr>
          <w:sz w:val="20"/>
          <w:szCs w:val="20"/>
          <w:color w:val="auto"/>
        </w:rPr>
      </w:pPr>
    </w:p>
    <w:p>
      <w:pPr>
        <w:ind w:firstLine="8"/>
        <w:spacing w:after="0" w:line="236" w:lineRule="auto"/>
        <w:tabs>
          <w:tab w:leader="none" w:pos="308"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the disposal, use or transfer of such Product at or below cost for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charitable purpose, including expanded access, compassionate use, patient assistance or named patient use.</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If a Product is sold as part of a Combination Product in a country in the Territory, then Net Sales for the Product included in such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Combination Product in such country will be calculated as follows: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If the Product and the Other Components in such Combination Product are both sold separately in such country, then Net Sales for the Product will be calculated by multiplying actual Net Sales of such Combination Product in such country by the fraction A/(A+B), where: “A” is the gross invoice price in such country of the Product when sold separately; and “B” is the gross invoice price in such country of the Other Components contained in the Combination Product when sold separately.</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If the Product is sold separately in such country, but the Other Components contained in the Combination Product are not sold separately in such country, then Net Sales for the Product will be calculated by multiplying actual Net Sales of such Combination Product in such country by the fraction A/C, where “A” is the gross invoice price in such country of the Product when sold separately, and “C” is the gross invoice price of the Combination Product in such country;</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If the Product is not sold separately in such country, but the Other Components contained in the Combination Product are sold separately in such country, then Net Sales for the Product will be calculated by multiplying actual Net Sales of such Combination Product by the result of 1 – (B/C), where “B” is the gross invoice price in such country of the Other Components contained in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1" w:name="page102"/>
    <w:bookmarkEnd w:id="101"/>
    <w:p>
      <w:pPr>
        <w:spacing w:after="0"/>
        <w:rPr>
          <w:sz w:val="20"/>
          <w:szCs w:val="20"/>
          <w:color w:val="auto"/>
        </w:rPr>
      </w:pPr>
      <w:r>
        <w:rPr>
          <w:rFonts w:ascii="Arial" w:cs="Arial" w:eastAsia="Arial" w:hAnsi="Arial"/>
          <w:sz w:val="19"/>
          <w:szCs w:val="19"/>
          <w:color w:val="auto"/>
        </w:rPr>
        <w:t>Combination Product when sold separately and “C” is the gross invoice price of the Combination Product in such country; or</w:t>
      </w: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If neither the Product nor the Other Components contained in the Combination Product are sold separately in such country, then Net Sales will be calculated by multiplying the actual Net Sales of such Combination Product in such country by the fraction A/(A+B) as above, but the gross invoice price in such equation will be determined by agreement of the Parties reached in good faith prior to the end of the accounting period in question based on an equitable method of determining the same that takes into account, in the applicable country, variations in dosage units and the relative fair market value of the Product and each Other Component in the Combination Product. If the Parties are unable to reach such an agreement prior to the end of the applicable accounting period, then either Party may refer such matter for resolution pursuant to </w:t>
      </w:r>
      <w:r>
        <w:rPr>
          <w:rFonts w:ascii="Arial" w:cs="Arial" w:eastAsia="Arial" w:hAnsi="Arial"/>
          <w:sz w:val="19"/>
          <w:szCs w:val="19"/>
          <w:u w:val="single" w:color="auto"/>
          <w:color w:val="auto"/>
        </w:rPr>
        <w:t>Section 12.1.2</w:t>
      </w:r>
      <w:r>
        <w:rPr>
          <w:rFonts w:ascii="Arial" w:cs="Arial" w:eastAsia="Arial" w:hAnsi="Arial"/>
          <w:sz w:val="19"/>
          <w:szCs w:val="19"/>
          <w:color w:val="auto"/>
        </w:rPr>
        <w:t xml:space="preserve"> (Resolution by Executive Officers) and, if necessary, </w:t>
      </w:r>
      <w:r>
        <w:rPr>
          <w:rFonts w:ascii="Arial" w:cs="Arial" w:eastAsia="Arial" w:hAnsi="Arial"/>
          <w:sz w:val="19"/>
          <w:szCs w:val="19"/>
          <w:u w:val="single" w:color="auto"/>
          <w:color w:val="auto"/>
        </w:rPr>
        <w:t>Section 12.1.3</w:t>
      </w:r>
      <w:r>
        <w:rPr>
          <w:rFonts w:ascii="Arial" w:cs="Arial" w:eastAsia="Arial" w:hAnsi="Arial"/>
          <w:sz w:val="19"/>
          <w:szCs w:val="19"/>
          <w:color w:val="auto"/>
        </w:rPr>
        <w:t xml:space="preserve"> (Resolution by Mediation).</w:t>
      </w:r>
    </w:p>
    <w:p>
      <w:pPr>
        <w:spacing w:after="0" w:line="151"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1.121</w:t>
      </w:r>
      <w:r>
        <w:rPr>
          <w:sz w:val="20"/>
          <w:szCs w:val="20"/>
          <w:color w:val="auto"/>
        </w:rPr>
        <w:tab/>
      </w:r>
      <w:r>
        <w:rPr>
          <w:rFonts w:ascii="Arial" w:cs="Arial" w:eastAsia="Arial" w:hAnsi="Arial"/>
          <w:sz w:val="19"/>
          <w:szCs w:val="19"/>
          <w:b w:val="1"/>
          <w:bCs w:val="1"/>
          <w:color w:val="auto"/>
        </w:rPr>
        <w:t xml:space="preserve">“New Modality” </w:t>
      </w:r>
      <w:r>
        <w:rPr>
          <w:rFonts w:ascii="Arial" w:cs="Arial" w:eastAsia="Arial" w:hAnsi="Arial"/>
          <w:sz w:val="19"/>
          <w:szCs w:val="19"/>
          <w:color w:val="auto"/>
        </w:rPr>
        <w:t>means any therapeutic agent or approach other than [**].</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1.122 “</w:t>
      </w:r>
      <w:r>
        <w:rPr>
          <w:rFonts w:ascii="Arial" w:cs="Arial" w:eastAsia="Arial" w:hAnsi="Arial"/>
          <w:sz w:val="22"/>
          <w:szCs w:val="22"/>
          <w:b w:val="1"/>
          <w:bCs w:val="1"/>
          <w:color w:val="auto"/>
        </w:rPr>
        <w:t>NMPA</w:t>
      </w:r>
      <w:r>
        <w:rPr>
          <w:rFonts w:ascii="Arial" w:cs="Arial" w:eastAsia="Arial" w:hAnsi="Arial"/>
          <w:sz w:val="22"/>
          <w:szCs w:val="22"/>
          <w:color w:val="auto"/>
        </w:rPr>
        <w:t>” means the National Medical Products Administration of the People’s Republic of China (formerly the China Food and Drug Administration), and local and provincial counterparts thereto, and any and any successor entity(ies) thereto.</w:t>
      </w:r>
    </w:p>
    <w:p>
      <w:pPr>
        <w:spacing w:after="0" w:line="177"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Other Component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1.29</w:t>
      </w:r>
      <w:r>
        <w:rPr>
          <w:rFonts w:ascii="Arial" w:cs="Arial" w:eastAsia="Arial" w:hAnsi="Arial"/>
          <w:sz w:val="19"/>
          <w:szCs w:val="19"/>
          <w:color w:val="auto"/>
        </w:rPr>
        <w:t xml:space="preserve"> (Combination Product).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Other Enforcement Action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7.6.4</w:t>
      </w:r>
      <w:r>
        <w:rPr>
          <w:rFonts w:ascii="Arial" w:cs="Arial" w:eastAsia="Arial" w:hAnsi="Arial"/>
          <w:sz w:val="19"/>
          <w:szCs w:val="19"/>
          <w:color w:val="auto"/>
        </w:rPr>
        <w:t xml:space="preserve"> (Other Enforcement Actions).</w:t>
      </w:r>
    </w:p>
    <w:p>
      <w:pPr>
        <w:spacing w:after="0" w:line="20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1.125 “</w:t>
      </w:r>
      <w:r>
        <w:rPr>
          <w:rFonts w:ascii="Arial" w:cs="Arial" w:eastAsia="Arial" w:hAnsi="Arial"/>
          <w:sz w:val="19"/>
          <w:szCs w:val="19"/>
          <w:b w:val="1"/>
          <w:bCs w:val="1"/>
          <w:color w:val="auto"/>
        </w:rPr>
        <w:t>Out-of-Pocket Expenses”</w:t>
      </w:r>
      <w:r>
        <w:rPr>
          <w:rFonts w:ascii="Arial" w:cs="Arial" w:eastAsia="Arial" w:hAnsi="Arial"/>
          <w:sz w:val="19"/>
          <w:szCs w:val="19"/>
          <w:color w:val="auto"/>
        </w:rPr>
        <w:t>, means external expenses that are specifically identifiable and incurred in the performance of activities under this Agreement, including [**]. For the avoidance of doubt, Out-of-Pocket Expenses (a) do not include any costs included in the FTE Hourly Rate and (b) will be passed through to MyoKardia without markup.</w:t>
      </w:r>
    </w:p>
    <w:p>
      <w:pPr>
        <w:spacing w:after="0" w:line="12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 1 Validation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3.6.2</w:t>
      </w:r>
      <w:r>
        <w:rPr>
          <w:rFonts w:ascii="Arial" w:cs="Arial" w:eastAsia="Arial" w:hAnsi="Arial"/>
          <w:sz w:val="19"/>
          <w:szCs w:val="19"/>
          <w:color w:val="auto"/>
        </w:rPr>
        <w:t xml:space="preserve"> (Part 1 Validation).</w:t>
      </w:r>
    </w:p>
    <w:p>
      <w:pPr>
        <w:spacing w:after="0" w:line="206"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1.127 “</w:t>
      </w:r>
      <w:r>
        <w:rPr>
          <w:rFonts w:ascii="Arial" w:cs="Arial" w:eastAsia="Arial" w:hAnsi="Arial"/>
          <w:sz w:val="22"/>
          <w:szCs w:val="22"/>
          <w:b w:val="1"/>
          <w:bCs w:val="1"/>
          <w:color w:val="auto"/>
        </w:rPr>
        <w:t>Part 1 Validation Criteria</w:t>
      </w:r>
      <w:r>
        <w:rPr>
          <w:rFonts w:ascii="Arial" w:cs="Arial" w:eastAsia="Arial" w:hAnsi="Arial"/>
          <w:sz w:val="22"/>
          <w:szCs w:val="22"/>
          <w:color w:val="auto"/>
        </w:rPr>
        <w:t>” means the criteria employed by the JSC to evaluate whether certain Selected Targets evaluated in Part 1 Validation should be advanced to Part 2 Validation, as set forth in Figure 2 of the Research Plan, or as otherwise defined by the JSC.</w:t>
      </w:r>
    </w:p>
    <w:p>
      <w:pPr>
        <w:spacing w:after="0" w:line="177"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 1 Validation Data Package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3.6.2</w:t>
      </w:r>
      <w:r>
        <w:rPr>
          <w:rFonts w:ascii="Arial" w:cs="Arial" w:eastAsia="Arial" w:hAnsi="Arial"/>
          <w:sz w:val="19"/>
          <w:szCs w:val="19"/>
          <w:color w:val="auto"/>
        </w:rPr>
        <w:t xml:space="preserve"> (Part 1 Validation).</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 2 Validation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3.6.3</w:t>
      </w:r>
      <w:r>
        <w:rPr>
          <w:rFonts w:ascii="Arial" w:cs="Arial" w:eastAsia="Arial" w:hAnsi="Arial"/>
          <w:sz w:val="19"/>
          <w:szCs w:val="19"/>
          <w:color w:val="auto"/>
        </w:rPr>
        <w:t xml:space="preserve"> (Part 2 Validation).</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 2 Validation Summary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3.6.3</w:t>
      </w:r>
      <w:r>
        <w:rPr>
          <w:rFonts w:ascii="Arial" w:cs="Arial" w:eastAsia="Arial" w:hAnsi="Arial"/>
          <w:sz w:val="19"/>
          <w:szCs w:val="19"/>
          <w:color w:val="auto"/>
        </w:rPr>
        <w:t xml:space="preserve"> (Part 2 Validation).</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or “</w:t>
      </w:r>
      <w:r>
        <w:rPr>
          <w:rFonts w:ascii="Arial" w:cs="Arial" w:eastAsia="Arial" w:hAnsi="Arial"/>
          <w:sz w:val="19"/>
          <w:szCs w:val="19"/>
          <w:b w:val="1"/>
          <w:bCs w:val="1"/>
          <w:color w:val="auto"/>
        </w:rPr>
        <w:t>Parties</w:t>
      </w:r>
      <w:r>
        <w:rPr>
          <w:rFonts w:ascii="Arial" w:cs="Arial" w:eastAsia="Arial" w:hAnsi="Arial"/>
          <w:sz w:val="19"/>
          <w:szCs w:val="19"/>
          <w:color w:val="auto"/>
        </w:rPr>
        <w:t>” has the meaning set forth in the Preamble.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2" w:name="page103"/>
    <w:bookmarkEnd w:id="102"/>
    <w:p>
      <w:pPr>
        <w:jc w:val="both"/>
        <w:ind w:right="20" w:firstLine="864"/>
        <w:spacing w:after="0" w:line="260" w:lineRule="auto"/>
        <w:rPr>
          <w:sz w:val="20"/>
          <w:szCs w:val="20"/>
          <w:color w:val="auto"/>
        </w:rPr>
      </w:pPr>
      <w:r>
        <w:rPr>
          <w:rFonts w:ascii="Arial" w:cs="Arial" w:eastAsia="Arial" w:hAnsi="Arial"/>
          <w:sz w:val="21"/>
          <w:szCs w:val="21"/>
          <w:color w:val="auto"/>
        </w:rPr>
        <w:t>1.132 “</w:t>
      </w:r>
      <w:r>
        <w:rPr>
          <w:rFonts w:ascii="Arial" w:cs="Arial" w:eastAsia="Arial" w:hAnsi="Arial"/>
          <w:sz w:val="21"/>
          <w:szCs w:val="21"/>
          <w:b w:val="1"/>
          <w:bCs w:val="1"/>
          <w:color w:val="auto"/>
        </w:rPr>
        <w:t>Patent Rights</w:t>
      </w:r>
      <w:r>
        <w:rPr>
          <w:rFonts w:ascii="Arial" w:cs="Arial" w:eastAsia="Arial" w:hAnsi="Arial"/>
          <w:sz w:val="21"/>
          <w:szCs w:val="21"/>
          <w:color w:val="auto"/>
        </w:rPr>
        <w:t>” means any and all (a) patents, (b) pending patent applications, including, all provisional, non-provisional, continuations, continuations-in-part and divisional applications and all patents granted thereon, (c) all reissues, reexaminations, renewals and extensions, and (d) all U.S. and foreign counterparts of any of the foregoing.</w:t>
      </w:r>
    </w:p>
    <w:p>
      <w:pPr>
        <w:spacing w:after="0" w:line="16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1.133 “</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1.134 “</w:t>
      </w:r>
      <w:r>
        <w:rPr>
          <w:rFonts w:ascii="Arial" w:cs="Arial" w:eastAsia="Arial" w:hAnsi="Arial"/>
          <w:sz w:val="22"/>
          <w:szCs w:val="22"/>
          <w:b w:val="1"/>
          <w:bCs w:val="1"/>
          <w:color w:val="auto"/>
        </w:rPr>
        <w:t>Phase 1 Clinical Trial</w:t>
      </w:r>
      <w:r>
        <w:rPr>
          <w:rFonts w:ascii="Arial" w:cs="Arial" w:eastAsia="Arial" w:hAnsi="Arial"/>
          <w:sz w:val="22"/>
          <w:szCs w:val="22"/>
          <w:color w:val="auto"/>
        </w:rPr>
        <w:t>” means, as to a specific Product, study in humans of such Product, designed to satisfy the requirements of 21 C.F.R. § 312.21(a), as amended from time to time, or the corresponding regulation in jurisdictions other than the United States.</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1.135 “</w:t>
      </w:r>
      <w:r>
        <w:rPr>
          <w:rFonts w:ascii="Arial" w:cs="Arial" w:eastAsia="Arial" w:hAnsi="Arial"/>
          <w:sz w:val="22"/>
          <w:szCs w:val="22"/>
          <w:b w:val="1"/>
          <w:bCs w:val="1"/>
          <w:color w:val="auto"/>
        </w:rPr>
        <w:t>Phase 2 Clinical Trial</w:t>
      </w:r>
      <w:r>
        <w:rPr>
          <w:rFonts w:ascii="Arial" w:cs="Arial" w:eastAsia="Arial" w:hAnsi="Arial"/>
          <w:sz w:val="22"/>
          <w:szCs w:val="22"/>
          <w:color w:val="auto"/>
        </w:rPr>
        <w:t>” means as to a specific Product, a study in humans of such Product, designed to satisfy the requirements of 21 C.F.R. § 312.21(b), as amended from time to time, or the corresponding regulation in jurisdictions other than the United States.</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1.136 “</w:t>
      </w:r>
      <w:r>
        <w:rPr>
          <w:rFonts w:ascii="Arial" w:cs="Arial" w:eastAsia="Arial" w:hAnsi="Arial"/>
          <w:sz w:val="22"/>
          <w:szCs w:val="22"/>
          <w:b w:val="1"/>
          <w:bCs w:val="1"/>
          <w:color w:val="auto"/>
        </w:rPr>
        <w:t>Phase 3 Clinical Trial</w:t>
      </w:r>
      <w:r>
        <w:rPr>
          <w:rFonts w:ascii="Arial" w:cs="Arial" w:eastAsia="Arial" w:hAnsi="Arial"/>
          <w:sz w:val="22"/>
          <w:szCs w:val="22"/>
          <w:color w:val="auto"/>
        </w:rPr>
        <w:t>” means as to a specific Product, a study in humans of such Product, designed to satisfy the requirements of 21 C.F.R. § 312.21(c), as amended from time to time, or the corresponding regulation in jurisdictions other than the United States.</w:t>
      </w:r>
    </w:p>
    <w:p>
      <w:pPr>
        <w:spacing w:after="0" w:line="177"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Platform Patent Rights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7.1.3</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PMDA</w:t>
      </w:r>
      <w:r>
        <w:rPr>
          <w:rFonts w:ascii="Arial" w:cs="Arial" w:eastAsia="Arial" w:hAnsi="Arial"/>
          <w:sz w:val="19"/>
          <w:szCs w:val="19"/>
          <w:color w:val="auto"/>
        </w:rPr>
        <w:t>” means the Pharmaceuticals and Medicines Devices Agency in Japan and any successor entity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18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Potential Project Genes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(Potential Project Genes).</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Preclinical Milestone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6.3.2</w:t>
      </w:r>
      <w:r>
        <w:rPr>
          <w:rFonts w:ascii="Arial" w:cs="Arial" w:eastAsia="Arial" w:hAnsi="Arial"/>
          <w:sz w:val="19"/>
          <w:szCs w:val="19"/>
          <w:color w:val="auto"/>
        </w:rPr>
        <w:t xml:space="preserve"> (Preclinical Milestones).</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Preclinical Milestone Payments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6.3.2</w:t>
      </w:r>
      <w:r>
        <w:rPr>
          <w:rFonts w:ascii="Arial" w:cs="Arial" w:eastAsia="Arial" w:hAnsi="Arial"/>
          <w:sz w:val="19"/>
          <w:szCs w:val="19"/>
          <w:color w:val="auto"/>
        </w:rPr>
        <w:t xml:space="preserve"> (Preclinical Milestones).</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Preliminary Validation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3.6.1</w:t>
      </w:r>
      <w:r>
        <w:rPr>
          <w:rFonts w:ascii="Arial" w:cs="Arial" w:eastAsia="Arial" w:hAnsi="Arial"/>
          <w:sz w:val="19"/>
          <w:szCs w:val="19"/>
          <w:color w:val="auto"/>
        </w:rPr>
        <w:t xml:space="preserve"> (Preliminary Validation).</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1.143 “</w:t>
      </w:r>
      <w:r>
        <w:rPr>
          <w:rFonts w:ascii="Arial" w:cs="Arial" w:eastAsia="Arial" w:hAnsi="Arial"/>
          <w:sz w:val="22"/>
          <w:szCs w:val="22"/>
          <w:b w:val="1"/>
          <w:bCs w:val="1"/>
          <w:color w:val="auto"/>
        </w:rPr>
        <w:t>Preliminary Validation Data Package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3.6.1</w:t>
      </w:r>
      <w:r>
        <w:rPr>
          <w:rFonts w:ascii="Arial" w:cs="Arial" w:eastAsia="Arial" w:hAnsi="Arial"/>
          <w:sz w:val="22"/>
          <w:szCs w:val="22"/>
          <w:color w:val="auto"/>
        </w:rPr>
        <w:t xml:space="preserve"> (Preliminary Validation).</w:t>
      </w:r>
    </w:p>
    <w:p>
      <w:pPr>
        <w:spacing w:after="0" w:line="168"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1.144</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1.145</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3" w:name="page104"/>
    <w:bookmarkEnd w:id="103"/>
    <w:p>
      <w:pPr>
        <w:jc w:val="both"/>
        <w:ind w:firstLine="864"/>
        <w:spacing w:after="0" w:line="334" w:lineRule="auto"/>
        <w:rPr>
          <w:sz w:val="20"/>
          <w:szCs w:val="20"/>
          <w:color w:val="auto"/>
        </w:rPr>
      </w:pPr>
      <w:r>
        <w:rPr>
          <w:rFonts w:ascii="Arial" w:cs="Arial" w:eastAsia="Arial" w:hAnsi="Arial"/>
          <w:sz w:val="19"/>
          <w:szCs w:val="19"/>
          <w:color w:val="auto"/>
        </w:rPr>
        <w:t>1.146 “</w:t>
      </w:r>
      <w:r>
        <w:rPr>
          <w:rFonts w:ascii="Arial" w:cs="Arial" w:eastAsia="Arial" w:hAnsi="Arial"/>
          <w:sz w:val="19"/>
          <w:szCs w:val="19"/>
          <w:b w:val="1"/>
          <w:bCs w:val="1"/>
          <w:color w:val="auto"/>
        </w:rPr>
        <w:t>Primary Screen</w:t>
      </w:r>
      <w:r>
        <w:rPr>
          <w:rFonts w:ascii="Arial" w:cs="Arial" w:eastAsia="Arial" w:hAnsi="Arial"/>
          <w:sz w:val="19"/>
          <w:szCs w:val="19"/>
          <w:color w:val="auto"/>
        </w:rPr>
        <w:t>” means the use of Fulcrum’s small molecule probe library to perturb a designated cell type for the purposes of identifying targets that modulate the expression of the Potential Project Genes in the desired direction.</w:t>
      </w:r>
    </w:p>
    <w:p>
      <w:pPr>
        <w:spacing w:after="0" w:line="94"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1.147</w:t>
      </w:r>
      <w:r>
        <w:rPr>
          <w:sz w:val="20"/>
          <w:szCs w:val="20"/>
          <w:color w:val="auto"/>
        </w:rPr>
        <w:tab/>
      </w:r>
      <w:r>
        <w:rPr>
          <w:rFonts w:ascii="Arial" w:cs="Arial" w:eastAsia="Arial" w:hAnsi="Arial"/>
          <w:sz w:val="19"/>
          <w:szCs w:val="19"/>
          <w:b w:val="1"/>
          <w:bCs w:val="1"/>
          <w:color w:val="auto"/>
        </w:rPr>
        <w:t>“Primary Screen Data Package</w:t>
      </w:r>
      <w:r>
        <w:rPr>
          <w:rFonts w:ascii="Arial" w:cs="Arial" w:eastAsia="Arial" w:hAnsi="Arial"/>
          <w:sz w:val="19"/>
          <w:szCs w:val="19"/>
          <w:color w:val="auto"/>
        </w:rPr>
        <w:t>” has the meaning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3.5</w:t>
      </w:r>
      <w:r>
        <w:rPr>
          <w:rFonts w:ascii="Arial" w:cs="Arial" w:eastAsia="Arial" w:hAnsi="Arial"/>
          <w:sz w:val="19"/>
          <w:szCs w:val="19"/>
          <w:b w:val="1"/>
          <w:bCs w:val="1"/>
          <w:color w:val="auto"/>
        </w:rPr>
        <w:t xml:space="preserve"> </w:t>
      </w:r>
      <w:r>
        <w:rPr>
          <w:rFonts w:ascii="Arial" w:cs="Arial" w:eastAsia="Arial" w:hAnsi="Arial"/>
          <w:sz w:val="19"/>
          <w:szCs w:val="19"/>
          <w:color w:val="auto"/>
        </w:rPr>
        <w:t>(Primary Screen).</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means any Licensed Product or Disclosed Product.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Patent Right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7.4.4</w:t>
      </w:r>
      <w:r>
        <w:rPr>
          <w:rFonts w:ascii="Arial" w:cs="Arial" w:eastAsia="Arial" w:hAnsi="Arial"/>
          <w:sz w:val="19"/>
          <w:szCs w:val="19"/>
          <w:color w:val="auto"/>
        </w:rPr>
        <w:t xml:space="preserve"> (MyoKardia’s Second Right).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Receiving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(Confidentiality).</w:t>
      </w:r>
    </w:p>
    <w:p>
      <w:pPr>
        <w:spacing w:after="0" w:line="20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1.151 “</w:t>
      </w:r>
      <w:r>
        <w:rPr>
          <w:rFonts w:ascii="Arial" w:cs="Arial" w:eastAsia="Arial" w:hAnsi="Arial"/>
          <w:sz w:val="19"/>
          <w:szCs w:val="19"/>
          <w:b w:val="1"/>
          <w:bCs w:val="1"/>
          <w:color w:val="auto"/>
        </w:rPr>
        <w:t>Regulatory Approval</w:t>
      </w:r>
      <w:r>
        <w:rPr>
          <w:rFonts w:ascii="Arial" w:cs="Arial" w:eastAsia="Arial" w:hAnsi="Arial"/>
          <w:sz w:val="19"/>
          <w:szCs w:val="19"/>
          <w:color w:val="auto"/>
        </w:rPr>
        <w:t>” means any and all approvals (including the approval by an applicable Governmental Authority in certain countries or territories, including [**], with respect to the price at which a pharmaceutical product is sold and can be reimbursed by healthcare insurers), licenses, registrations or authorizations (or waivers) of any national, supra-national, regional, state or local regulatory agency, department, bureau, commission, council or other governmental entity, necessary for the marketing and sale of a pharmaceutical product in a given regulatory jurisdiction.</w:t>
      </w:r>
    </w:p>
    <w:p>
      <w:pPr>
        <w:spacing w:after="0" w:line="143"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1.152 “</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with respect to a country in the Territory, any national (e.g., [**]), supra-national (e.g., [**]), regional, state or local regulatory agency, department, bureau, commission, council or other Governmental Authority involved in the regulation of the research, development or other exploitation of any Molecule or Product or granting of Regulatory Approvals for pharmaceutical products in such country or countries.</w:t>
      </w:r>
    </w:p>
    <w:p>
      <w:pPr>
        <w:spacing w:after="0" w:line="18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1.153 “</w:t>
      </w:r>
      <w:r>
        <w:rPr>
          <w:rFonts w:ascii="Arial" w:cs="Arial" w:eastAsia="Arial" w:hAnsi="Arial"/>
          <w:sz w:val="21"/>
          <w:szCs w:val="21"/>
          <w:b w:val="1"/>
          <w:bCs w:val="1"/>
          <w:color w:val="auto"/>
        </w:rPr>
        <w:t>Regulatory Exclusivity</w:t>
      </w:r>
      <w:r>
        <w:rPr>
          <w:rFonts w:ascii="Arial" w:cs="Arial" w:eastAsia="Arial" w:hAnsi="Arial"/>
          <w:sz w:val="21"/>
          <w:szCs w:val="21"/>
          <w:color w:val="auto"/>
        </w:rPr>
        <w:t>” means any exclusive marketing rights or data exclusivity rights conferred by any Regulatory Authority with respect to a Product in a country or jurisdiction in the Territory, other than a Patent Right, including exclusivity for Regulatory Approval in the Territory, new chemical entity exclusivity, new clinical data exclusivity, orphan drug exclusivity, pediatric exclusivity, or rights similar thereto in other countries or regulatory jurisdictions.</w:t>
      </w:r>
    </w:p>
    <w:p>
      <w:pPr>
        <w:spacing w:after="0" w:line="16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Replacement Target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6.3.5(a)</w:t>
      </w:r>
      <w:r>
        <w:rPr>
          <w:rFonts w:ascii="Arial" w:cs="Arial" w:eastAsia="Arial" w:hAnsi="Arial"/>
          <w:sz w:val="19"/>
          <w:szCs w:val="19"/>
          <w:color w:val="auto"/>
        </w:rPr>
        <w:t xml:space="preserve"> (Replacement Target).</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1.155 “</w:t>
      </w:r>
      <w:r>
        <w:rPr>
          <w:rFonts w:ascii="Arial" w:cs="Arial" w:eastAsia="Arial" w:hAnsi="Arial"/>
          <w:sz w:val="22"/>
          <w:szCs w:val="22"/>
          <w:b w:val="1"/>
          <w:bCs w:val="1"/>
          <w:color w:val="auto"/>
        </w:rPr>
        <w:t>Representatives</w:t>
      </w:r>
      <w:r>
        <w:rPr>
          <w:rFonts w:ascii="Arial" w:cs="Arial" w:eastAsia="Arial" w:hAnsi="Arial"/>
          <w:sz w:val="22"/>
          <w:szCs w:val="22"/>
          <w:color w:val="auto"/>
        </w:rPr>
        <w:t>” means with respect to each Party, its Affiliates and each of their respective officers, directors, employees, consultants, contractors, subcontractors, agents, and sublicensees.</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1.156 “</w:t>
      </w:r>
      <w:r>
        <w:rPr>
          <w:rFonts w:ascii="Arial" w:cs="Arial" w:eastAsia="Arial" w:hAnsi="Arial"/>
          <w:sz w:val="22"/>
          <w:szCs w:val="22"/>
          <w:b w:val="1"/>
          <w:bCs w:val="1"/>
          <w:color w:val="auto"/>
        </w:rPr>
        <w:t>Research Activities</w:t>
      </w:r>
      <w:r>
        <w:rPr>
          <w:rFonts w:ascii="Arial" w:cs="Arial" w:eastAsia="Arial" w:hAnsi="Arial"/>
          <w:sz w:val="22"/>
          <w:szCs w:val="22"/>
          <w:color w:val="auto"/>
        </w:rPr>
        <w:t>” means the Fulcrum Research Activities and the MyoKardia Research Activities, collectively, performed during the Research Term.</w:t>
      </w:r>
    </w:p>
    <w:p>
      <w:pPr>
        <w:spacing w:after="0" w:line="162" w:lineRule="exact"/>
        <w:rPr>
          <w:sz w:val="20"/>
          <w:szCs w:val="20"/>
          <w:color w:val="auto"/>
        </w:rPr>
      </w:pPr>
    </w:p>
    <w:p>
      <w:pPr>
        <w:jc w:val="both"/>
        <w:ind w:right="20" w:firstLine="864"/>
        <w:spacing w:after="0" w:line="280" w:lineRule="auto"/>
        <w:rPr>
          <w:sz w:val="20"/>
          <w:szCs w:val="20"/>
          <w:color w:val="auto"/>
        </w:rPr>
      </w:pPr>
      <w:r>
        <w:rPr>
          <w:rFonts w:ascii="Arial" w:cs="Arial" w:eastAsia="Arial" w:hAnsi="Arial"/>
          <w:sz w:val="21"/>
          <w:szCs w:val="21"/>
          <w:color w:val="auto"/>
        </w:rPr>
        <w:t>1.157 “</w:t>
      </w:r>
      <w:r>
        <w:rPr>
          <w:rFonts w:ascii="Arial" w:cs="Arial" w:eastAsia="Arial" w:hAnsi="Arial"/>
          <w:sz w:val="21"/>
          <w:szCs w:val="21"/>
          <w:b w:val="1"/>
          <w:bCs w:val="1"/>
          <w:color w:val="auto"/>
        </w:rPr>
        <w:t>Research Budget</w:t>
      </w:r>
      <w:r>
        <w:rPr>
          <w:rFonts w:ascii="Arial" w:cs="Arial" w:eastAsia="Arial" w:hAnsi="Arial"/>
          <w:sz w:val="21"/>
          <w:szCs w:val="21"/>
          <w:color w:val="auto"/>
        </w:rPr>
        <w:t>” means [**], with reasonable, documented overages capped at [**], up to a maximum of [**], as such amount may be increased in connection with any amendment to the Research Plan approved by the JSC.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4" w:name="page105"/>
    <w:bookmarkEnd w:id="104"/>
    <w:p>
      <w:pPr>
        <w:ind w:left="880"/>
        <w:spacing w:after="0"/>
        <w:tabs>
          <w:tab w:leader="none" w:pos="1980" w:val="left"/>
        </w:tabs>
        <w:rPr>
          <w:sz w:val="20"/>
          <w:szCs w:val="20"/>
          <w:color w:val="auto"/>
        </w:rPr>
      </w:pPr>
      <w:r>
        <w:rPr>
          <w:rFonts w:ascii="Arial" w:cs="Arial" w:eastAsia="Arial" w:hAnsi="Arial"/>
          <w:sz w:val="22"/>
          <w:szCs w:val="22"/>
          <w:color w:val="auto"/>
        </w:rPr>
        <w:t>1.158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Data</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5.5.1(a)</w:t>
      </w:r>
      <w:r>
        <w:rPr>
          <w:rFonts w:ascii="Arial" w:cs="Arial" w:eastAsia="Arial" w:hAnsi="Arial"/>
          <w:sz w:val="19"/>
          <w:szCs w:val="19"/>
          <w:color w:val="auto"/>
        </w:rPr>
        <w:t xml:space="preserve"> (Data).</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Plan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(Research Plan).</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Term</w:t>
      </w:r>
      <w:r>
        <w:rPr>
          <w:rFonts w:ascii="Arial" w:cs="Arial" w:eastAsia="Arial" w:hAnsi="Arial"/>
          <w:sz w:val="19"/>
          <w:szCs w:val="19"/>
          <w:color w:val="auto"/>
        </w:rPr>
        <w:t>” means the period commencing on the Effective Date and continuing until [**].</w:t>
      </w:r>
    </w:p>
    <w:p>
      <w:pPr>
        <w:spacing w:after="0" w:line="21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1.161</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Royalty Rates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6.4.1</w:t>
      </w:r>
      <w:r>
        <w:rPr>
          <w:rFonts w:ascii="Arial" w:cs="Arial" w:eastAsia="Arial" w:hAnsi="Arial"/>
          <w:sz w:val="19"/>
          <w:szCs w:val="19"/>
          <w:color w:val="auto"/>
        </w:rPr>
        <w:t xml:space="preserve"> (Royalty Rate).</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1.163 “</w:t>
      </w:r>
      <w:r>
        <w:rPr>
          <w:rFonts w:ascii="Arial" w:cs="Arial" w:eastAsia="Arial" w:hAnsi="Arial"/>
          <w:sz w:val="22"/>
          <w:szCs w:val="22"/>
          <w:b w:val="1"/>
          <w:bCs w:val="1"/>
          <w:color w:val="auto"/>
        </w:rPr>
        <w:t>Royalty Term</w:t>
      </w:r>
      <w:r>
        <w:rPr>
          <w:rFonts w:ascii="Arial" w:cs="Arial" w:eastAsia="Arial" w:hAnsi="Arial"/>
          <w:sz w:val="22"/>
          <w:szCs w:val="22"/>
          <w:color w:val="auto"/>
        </w:rPr>
        <w:t>” means, with respect to a Product in a country, the period commencing on the first sale for use or consumption by an end user of such Product in such country and ending upon the latest of: (a) the expiration of the last Valid Claim of the last Fulcrum Patent Right that the sale of such Product in such country would infringe; (b) the expiration of any applicable Regulatory Exclusivity in such country with respect to such Product; or (c) [**] years from the date of the First Commercial Sale of such Product in such country.</w:t>
      </w:r>
    </w:p>
    <w:p>
      <w:pPr>
        <w:spacing w:after="0" w:line="18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Sales Milestone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6.3.4</w:t>
      </w:r>
      <w:r>
        <w:rPr>
          <w:rFonts w:ascii="Arial" w:cs="Arial" w:eastAsia="Arial" w:hAnsi="Arial"/>
          <w:sz w:val="19"/>
          <w:szCs w:val="19"/>
          <w:color w:val="auto"/>
        </w:rPr>
        <w:t xml:space="preserve"> (Cumulative Sales Milestones).</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Sales Milestone Payments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6.3.4</w:t>
      </w:r>
      <w:r>
        <w:rPr>
          <w:rFonts w:ascii="Arial" w:cs="Arial" w:eastAsia="Arial" w:hAnsi="Arial"/>
          <w:sz w:val="19"/>
          <w:szCs w:val="19"/>
          <w:color w:val="auto"/>
        </w:rPr>
        <w:t xml:space="preserve"> (Cumulative Sales Milestones).</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1.166 “</w:t>
      </w:r>
      <w:r>
        <w:rPr>
          <w:rFonts w:ascii="Arial" w:cs="Arial" w:eastAsia="Arial" w:hAnsi="Arial"/>
          <w:sz w:val="22"/>
          <w:szCs w:val="22"/>
          <w:b w:val="1"/>
          <w:bCs w:val="1"/>
          <w:color w:val="auto"/>
        </w:rPr>
        <w:t>Screen Preparation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(Cell Line Scale Up and Screen Preparation).</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1.167 “</w:t>
      </w:r>
      <w:r>
        <w:rPr>
          <w:rFonts w:ascii="Arial" w:cs="Arial" w:eastAsia="Arial" w:hAnsi="Arial"/>
          <w:sz w:val="22"/>
          <w:szCs w:val="22"/>
          <w:b w:val="1"/>
          <w:bCs w:val="1"/>
          <w:color w:val="auto"/>
        </w:rPr>
        <w:t>Screen Preparation Data Package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(Cell Line Scale Up and Screen Preparation).</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1.168 “</w:t>
      </w:r>
      <w:r>
        <w:rPr>
          <w:rFonts w:ascii="Arial" w:cs="Arial" w:eastAsia="Arial" w:hAnsi="Arial"/>
          <w:sz w:val="22"/>
          <w:szCs w:val="22"/>
          <w:b w:val="1"/>
          <w:bCs w:val="1"/>
          <w:color w:val="auto"/>
        </w:rPr>
        <w:t>Screened Target</w:t>
      </w:r>
      <w:r>
        <w:rPr>
          <w:rFonts w:ascii="Arial" w:cs="Arial" w:eastAsia="Arial" w:hAnsi="Arial"/>
          <w:sz w:val="22"/>
          <w:szCs w:val="22"/>
          <w:color w:val="auto"/>
        </w:rPr>
        <w:t>” means, with respect to a Potential Project Gene, any biological target identified through the Primary Screen that modulates such Potential Project Gene.</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1.169 “</w:t>
      </w:r>
      <w:r>
        <w:rPr>
          <w:rFonts w:ascii="Arial" w:cs="Arial" w:eastAsia="Arial" w:hAnsi="Arial"/>
          <w:sz w:val="22"/>
          <w:szCs w:val="22"/>
          <w:b w:val="1"/>
          <w:bCs w:val="1"/>
          <w:color w:val="auto"/>
        </w:rPr>
        <w:t>Second Designation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3.6.6</w:t>
      </w:r>
      <w:r>
        <w:rPr>
          <w:rFonts w:ascii="Arial" w:cs="Arial" w:eastAsia="Arial" w:hAnsi="Arial"/>
          <w:sz w:val="22"/>
          <w:szCs w:val="22"/>
          <w:color w:val="auto"/>
        </w:rPr>
        <w:t xml:space="preserve"> (Selection of Follow-On Cardiomyopathy Targets and Additional Cardiomyopathy Targets).</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1.170 “</w:t>
      </w:r>
      <w:r>
        <w:rPr>
          <w:rFonts w:ascii="Arial" w:cs="Arial" w:eastAsia="Arial" w:hAnsi="Arial"/>
          <w:sz w:val="22"/>
          <w:szCs w:val="22"/>
          <w:b w:val="1"/>
          <w:bCs w:val="1"/>
          <w:color w:val="auto"/>
        </w:rPr>
        <w:t>Secondary Cardiomyopathy Milestone Target</w:t>
      </w:r>
      <w:r>
        <w:rPr>
          <w:rFonts w:ascii="Arial" w:cs="Arial" w:eastAsia="Arial" w:hAnsi="Arial"/>
          <w:sz w:val="22"/>
          <w:szCs w:val="22"/>
          <w:color w:val="auto"/>
        </w:rPr>
        <w:t>” means (a) an Additional Cardiomyopathy Target or (b) a Disclosed Target that modulates the expression of an Additional Project Gene.</w:t>
      </w:r>
    </w:p>
    <w:p>
      <w:pPr>
        <w:spacing w:after="0" w:line="16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Selected Target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3.6.2</w:t>
      </w:r>
      <w:r>
        <w:rPr>
          <w:rFonts w:ascii="Arial" w:cs="Arial" w:eastAsia="Arial" w:hAnsi="Arial"/>
          <w:sz w:val="19"/>
          <w:szCs w:val="19"/>
          <w:color w:val="auto"/>
        </w:rPr>
        <w:t xml:space="preserve"> (Part 1 Validation).</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Selling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1.120</w:t>
      </w:r>
      <w:r>
        <w:rPr>
          <w:rFonts w:ascii="Arial" w:cs="Arial" w:eastAsia="Arial" w:hAnsi="Arial"/>
          <w:sz w:val="19"/>
          <w:szCs w:val="19"/>
          <w:color w:val="auto"/>
        </w:rPr>
        <w:t xml:space="preserve"> (Net Sales).</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1.173 “</w:t>
      </w:r>
      <w:r>
        <w:rPr>
          <w:rFonts w:ascii="Arial" w:cs="Arial" w:eastAsia="Arial" w:hAnsi="Arial"/>
          <w:sz w:val="22"/>
          <w:szCs w:val="22"/>
          <w:b w:val="1"/>
          <w:bCs w:val="1"/>
          <w:color w:val="auto"/>
        </w:rPr>
        <w:t>siRNA Confirmation</w:t>
      </w:r>
      <w:r>
        <w:rPr>
          <w:rFonts w:ascii="Arial" w:cs="Arial" w:eastAsia="Arial" w:hAnsi="Arial"/>
          <w:sz w:val="22"/>
          <w:szCs w:val="22"/>
          <w:color w:val="auto"/>
        </w:rPr>
        <w:t>” means the use of siRNA technology to confirm an active hit from the Primary Screen by genetic manipulation, as conducted in Part 1 Validation activities.</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1.174 “</w:t>
      </w:r>
      <w:r>
        <w:rPr>
          <w:rFonts w:ascii="Arial" w:cs="Arial" w:eastAsia="Arial" w:hAnsi="Arial"/>
          <w:sz w:val="22"/>
          <w:szCs w:val="22"/>
          <w:b w:val="1"/>
          <w:bCs w:val="1"/>
          <w:color w:val="auto"/>
        </w:rPr>
        <w:t>Sublicensee</w:t>
      </w:r>
      <w:r>
        <w:rPr>
          <w:rFonts w:ascii="Arial" w:cs="Arial" w:eastAsia="Arial" w:hAnsi="Arial"/>
          <w:sz w:val="22"/>
          <w:szCs w:val="22"/>
          <w:color w:val="auto"/>
        </w:rPr>
        <w:t xml:space="preserve">” means a Third Party to which MyoKardia (or any of its Affiliates) grants a sublicense under MyoKardia’s rights under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(License Grant to MyoKardia);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5" w:name="page106"/>
    <w:bookmarkEnd w:id="105"/>
    <w:p>
      <w:pPr>
        <w:jc w:val="both"/>
        <w:spacing w:after="0" w:line="257"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“Sublicensee” does not include any distributors of MyoKardia or its Affiliates that purchase Products from</w:t>
      </w:r>
      <w:r>
        <w:rPr>
          <w:rFonts w:ascii="Arial" w:cs="Arial" w:eastAsia="Arial" w:hAnsi="Arial"/>
          <w:sz w:val="21"/>
          <w:szCs w:val="21"/>
          <w:i w:val="1"/>
          <w:iCs w:val="1"/>
          <w:color w:val="auto"/>
        </w:rPr>
        <w:t xml:space="preserve"> </w:t>
      </w:r>
      <w:r>
        <w:rPr>
          <w:rFonts w:ascii="Arial" w:cs="Arial" w:eastAsia="Arial" w:hAnsi="Arial"/>
          <w:sz w:val="21"/>
          <w:szCs w:val="21"/>
          <w:color w:val="auto"/>
        </w:rPr>
        <w:t>MyoKardia or its Affiliates in an arm’s length transaction and who have no other obligation, including a reporting obligation, to MyoKardia or its Affiliates, with respect to any subsequent use or disposition of such Products.</w:t>
      </w:r>
    </w:p>
    <w:p>
      <w:pPr>
        <w:spacing w:after="0" w:line="163"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w:t>
      </w:r>
      <w:r>
        <w:rPr>
          <w:rFonts w:ascii="Arial" w:cs="Arial" w:eastAsia="Arial" w:hAnsi="Arial"/>
          <w:sz w:val="19"/>
          <w:szCs w:val="19"/>
          <w:color w:val="auto"/>
        </w:rPr>
        <w:t>” means any Cardiomyopathy Target or Disclosed Target.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 Know-How</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 Patent Rights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(Term).</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worldwide.</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MyoKardia, Fulcrum or their respective Affiliates.</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1.181 “</w:t>
      </w:r>
      <w:r>
        <w:rPr>
          <w:rFonts w:ascii="Arial" w:cs="Arial" w:eastAsia="Arial" w:hAnsi="Arial"/>
          <w:sz w:val="22"/>
          <w:szCs w:val="22"/>
          <w:b w:val="1"/>
          <w:bCs w:val="1"/>
          <w:color w:val="auto"/>
        </w:rPr>
        <w:t>Threshold Criteria</w:t>
      </w:r>
      <w:r>
        <w:rPr>
          <w:rFonts w:ascii="Arial" w:cs="Arial" w:eastAsia="Arial" w:hAnsi="Arial"/>
          <w:sz w:val="22"/>
          <w:szCs w:val="22"/>
          <w:color w:val="auto"/>
        </w:rPr>
        <w:t>” means the criteria for Screened Targets to advance to Preliminary Validation as defined by the JSC.</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1.182 “</w:t>
      </w:r>
      <w:r>
        <w:rPr>
          <w:rFonts w:ascii="Arial" w:cs="Arial" w:eastAsia="Arial" w:hAnsi="Arial"/>
          <w:sz w:val="22"/>
          <w:szCs w:val="22"/>
          <w:b w:val="1"/>
          <w:b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b w:val="1"/>
          <w:bCs w:val="1"/>
          <w:i w:val="1"/>
          <w:iCs w:val="1"/>
          <w:color w:val="auto"/>
        </w:rPr>
        <w:t>.</w:t>
      </w:r>
      <w:r>
        <w:rPr>
          <w:rFonts w:ascii="Arial" w:cs="Arial" w:eastAsia="Arial" w:hAnsi="Arial"/>
          <w:sz w:val="22"/>
          <w:szCs w:val="22"/>
          <w:color w:val="auto"/>
        </w:rPr>
        <w:t>” means the United States of America and all of its districts, territories and possessions.</w:t>
      </w:r>
    </w:p>
    <w:p>
      <w:pPr>
        <w:spacing w:after="0" w:line="16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1.183 “</w:t>
      </w:r>
      <w:r>
        <w:rPr>
          <w:rFonts w:ascii="Arial" w:cs="Arial" w:eastAsia="Arial" w:hAnsi="Arial"/>
          <w:sz w:val="19"/>
          <w:szCs w:val="19"/>
          <w:b w:val="1"/>
          <w:bCs w:val="1"/>
          <w:color w:val="auto"/>
        </w:rPr>
        <w:t>Valid Claim</w:t>
      </w:r>
      <w:r>
        <w:rPr>
          <w:rFonts w:ascii="Arial" w:cs="Arial" w:eastAsia="Arial" w:hAnsi="Arial"/>
          <w:sz w:val="19"/>
          <w:szCs w:val="19"/>
          <w:color w:val="auto"/>
        </w:rPr>
        <w:t>” means (a) an issued claim of any Patent Right that has not been permanently revoked, nor held unenforceable or invalid by a decision of a court or other governmental agency of competent jurisdiction that is unappealable or unappealed in the time allowed for appeal, and which has not been cancelled, withdrawn or abandoned or admitted to be invalid or unenforceable through reissue, disclaimer or otherwise or (b) a pending claim of a patent application or series of related patent applications that has been pending, in the same or substantially the same claims, less than [**] from the date of filing of the earliest patent application from which such patent application claims priority, which claim has not been cancelled, withdrawn or abandoned, or finally rejected by an administrative agency action from which no appeal can be taken.</w:t>
      </w:r>
    </w:p>
    <w:p>
      <w:pPr>
        <w:spacing w:after="0" w:line="14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1.184 “</w:t>
      </w:r>
      <w:r>
        <w:rPr>
          <w:rFonts w:ascii="Arial" w:cs="Arial" w:eastAsia="Arial" w:hAnsi="Arial"/>
          <w:sz w:val="22"/>
          <w:szCs w:val="22"/>
          <w:b w:val="1"/>
          <w:bCs w:val="1"/>
          <w:color w:val="auto"/>
        </w:rPr>
        <w:t>Withholding Taxes</w:t>
      </w:r>
      <w:r>
        <w:rPr>
          <w:rFonts w:ascii="Arial" w:cs="Arial" w:eastAsia="Arial" w:hAnsi="Arial"/>
          <w:sz w:val="22"/>
          <w:szCs w:val="22"/>
          <w:color w:val="auto"/>
        </w:rPr>
        <w:t>” means any and all income or other taxes, withholdings or other deductions required by Applicable Law to be withheld or deducted from any of the payments made under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MANAGEMENT</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u w:val="single" w:color="auto"/>
          <w:color w:val="auto"/>
        </w:rPr>
        <w:t>Joint Steering Committee</w:t>
      </w:r>
      <w:r>
        <w:rPr>
          <w:rFonts w:ascii="Arial" w:cs="Arial" w:eastAsia="Arial" w:hAnsi="Arial"/>
          <w:sz w:val="22"/>
          <w:szCs w:val="22"/>
          <w:color w:val="auto"/>
        </w:rPr>
        <w:t>. Within [**] after the Effective Date, the Parties will establish a Joint Steering Committee (the “</w:t>
      </w:r>
      <w:r>
        <w:rPr>
          <w:rFonts w:ascii="Arial" w:cs="Arial" w:eastAsia="Arial" w:hAnsi="Arial"/>
          <w:sz w:val="22"/>
          <w:szCs w:val="22"/>
          <w:b w:val="1"/>
          <w:bCs w:val="1"/>
          <w:color w:val="auto"/>
        </w:rPr>
        <w:t>JSC</w:t>
      </w:r>
      <w:r>
        <w:rPr>
          <w:rFonts w:ascii="Arial" w:cs="Arial" w:eastAsia="Arial" w:hAnsi="Arial"/>
          <w:sz w:val="22"/>
          <w:szCs w:val="22"/>
          <w:color w:val="auto"/>
        </w:rPr>
        <w:t xml:space="preserve">”) to coordinate the Parties’ activities under the Research Plan, as further set forth in this </w:t>
      </w: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(Collaboration Management).</w:t>
      </w:r>
    </w:p>
    <w:p>
      <w:pPr>
        <w:spacing w:after="0" w:line="17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u w:val="single" w:color="auto"/>
          <w:color w:val="auto"/>
        </w:rPr>
        <w:t>Composition of the JSC</w:t>
      </w:r>
      <w:r>
        <w:rPr>
          <w:rFonts w:ascii="Arial" w:cs="Arial" w:eastAsia="Arial" w:hAnsi="Arial"/>
          <w:sz w:val="22"/>
          <w:szCs w:val="22"/>
          <w:color w:val="auto"/>
        </w:rPr>
        <w:t>. The Research Plan will be conducted under the direction of the JSC, which will consist of up to [**] representatives of Fulcrum and up to [**]</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6" w:name="page107"/>
    <w:bookmarkEnd w:id="106"/>
    <w:p>
      <w:pPr>
        <w:jc w:val="both"/>
        <w:spacing w:after="0" w:line="273" w:lineRule="auto"/>
        <w:rPr>
          <w:sz w:val="20"/>
          <w:szCs w:val="20"/>
          <w:color w:val="auto"/>
        </w:rPr>
      </w:pPr>
      <w:r>
        <w:rPr>
          <w:rFonts w:ascii="Arial" w:cs="Arial" w:eastAsia="Arial" w:hAnsi="Arial"/>
          <w:sz w:val="19"/>
          <w:szCs w:val="19"/>
          <w:color w:val="auto"/>
        </w:rPr>
        <w:t xml:space="preserve">representatives of MyoKardia. The JSC may change its size from time to time by mutual consent of the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JSC will consist at all times of an equal number of representatives of each of Fulcrum and MyoKardia. Each Party will appoint its respective representatives to the JSC from time to time, and may substitute one or more of its representatives, in its sole discretion, effective upon notice to the other Party of such change. Each Party will have at least one (1) JSC representative who is a senior employee, and all JSC representatives will be employees of the relevant Party and have appropriate expertise and ongoing familiarity with the Research Plan. Additional non-voting representatives (including an alliance manager from each Party) or consultants may from time to time, by decision of the JSC, be invited to attend JSC meetings, subject to all representatives (including the designated voting representatives) and consultants entering into binding, written confidentiality obligations and assignment of inventions (which may have been executed prior to the Effective Date) that are consistent with the requirements on the Parties under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(Confidentiality) and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(regarding assignment of inventions). Each Party will bear its own expenses relating to attendance at JSC meetings by its representatives.</w:t>
      </w:r>
    </w:p>
    <w:p>
      <w:pPr>
        <w:spacing w:after="0" w:line="149"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u w:val="single" w:color="auto"/>
          <w:color w:val="auto"/>
        </w:rPr>
        <w:t>JSC Chairperson</w:t>
      </w:r>
      <w:r>
        <w:rPr>
          <w:rFonts w:ascii="Arial" w:cs="Arial" w:eastAsia="Arial" w:hAnsi="Arial"/>
          <w:sz w:val="19"/>
          <w:szCs w:val="19"/>
          <w:color w:val="auto"/>
        </w:rPr>
        <w:t>. The JSC chairperson will be an employee of MyoKardia.</w:t>
      </w:r>
    </w:p>
    <w:p>
      <w:pPr>
        <w:spacing w:after="0" w:line="206"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u w:val="single" w:color="auto"/>
          <w:color w:val="auto"/>
        </w:rPr>
        <w:t>JSC Responsibilities</w:t>
      </w:r>
      <w:r>
        <w:rPr>
          <w:rFonts w:ascii="Arial" w:cs="Arial" w:eastAsia="Arial" w:hAnsi="Arial"/>
          <w:sz w:val="19"/>
          <w:szCs w:val="19"/>
          <w:color w:val="auto"/>
        </w:rPr>
        <w:t>. The JSC will have the following responsibilities with respect to the Research Plan:</w:t>
      </w:r>
    </w:p>
    <w:p>
      <w:pPr>
        <w:spacing w:after="0" w:line="212" w:lineRule="exact"/>
        <w:rPr>
          <w:sz w:val="20"/>
          <w:szCs w:val="20"/>
          <w:color w:val="auto"/>
        </w:rPr>
      </w:pPr>
    </w:p>
    <w:p>
      <w:pPr>
        <w:jc w:val="both"/>
        <w:ind w:left="880" w:firstLine="797"/>
        <w:spacing w:after="0"/>
        <w:rPr>
          <w:sz w:val="20"/>
          <w:szCs w:val="20"/>
          <w:color w:val="auto"/>
        </w:rPr>
      </w:pPr>
      <w:r>
        <w:rPr>
          <w:rFonts w:ascii="Arial" w:cs="Arial" w:eastAsia="Arial" w:hAnsi="Arial"/>
          <w:sz w:val="22"/>
          <w:szCs w:val="22"/>
          <w:color w:val="auto"/>
        </w:rPr>
        <w:t>2.4.1. acting as liaison between the Parties to ensure open and regular communication channels, and more particularly to ensure the Parties are informed of, and have a forum to discuss, the ongoing progress of the Research Plan during the Research Term;</w:t>
      </w:r>
    </w:p>
    <w:p>
      <w:pPr>
        <w:spacing w:after="0" w:line="186" w:lineRule="exact"/>
        <w:rPr>
          <w:sz w:val="20"/>
          <w:szCs w:val="20"/>
          <w:color w:val="auto"/>
        </w:rPr>
      </w:pPr>
    </w:p>
    <w:p>
      <w:pPr>
        <w:ind w:left="1660"/>
        <w:spacing w:after="0"/>
        <w:tabs>
          <w:tab w:leader="none" w:pos="278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19"/>
          <w:szCs w:val="19"/>
          <w:color w:val="auto"/>
        </w:rPr>
        <w:t>coordinating and monitoring activities under the Research Plan;</w:t>
      </w:r>
    </w:p>
    <w:p>
      <w:pPr>
        <w:spacing w:after="0" w:line="206" w:lineRule="exact"/>
        <w:rPr>
          <w:sz w:val="20"/>
          <w:szCs w:val="20"/>
          <w:color w:val="auto"/>
        </w:rPr>
      </w:pPr>
    </w:p>
    <w:p>
      <w:pPr>
        <w:jc w:val="both"/>
        <w:ind w:left="880" w:firstLine="797"/>
        <w:spacing w:after="0" w:line="287" w:lineRule="auto"/>
        <w:rPr>
          <w:sz w:val="20"/>
          <w:szCs w:val="20"/>
          <w:color w:val="auto"/>
        </w:rPr>
      </w:pPr>
      <w:r>
        <w:rPr>
          <w:rFonts w:ascii="Arial" w:cs="Arial" w:eastAsia="Arial" w:hAnsi="Arial"/>
          <w:sz w:val="19"/>
          <w:szCs w:val="19"/>
          <w:color w:val="auto"/>
        </w:rPr>
        <w:t>2.4.3. reviewing and approving any amendments to the Research Plan, including (a) any revision or expansion of work under any amendment to the Research Plan, (b) the estimated timelines, as applicable, for the conduct of particular activities under the Research Plan, (c) the responsibilities of each Party under the Research Plan, and (d) the budget applicable to any revised or expanded work under any amendment to the Research Plan;</w:t>
      </w:r>
    </w:p>
    <w:p>
      <w:pPr>
        <w:spacing w:after="0" w:line="143" w:lineRule="exact"/>
        <w:rPr>
          <w:sz w:val="20"/>
          <w:szCs w:val="20"/>
          <w:color w:val="auto"/>
        </w:rPr>
      </w:pPr>
    </w:p>
    <w:p>
      <w:pPr>
        <w:ind w:left="1660"/>
        <w:spacing w:after="0"/>
        <w:tabs>
          <w:tab w:leader="none" w:pos="278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19"/>
          <w:szCs w:val="19"/>
          <w:color w:val="auto"/>
        </w:rPr>
        <w:t>reviewing reports and updates provided by Parties regarding the progress of the Research Plan;</w:t>
      </w:r>
    </w:p>
    <w:p>
      <w:pPr>
        <w:spacing w:after="0" w:line="206" w:lineRule="exact"/>
        <w:rPr>
          <w:sz w:val="20"/>
          <w:szCs w:val="20"/>
          <w:color w:val="auto"/>
        </w:rPr>
      </w:pPr>
    </w:p>
    <w:p>
      <w:pPr>
        <w:jc w:val="both"/>
        <w:ind w:left="880" w:firstLine="797"/>
        <w:spacing w:after="0" w:line="274" w:lineRule="auto"/>
        <w:rPr>
          <w:sz w:val="20"/>
          <w:szCs w:val="20"/>
          <w:color w:val="auto"/>
        </w:rPr>
      </w:pPr>
      <w:r>
        <w:rPr>
          <w:rFonts w:ascii="Arial" w:cs="Arial" w:eastAsia="Arial" w:hAnsi="Arial"/>
          <w:sz w:val="21"/>
          <w:szCs w:val="21"/>
          <w:color w:val="auto"/>
        </w:rPr>
        <w:t>2.4.5. reviewing the Screen Preparation Data Package and aligning on readouts (including positive and negative controls) and deciding at what point to advance to performance of the Primary Screen;</w:t>
      </w:r>
    </w:p>
    <w:p>
      <w:pPr>
        <w:spacing w:after="0" w:line="151" w:lineRule="exact"/>
        <w:rPr>
          <w:sz w:val="20"/>
          <w:szCs w:val="20"/>
          <w:color w:val="auto"/>
        </w:rPr>
      </w:pPr>
    </w:p>
    <w:p>
      <w:pPr>
        <w:jc w:val="both"/>
        <w:ind w:left="880" w:firstLine="797"/>
        <w:spacing w:after="0" w:line="249" w:lineRule="auto"/>
        <w:rPr>
          <w:sz w:val="20"/>
          <w:szCs w:val="20"/>
          <w:color w:val="auto"/>
        </w:rPr>
      </w:pPr>
      <w:r>
        <w:rPr>
          <w:rFonts w:ascii="Arial" w:cs="Arial" w:eastAsia="Arial" w:hAnsi="Arial"/>
          <w:sz w:val="21"/>
          <w:szCs w:val="21"/>
          <w:color w:val="auto"/>
        </w:rPr>
        <w:t>2.4.6. (a) reviewing the data in the Primary Screen Data Package, (b) requesting and reviewing annotated expression data for certain Screened Targets identified from the Primary Screen that did not meet the Threshold Criteria, where the JSC determines that consideration of the biology and relevant pathways justifies such a request (e.g., potential positive and negative controls), (c) determining the Threshold Criteria for Screened Targets to advance to Preliminary Validation, and (d) determining the number of and which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7" w:name="page108"/>
    <w:bookmarkEnd w:id="107"/>
    <w:p>
      <w:pPr>
        <w:jc w:val="both"/>
        <w:ind w:left="880"/>
        <w:spacing w:after="0" w:line="250" w:lineRule="auto"/>
        <w:rPr>
          <w:sz w:val="20"/>
          <w:szCs w:val="20"/>
          <w:color w:val="auto"/>
        </w:rPr>
      </w:pPr>
      <w:r>
        <w:rPr>
          <w:rFonts w:ascii="Arial" w:cs="Arial" w:eastAsia="Arial" w:hAnsi="Arial"/>
          <w:sz w:val="22"/>
          <w:szCs w:val="22"/>
          <w:color w:val="auto"/>
        </w:rPr>
        <w:t>compounds or Screened Targets should advance to Preliminary Validation following the completion of the Primary Screen of the Potential Project Genes under the Research Plan;</w:t>
      </w:r>
    </w:p>
    <w:p>
      <w:pPr>
        <w:spacing w:after="0" w:line="175" w:lineRule="exact"/>
        <w:rPr>
          <w:sz w:val="20"/>
          <w:szCs w:val="20"/>
          <w:color w:val="auto"/>
        </w:rPr>
      </w:pPr>
    </w:p>
    <w:p>
      <w:pPr>
        <w:jc w:val="both"/>
        <w:ind w:left="880" w:firstLine="797"/>
        <w:spacing w:after="0"/>
        <w:rPr>
          <w:sz w:val="20"/>
          <w:szCs w:val="20"/>
          <w:color w:val="auto"/>
        </w:rPr>
      </w:pPr>
      <w:r>
        <w:rPr>
          <w:rFonts w:ascii="Arial" w:cs="Arial" w:eastAsia="Arial" w:hAnsi="Arial"/>
          <w:sz w:val="22"/>
          <w:szCs w:val="22"/>
          <w:color w:val="auto"/>
        </w:rPr>
        <w:t>2.4.7. (a) reviewing the data in Preliminary Validation Data Package, (b) selecting up to [**] Screened Targets (or more, if mutually agreed by the Parties) to advance to Part 1 Validation, and (c) determining the Part 1 Validation Criteria for Screened Targets;</w:t>
      </w:r>
    </w:p>
    <w:p>
      <w:pPr>
        <w:spacing w:after="0" w:line="186"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2"/>
          <w:szCs w:val="22"/>
          <w:color w:val="auto"/>
        </w:rPr>
        <w:t>2.4.8. selecting one (1) patient-derived cell line to be used in conjunction with Part 1 Validation under the Research Plan;</w:t>
      </w:r>
    </w:p>
    <w:p>
      <w:pPr>
        <w:spacing w:after="0" w:line="175" w:lineRule="exact"/>
        <w:rPr>
          <w:sz w:val="20"/>
          <w:szCs w:val="20"/>
          <w:color w:val="auto"/>
        </w:rPr>
      </w:pPr>
    </w:p>
    <w:p>
      <w:pPr>
        <w:jc w:val="both"/>
        <w:ind w:left="880" w:firstLine="797"/>
        <w:spacing w:after="0" w:line="238" w:lineRule="auto"/>
        <w:rPr>
          <w:sz w:val="20"/>
          <w:szCs w:val="20"/>
          <w:color w:val="auto"/>
        </w:rPr>
      </w:pPr>
      <w:r>
        <w:rPr>
          <w:rFonts w:ascii="Arial" w:cs="Arial" w:eastAsia="Arial" w:hAnsi="Arial"/>
          <w:sz w:val="22"/>
          <w:szCs w:val="22"/>
          <w:color w:val="auto"/>
        </w:rPr>
        <w:t>2.4.9. (a) selecting CRISPR Confirmation or siRNA Confirmation as the optimal method of genetic validation to be utilized in Part 1 Validation by Fulcrum and (b) identifying any confirmation of hit selectivity by characterization of downstream genes and any additional cytotoxicity assays to be performed by Fulcrum as part of Part 1 Validation;</w:t>
      </w:r>
    </w:p>
    <w:p>
      <w:pPr>
        <w:spacing w:after="0" w:line="185" w:lineRule="exact"/>
        <w:rPr>
          <w:sz w:val="20"/>
          <w:szCs w:val="20"/>
          <w:color w:val="auto"/>
        </w:rPr>
      </w:pPr>
    </w:p>
    <w:p>
      <w:pPr>
        <w:ind w:left="1660"/>
        <w:spacing w:after="0"/>
        <w:tabs>
          <w:tab w:leader="none" w:pos="2900" w:val="left"/>
        </w:tabs>
        <w:rPr>
          <w:sz w:val="20"/>
          <w:szCs w:val="20"/>
          <w:color w:val="auto"/>
        </w:rPr>
      </w:pPr>
      <w:r>
        <w:rPr>
          <w:rFonts w:ascii="Arial" w:cs="Arial" w:eastAsia="Arial" w:hAnsi="Arial"/>
          <w:sz w:val="22"/>
          <w:szCs w:val="22"/>
          <w:color w:val="auto"/>
        </w:rPr>
        <w:t>2.4.10.</w:t>
      </w:r>
      <w:r>
        <w:rPr>
          <w:sz w:val="20"/>
          <w:szCs w:val="20"/>
          <w:color w:val="auto"/>
        </w:rPr>
        <w:tab/>
      </w:r>
      <w:r>
        <w:rPr>
          <w:rFonts w:ascii="Arial" w:cs="Arial" w:eastAsia="Arial" w:hAnsi="Arial"/>
          <w:sz w:val="19"/>
          <w:szCs w:val="19"/>
          <w:color w:val="auto"/>
        </w:rPr>
        <w:t>reviewing the data from the Part 1 Validation Data Package and identifying which of the up to</w:t>
      </w:r>
    </w:p>
    <w:p>
      <w:pPr>
        <w:spacing w:after="0" w:line="8" w:lineRule="exact"/>
        <w:rPr>
          <w:sz w:val="20"/>
          <w:szCs w:val="20"/>
          <w:color w:val="auto"/>
        </w:rPr>
      </w:pPr>
    </w:p>
    <w:p>
      <w:pPr>
        <w:ind w:left="880" w:hanging="8"/>
        <w:spacing w:after="0" w:line="236" w:lineRule="auto"/>
        <w:tabs>
          <w:tab w:leader="none" w:pos="1303" w:val="left"/>
        </w:tabs>
        <w:numPr>
          <w:ilvl w:val="0"/>
          <w:numId w:val="54"/>
        </w:numPr>
        <w:rPr>
          <w:rFonts w:ascii="Arial" w:cs="Arial" w:eastAsia="Arial" w:hAnsi="Arial"/>
          <w:sz w:val="22"/>
          <w:szCs w:val="22"/>
          <w:color w:val="auto"/>
        </w:rPr>
      </w:pPr>
      <w:r>
        <w:rPr>
          <w:rFonts w:ascii="Arial" w:cs="Arial" w:eastAsia="Arial" w:hAnsi="Arial"/>
          <w:sz w:val="22"/>
          <w:szCs w:val="22"/>
          <w:color w:val="auto"/>
        </w:rPr>
        <w:t>Selected Targets across up to [**] Potential Project Genes meet the Part 1 Validation Criteria set forth in Figure 2 of the Research Plan;</w:t>
      </w:r>
    </w:p>
    <w:p>
      <w:pPr>
        <w:spacing w:after="0" w:line="187" w:lineRule="exact"/>
        <w:rPr>
          <w:sz w:val="20"/>
          <w:szCs w:val="20"/>
          <w:color w:val="auto"/>
        </w:rPr>
      </w:pPr>
    </w:p>
    <w:p>
      <w:pPr>
        <w:ind w:left="1660"/>
        <w:spacing w:after="0"/>
        <w:tabs>
          <w:tab w:leader="none" w:pos="2880" w:val="left"/>
        </w:tabs>
        <w:rPr>
          <w:sz w:val="20"/>
          <w:szCs w:val="20"/>
          <w:color w:val="auto"/>
        </w:rPr>
      </w:pPr>
      <w:r>
        <w:rPr>
          <w:rFonts w:ascii="Arial" w:cs="Arial" w:eastAsia="Arial" w:hAnsi="Arial"/>
          <w:sz w:val="22"/>
          <w:szCs w:val="22"/>
          <w:color w:val="auto"/>
        </w:rPr>
        <w:t>2.4.11.</w:t>
      </w:r>
      <w:r>
        <w:rPr>
          <w:sz w:val="20"/>
          <w:szCs w:val="20"/>
          <w:color w:val="auto"/>
        </w:rPr>
        <w:tab/>
      </w:r>
      <w:r>
        <w:rPr>
          <w:rFonts w:ascii="Arial" w:cs="Arial" w:eastAsia="Arial" w:hAnsi="Arial"/>
          <w:sz w:val="19"/>
          <w:szCs w:val="19"/>
          <w:color w:val="auto"/>
        </w:rPr>
        <w:t>reviewing the data from the Part 2 Validation Summary;</w:t>
      </w:r>
    </w:p>
    <w:p>
      <w:pPr>
        <w:spacing w:after="0" w:line="206" w:lineRule="exact"/>
        <w:rPr>
          <w:sz w:val="20"/>
          <w:szCs w:val="20"/>
          <w:color w:val="auto"/>
        </w:rPr>
      </w:pPr>
    </w:p>
    <w:p>
      <w:pPr>
        <w:ind w:left="1660"/>
        <w:spacing w:after="0"/>
        <w:tabs>
          <w:tab w:leader="none" w:pos="2900" w:val="left"/>
        </w:tabs>
        <w:rPr>
          <w:sz w:val="20"/>
          <w:szCs w:val="20"/>
          <w:color w:val="auto"/>
        </w:rPr>
      </w:pPr>
      <w:r>
        <w:rPr>
          <w:rFonts w:ascii="Arial" w:cs="Arial" w:eastAsia="Arial" w:hAnsi="Arial"/>
          <w:sz w:val="22"/>
          <w:szCs w:val="22"/>
          <w:color w:val="auto"/>
        </w:rPr>
        <w:t>2.4.12.</w:t>
      </w:r>
      <w:r>
        <w:rPr>
          <w:sz w:val="20"/>
          <w:szCs w:val="20"/>
          <w:color w:val="auto"/>
        </w:rPr>
        <w:tab/>
      </w:r>
      <w:r>
        <w:rPr>
          <w:rFonts w:ascii="Arial" w:cs="Arial" w:eastAsia="Arial" w:hAnsi="Arial"/>
          <w:sz w:val="19"/>
          <w:szCs w:val="19"/>
          <w:color w:val="auto"/>
        </w:rPr>
        <w:t>reviewing the data from the Final Data Package;</w:t>
      </w:r>
    </w:p>
    <w:p>
      <w:pPr>
        <w:spacing w:after="0" w:line="206" w:lineRule="exact"/>
        <w:rPr>
          <w:sz w:val="20"/>
          <w:szCs w:val="20"/>
          <w:color w:val="auto"/>
        </w:rPr>
      </w:pPr>
    </w:p>
    <w:p>
      <w:pPr>
        <w:jc w:val="both"/>
        <w:ind w:left="880" w:firstLine="797"/>
        <w:spacing w:after="0" w:line="297" w:lineRule="auto"/>
        <w:rPr>
          <w:sz w:val="20"/>
          <w:szCs w:val="20"/>
          <w:color w:val="auto"/>
        </w:rPr>
      </w:pPr>
      <w:r>
        <w:rPr>
          <w:rFonts w:ascii="Arial" w:cs="Arial" w:eastAsia="Arial" w:hAnsi="Arial"/>
          <w:sz w:val="19"/>
          <w:szCs w:val="19"/>
          <w:color w:val="auto"/>
        </w:rPr>
        <w:t>2.4.13. maintaining a list identifying the Lead Cardiomyopathy Target, Follow-On Cardiomyopathy Targets, Additional Cardiomyopathy Targets, Disclosed Targets, Replacement Targets, Potential Project Genes, the Lead Project Gene and Additional Project Genes and providing such list to the Parties upon dissolution of the JSC;</w:t>
      </w:r>
    </w:p>
    <w:p>
      <w:pPr>
        <w:spacing w:after="0" w:line="134"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2"/>
          <w:szCs w:val="22"/>
          <w:color w:val="auto"/>
        </w:rPr>
        <w:t>2.4.14. approving any of Fulcrum’s Third Party subcontractors that may perform any responsibilities under the Research Plan;</w:t>
      </w:r>
    </w:p>
    <w:p>
      <w:pPr>
        <w:spacing w:after="0" w:line="175"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2"/>
          <w:szCs w:val="22"/>
          <w:color w:val="auto"/>
        </w:rPr>
        <w:t>2.4.15. extending the term of the JSC until the first IND submission for a Collaboration Molecule by MyoKardia;</w:t>
      </w:r>
    </w:p>
    <w:p>
      <w:pPr>
        <w:spacing w:after="0" w:line="175" w:lineRule="exact"/>
        <w:rPr>
          <w:sz w:val="20"/>
          <w:szCs w:val="20"/>
          <w:color w:val="auto"/>
        </w:rPr>
      </w:pPr>
    </w:p>
    <w:p>
      <w:pPr>
        <w:ind w:left="1660"/>
        <w:spacing w:after="0"/>
        <w:tabs>
          <w:tab w:leader="none" w:pos="2900" w:val="left"/>
        </w:tabs>
        <w:rPr>
          <w:sz w:val="20"/>
          <w:szCs w:val="20"/>
          <w:color w:val="auto"/>
        </w:rPr>
      </w:pPr>
      <w:r>
        <w:rPr>
          <w:rFonts w:ascii="Arial" w:cs="Arial" w:eastAsia="Arial" w:hAnsi="Arial"/>
          <w:sz w:val="22"/>
          <w:szCs w:val="22"/>
          <w:color w:val="auto"/>
        </w:rPr>
        <w:t>2.4.16.</w:t>
      </w:r>
      <w:r>
        <w:rPr>
          <w:sz w:val="20"/>
          <w:szCs w:val="20"/>
          <w:color w:val="auto"/>
        </w:rPr>
        <w:tab/>
      </w:r>
      <w:r>
        <w:rPr>
          <w:rFonts w:ascii="Arial" w:cs="Arial" w:eastAsia="Arial" w:hAnsi="Arial"/>
          <w:sz w:val="19"/>
          <w:szCs w:val="19"/>
          <w:color w:val="auto"/>
        </w:rPr>
        <w:t>attempting to resolve matters on an informal basis; and</w:t>
      </w:r>
    </w:p>
    <w:p>
      <w:pPr>
        <w:spacing w:after="0" w:line="206" w:lineRule="exact"/>
        <w:rPr>
          <w:sz w:val="20"/>
          <w:szCs w:val="20"/>
          <w:color w:val="auto"/>
        </w:rPr>
      </w:pPr>
    </w:p>
    <w:p>
      <w:pPr>
        <w:ind w:left="1660"/>
        <w:spacing w:after="0"/>
        <w:tabs>
          <w:tab w:leader="none" w:pos="2900" w:val="left"/>
        </w:tabs>
        <w:rPr>
          <w:sz w:val="20"/>
          <w:szCs w:val="20"/>
          <w:color w:val="auto"/>
        </w:rPr>
      </w:pPr>
      <w:r>
        <w:rPr>
          <w:rFonts w:ascii="Arial" w:cs="Arial" w:eastAsia="Arial" w:hAnsi="Arial"/>
          <w:sz w:val="22"/>
          <w:szCs w:val="22"/>
          <w:color w:val="auto"/>
        </w:rPr>
        <w:t>2.4.17.</w:t>
      </w:r>
      <w:r>
        <w:rPr>
          <w:sz w:val="20"/>
          <w:szCs w:val="20"/>
          <w:color w:val="auto"/>
        </w:rPr>
        <w:tab/>
      </w:r>
      <w:r>
        <w:rPr>
          <w:rFonts w:ascii="Arial" w:cs="Arial" w:eastAsia="Arial" w:hAnsi="Arial"/>
          <w:sz w:val="19"/>
          <w:szCs w:val="19"/>
          <w:color w:val="auto"/>
        </w:rPr>
        <w:t>performing such other activities as the Parties agree in writing will be the responsibility of the</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JSC.</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 JSC will only have the roles and responsibilities assigned to it in this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(JSC Responsibilities). For avoidance of doubt, the JSC will not have the authority to modify or waive the terms of this Agreement or to amend, modify or limit the final decision-making authority of MyoKardia as set forth in this Agreement. For clarity, any amendment of the Research Plan shall be effective only if agreed in writing and signed on behalf of each Party.</w:t>
      </w:r>
    </w:p>
    <w:p>
      <w:pPr>
        <w:spacing w:after="0" w:line="17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b w:val="1"/>
          <w:bCs w:val="1"/>
          <w:u w:val="single" w:color="auto"/>
          <w:color w:val="auto"/>
        </w:rPr>
        <w:t>Meetings</w:t>
      </w:r>
      <w:r>
        <w:rPr>
          <w:rFonts w:ascii="Arial" w:cs="Arial" w:eastAsia="Arial" w:hAnsi="Arial"/>
          <w:sz w:val="22"/>
          <w:szCs w:val="22"/>
          <w:color w:val="auto"/>
        </w:rPr>
        <w:t>. The first JSC meeting will be held within [**] after the Effective Date, and the JSC will thereafter meet in accordance with a schedule established by mutual written agreement of the Parties, but no less frequently than [**]. The JSC may meet by teleconference,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8" w:name="page109"/>
    <w:bookmarkEnd w:id="108"/>
    <w:p>
      <w:pPr>
        <w:jc w:val="both"/>
        <w:spacing w:after="0" w:line="244" w:lineRule="auto"/>
        <w:rPr>
          <w:sz w:val="20"/>
          <w:szCs w:val="20"/>
          <w:color w:val="auto"/>
        </w:rPr>
      </w:pPr>
      <w:r>
        <w:rPr>
          <w:rFonts w:ascii="Arial" w:cs="Arial" w:eastAsia="Arial" w:hAnsi="Arial"/>
          <w:sz w:val="21"/>
          <w:szCs w:val="21"/>
          <w:color w:val="auto"/>
        </w:rPr>
        <w:t xml:space="preserve">videoconference, or in person, as determined from time to time by the JSC. The JSC chairperson will (a) set agendas for meetings with solicited input from other JSC representatives; (b) coordinate with the JSC secretary the delivery of draft minutes to the JSC for review and adoption; and (c) conduct meetings, including ensuring that objectives for each meeting are set and achieved. The JSC chairperson will have no greater authority on the JSC than any other representative of the JSC. The JSC will appoint a secretary for each meeting, who can be either a JSC representative or a non-voting representative or consultant invited to attend in accordance with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(Composition of the JSC). The JSC secretary will prepare minutes of the meeting, which will provide a description in reasonable detail of the discussions held at the meeting and a list of any actions, decisions or determinations approved by the JSC. The JSC secretary will circulate draft minutes promptly after each meeting. The JSC secretary will solicit and, with the cooperation of the Parties, ensure that any reasonable comments of a member of the JSC are incorporated into such minutes before being adopted by the JSC as final. Minutes of a meeting of the JSC will be adopted by the JSC no later than the next meeting of the JSC. The JSC secretary will have no greater authority on the JSC than any other representative of the JSC.</w:t>
      </w:r>
    </w:p>
    <w:p>
      <w:pPr>
        <w:spacing w:after="0" w:line="180"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b w:val="1"/>
          <w:bCs w:val="1"/>
          <w:u w:val="single" w:color="auto"/>
          <w:color w:val="auto"/>
        </w:rPr>
        <w:t>Appointment of Subcommittees, Project Teams and Collaboration Managers</w:t>
      </w:r>
      <w:r>
        <w:rPr>
          <w:rFonts w:ascii="Arial" w:cs="Arial" w:eastAsia="Arial" w:hAnsi="Arial"/>
          <w:sz w:val="21"/>
          <w:szCs w:val="21"/>
          <w:color w:val="auto"/>
        </w:rPr>
        <w:t xml:space="preserve">. The JSC will be empowered to create such subcommittees and project teams as it may deem appropriate or necessary. Each such subcommittee and project team will report to the JSC, which will have authority to approve or reject recommendations or actions proposed thereby subject to the terms of this Agreement. The provisions of </w:t>
      </w:r>
      <w:r>
        <w:rPr>
          <w:rFonts w:ascii="Arial" w:cs="Arial" w:eastAsia="Arial" w:hAnsi="Arial"/>
          <w:sz w:val="21"/>
          <w:szCs w:val="21"/>
          <w:u w:val="single" w:color="auto"/>
          <w:color w:val="auto"/>
        </w:rPr>
        <w:t>Sections 2.2</w:t>
      </w:r>
      <w:r>
        <w:rPr>
          <w:rFonts w:ascii="Arial" w:cs="Arial" w:eastAsia="Arial" w:hAnsi="Arial"/>
          <w:sz w:val="21"/>
          <w:szCs w:val="21"/>
          <w:color w:val="auto"/>
        </w:rPr>
        <w:t xml:space="preserve"> (Composition of the JSC) and </w:t>
      </w:r>
      <w:r>
        <w:rPr>
          <w:rFonts w:ascii="Arial" w:cs="Arial" w:eastAsia="Arial" w:hAnsi="Arial"/>
          <w:sz w:val="21"/>
          <w:szCs w:val="21"/>
          <w:u w:val="single" w:color="auto"/>
          <w:color w:val="auto"/>
        </w:rPr>
        <w:t>2.5</w:t>
      </w:r>
      <w:r>
        <w:rPr>
          <w:rFonts w:ascii="Arial" w:cs="Arial" w:eastAsia="Arial" w:hAnsi="Arial"/>
          <w:sz w:val="21"/>
          <w:szCs w:val="21"/>
          <w:color w:val="auto"/>
        </w:rPr>
        <w:t xml:space="preserve"> (Meetings) will apply to each subcommittee, </w:t>
      </w:r>
      <w:r>
        <w:rPr>
          <w:rFonts w:ascii="Arial" w:cs="Arial" w:eastAsia="Arial" w:hAnsi="Arial"/>
          <w:sz w:val="21"/>
          <w:szCs w:val="21"/>
          <w:i w:val="1"/>
          <w:iCs w:val="1"/>
          <w:color w:val="auto"/>
        </w:rPr>
        <w:t>mutatis mutandis</w:t>
      </w:r>
      <w:r>
        <w:rPr>
          <w:rFonts w:ascii="Arial" w:cs="Arial" w:eastAsia="Arial" w:hAnsi="Arial"/>
          <w:sz w:val="21"/>
          <w:szCs w:val="21"/>
          <w:color w:val="auto"/>
        </w:rPr>
        <w:t>, unless otherwise determined by the JSC.</w:t>
      </w:r>
    </w:p>
    <w:p>
      <w:pPr>
        <w:spacing w:after="0" w:line="168"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u w:val="single" w:color="auto"/>
          <w:color w:val="auto"/>
        </w:rPr>
        <w:t>JSC Decision-Making</w:t>
      </w:r>
      <w:r>
        <w:rPr>
          <w:rFonts w:ascii="Arial" w:cs="Arial" w:eastAsia="Arial" w:hAnsi="Arial"/>
          <w:sz w:val="19"/>
          <w:szCs w:val="19"/>
          <w:color w:val="auto"/>
        </w:rPr>
        <w:t>.</w:t>
      </w:r>
    </w:p>
    <w:p>
      <w:pPr>
        <w:spacing w:after="0" w:line="212" w:lineRule="exact"/>
        <w:rPr>
          <w:sz w:val="20"/>
          <w:szCs w:val="20"/>
          <w:color w:val="auto"/>
        </w:rPr>
      </w:pPr>
    </w:p>
    <w:p>
      <w:pPr>
        <w:jc w:val="both"/>
        <w:ind w:left="880" w:firstLine="797"/>
        <w:spacing w:after="0" w:line="236" w:lineRule="auto"/>
        <w:rPr>
          <w:sz w:val="20"/>
          <w:szCs w:val="20"/>
          <w:color w:val="auto"/>
        </w:rPr>
      </w:pPr>
      <w:r>
        <w:rPr>
          <w:rFonts w:ascii="Arial" w:cs="Arial" w:eastAsia="Arial" w:hAnsi="Arial"/>
          <w:sz w:val="22"/>
          <w:szCs w:val="22"/>
          <w:color w:val="auto"/>
        </w:rPr>
        <w:t xml:space="preserve">2.7.1. For each meeting of the JSC, attendance by at least half of the representatives of each Party will constitute a quorum. All decisions of the JSC must be made by unanimous vote of the JSC, with the representatives of each Party collectively having one (1) vote on behalf of such Party. In the event that the JSC does not unanimously approve any action, the JSC shall take no action on the matter at issue and will use good faith efforts to reach consensus pursuant to </w:t>
      </w:r>
      <w:r>
        <w:rPr>
          <w:rFonts w:ascii="Arial" w:cs="Arial" w:eastAsia="Arial" w:hAnsi="Arial"/>
          <w:sz w:val="22"/>
          <w:szCs w:val="22"/>
          <w:u w:val="single" w:color="auto"/>
          <w:color w:val="auto"/>
        </w:rPr>
        <w:t>Section 2.7.2</w:t>
      </w:r>
      <w:r>
        <w:rPr>
          <w:rFonts w:ascii="Arial" w:cs="Arial" w:eastAsia="Arial" w:hAnsi="Arial"/>
          <w:sz w:val="22"/>
          <w:szCs w:val="22"/>
          <w:color w:val="auto"/>
        </w:rPr>
        <w:t>.</w:t>
      </w:r>
    </w:p>
    <w:p>
      <w:pPr>
        <w:spacing w:after="0" w:line="187" w:lineRule="exact"/>
        <w:rPr>
          <w:sz w:val="20"/>
          <w:szCs w:val="20"/>
          <w:color w:val="auto"/>
        </w:rPr>
      </w:pPr>
    </w:p>
    <w:p>
      <w:pPr>
        <w:jc w:val="both"/>
        <w:ind w:left="880" w:firstLine="797"/>
        <w:spacing w:after="0" w:line="257" w:lineRule="auto"/>
        <w:rPr>
          <w:sz w:val="20"/>
          <w:szCs w:val="20"/>
          <w:color w:val="auto"/>
        </w:rPr>
      </w:pPr>
      <w:r>
        <w:rPr>
          <w:rFonts w:ascii="Arial" w:cs="Arial" w:eastAsia="Arial" w:hAnsi="Arial"/>
          <w:sz w:val="21"/>
          <w:szCs w:val="21"/>
          <w:color w:val="auto"/>
        </w:rPr>
        <w:t>2.7.2. The JSC shall use good faith efforts to reach consensus on matters within its decision-making authority. If the JSC is unable to reach a consensus with respect to any such matter for a period in excess of [**], then such matter will be submitted to the Executive Officers of MyoKardia and Fulcrum for resolution.</w:t>
      </w:r>
    </w:p>
    <w:p>
      <w:pPr>
        <w:spacing w:after="0" w:line="169" w:lineRule="exact"/>
        <w:rPr>
          <w:sz w:val="20"/>
          <w:szCs w:val="20"/>
          <w:color w:val="auto"/>
        </w:rPr>
      </w:pPr>
    </w:p>
    <w:p>
      <w:pPr>
        <w:ind w:left="1660"/>
        <w:spacing w:after="0"/>
        <w:tabs>
          <w:tab w:leader="none" w:pos="2780" w:val="left"/>
        </w:tabs>
        <w:rPr>
          <w:sz w:val="20"/>
          <w:szCs w:val="20"/>
          <w:color w:val="auto"/>
        </w:rPr>
      </w:pPr>
      <w:r>
        <w:rPr>
          <w:rFonts w:ascii="Arial" w:cs="Arial" w:eastAsia="Arial" w:hAnsi="Arial"/>
          <w:sz w:val="22"/>
          <w:szCs w:val="22"/>
          <w:color w:val="auto"/>
        </w:rPr>
        <w:t>2.7.3.</w:t>
      </w:r>
      <w:r>
        <w:rPr>
          <w:sz w:val="20"/>
          <w:szCs w:val="20"/>
          <w:color w:val="auto"/>
        </w:rPr>
        <w:tab/>
      </w:r>
      <w:r>
        <w:rPr>
          <w:rFonts w:ascii="Arial" w:cs="Arial" w:eastAsia="Arial" w:hAnsi="Arial"/>
          <w:sz w:val="19"/>
          <w:szCs w:val="19"/>
          <w:color w:val="auto"/>
        </w:rPr>
        <w:t>If the Executive Officers of MyoKardia and Fulcrum are unable to resolve such matter within</w:t>
      </w:r>
    </w:p>
    <w:p>
      <w:pPr>
        <w:spacing w:after="0" w:line="8" w:lineRule="exact"/>
        <w:rPr>
          <w:sz w:val="20"/>
          <w:szCs w:val="20"/>
          <w:color w:val="auto"/>
        </w:rPr>
      </w:pPr>
    </w:p>
    <w:p>
      <w:pPr>
        <w:ind w:left="880" w:hanging="8"/>
        <w:spacing w:after="0" w:line="236" w:lineRule="auto"/>
        <w:tabs>
          <w:tab w:leader="none" w:pos="13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after escalation to the Executive Officers, then the Executive Officer of MyoKardia will have the deciding vote over the resolution of such matter.</w:t>
      </w:r>
    </w:p>
    <w:p>
      <w:pPr>
        <w:spacing w:after="0" w:line="187" w:lineRule="exact"/>
        <w:rPr>
          <w:sz w:val="20"/>
          <w:szCs w:val="20"/>
          <w:color w:val="auto"/>
        </w:rPr>
      </w:pPr>
    </w:p>
    <w:p>
      <w:pPr>
        <w:jc w:val="both"/>
        <w:ind w:left="880" w:firstLine="797"/>
        <w:spacing w:after="0" w:line="252" w:lineRule="auto"/>
        <w:rPr>
          <w:sz w:val="20"/>
          <w:szCs w:val="20"/>
          <w:color w:val="auto"/>
        </w:rPr>
      </w:pPr>
      <w:r>
        <w:rPr>
          <w:rFonts w:ascii="Arial" w:cs="Arial" w:eastAsia="Arial" w:hAnsi="Arial"/>
          <w:sz w:val="21"/>
          <w:szCs w:val="21"/>
          <w:color w:val="auto"/>
        </w:rPr>
        <w:t xml:space="preserve">2.7.4. Notwithstanding the foregoing, MyoKardia may not exercise its final decision-making authority under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(JSC Decision-Making) (a) to amend the Research Plan and the budget included therein in a manner that would (i) expand the scope or increase the cost of the Fulcrum Research Activities, [**], or (ii) cause delays of greater than [**] in the performance of the Research Activities, (b) to require Fulcrum to take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9" w:name="page110"/>
    <w:bookmarkEnd w:id="109"/>
    <w:p>
      <w:pPr>
        <w:jc w:val="both"/>
        <w:ind w:left="880"/>
        <w:spacing w:after="0" w:line="235" w:lineRule="auto"/>
        <w:rPr>
          <w:sz w:val="20"/>
          <w:szCs w:val="20"/>
          <w:color w:val="auto"/>
        </w:rPr>
      </w:pPr>
      <w:r>
        <w:rPr>
          <w:rFonts w:ascii="Arial" w:cs="Arial" w:eastAsia="Arial" w:hAnsi="Arial"/>
          <w:sz w:val="22"/>
          <w:szCs w:val="22"/>
          <w:color w:val="auto"/>
        </w:rPr>
        <w:t>decline to take any action that could reasonably be expected to result in a violation of any Applicable Law, any agreement with any Third Party or the infringement of intellectual property rights of Third Parties, (c) in a manner that excuses MyoKardia from any of its obligations specifically enumerated under this Agreement or otherwise agreed in writing by the Parties, (d) to expand or narrow the responsibilities of the JSC, (e) to amend, modify or waive any term of this Agreement, (f) to determine whether a Milestone has been achieved or (g) to determine whether a Party has breached or is in breach of this Agreement.</w:t>
      </w:r>
    </w:p>
    <w:p>
      <w:pPr>
        <w:spacing w:after="0" w:line="18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b w:val="1"/>
          <w:bCs w:val="1"/>
          <w:u w:val="single" w:color="auto"/>
          <w:color w:val="auto"/>
        </w:rPr>
        <w:t>Dissolution of JSC</w:t>
      </w:r>
      <w:r>
        <w:rPr>
          <w:rFonts w:ascii="Arial" w:cs="Arial" w:eastAsia="Arial" w:hAnsi="Arial"/>
          <w:sz w:val="22"/>
          <w:szCs w:val="22"/>
          <w:color w:val="auto"/>
        </w:rPr>
        <w:t xml:space="preserve">. The JSC will be dissolved upon the expiration of the Research Term or the earlier termination of this Agreement, unless extended as set forth in </w:t>
      </w:r>
      <w:r>
        <w:rPr>
          <w:rFonts w:ascii="Arial" w:cs="Arial" w:eastAsia="Arial" w:hAnsi="Arial"/>
          <w:sz w:val="22"/>
          <w:szCs w:val="22"/>
          <w:u w:val="single" w:color="auto"/>
          <w:color w:val="auto"/>
        </w:rPr>
        <w:t>Section 2.4.15</w:t>
      </w:r>
      <w:r>
        <w:rPr>
          <w:rFonts w:ascii="Arial" w:cs="Arial" w:eastAsia="Arial" w:hAnsi="Arial"/>
          <w:sz w:val="22"/>
          <w:szCs w:val="22"/>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ACTIVITIES</w:t>
      </w:r>
    </w:p>
    <w:p>
      <w:pPr>
        <w:spacing w:after="0" w:line="18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u w:val="single" w:color="auto"/>
          <w:color w:val="auto"/>
        </w:rPr>
        <w:t>Research Plan</w:t>
      </w:r>
      <w:r>
        <w:rPr>
          <w:rFonts w:ascii="Arial" w:cs="Arial" w:eastAsia="Arial" w:hAnsi="Arial"/>
          <w:sz w:val="19"/>
          <w:szCs w:val="19"/>
          <w:color w:val="auto"/>
        </w:rPr>
        <w:t xml:space="preserve">. Subject to the terms and conditions of this Agreement, Fulcrum and MyoKardia agree to collaborate to discover novel genetic modifiers of underlying drivers of genetic cardiomyopathy. The research plan for this collaboration is set forth in </w:t>
      </w:r>
      <w:r>
        <w:rPr>
          <w:rFonts w:ascii="Arial" w:cs="Arial" w:eastAsia="Arial" w:hAnsi="Arial"/>
          <w:sz w:val="19"/>
          <w:szCs w:val="19"/>
          <w:u w:val="single" w:color="auto"/>
          <w:color w:val="auto"/>
        </w:rPr>
        <w:t>Schedule 3.1</w:t>
      </w:r>
      <w:r>
        <w:rPr>
          <w:rFonts w:ascii="Arial" w:cs="Arial" w:eastAsia="Arial" w:hAnsi="Arial"/>
          <w:sz w:val="19"/>
          <w:szCs w:val="19"/>
          <w:color w:val="auto"/>
        </w:rPr>
        <w:t xml:space="preserve"> (the “</w:t>
      </w:r>
      <w:r>
        <w:rPr>
          <w:rFonts w:ascii="Arial" w:cs="Arial" w:eastAsia="Arial" w:hAnsi="Arial"/>
          <w:sz w:val="19"/>
          <w:szCs w:val="19"/>
          <w:b w:val="1"/>
          <w:bCs w:val="1"/>
          <w:color w:val="auto"/>
        </w:rPr>
        <w:t>Research Plan</w:t>
      </w:r>
      <w:r>
        <w:rPr>
          <w:rFonts w:ascii="Arial" w:cs="Arial" w:eastAsia="Arial" w:hAnsi="Arial"/>
          <w:sz w:val="19"/>
          <w:szCs w:val="19"/>
          <w:color w:val="auto"/>
        </w:rPr>
        <w:t xml:space="preserve">”). All of the Research Activities to be conducted by or on behalf of the Parties under this Agreement during the Research Term are set forth at a high level in the Research Plan.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2.7</w:t>
      </w:r>
      <w:r>
        <w:rPr>
          <w:rFonts w:ascii="Arial" w:cs="Arial" w:eastAsia="Arial" w:hAnsi="Arial"/>
          <w:sz w:val="19"/>
          <w:szCs w:val="19"/>
          <w:color w:val="auto"/>
        </w:rPr>
        <w:t xml:space="preserve"> (JSC Decision-Making), the Research Plan may be amended at any time during the Research Term by the JSC. Each Party will use Commercially Reasonable Efforts to conduct the Research Activities allocated to it in the Research Plan in a professional and timely manner and in compliance with all Applicable Laws. Upon expiration of the Research Term, the Parties will have no further obligation to conduct any Research Activities, including the screening and target validation activities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(Target Validation and Selection of Cardiomyopathy Target(s)).</w:t>
      </w:r>
    </w:p>
    <w:p>
      <w:pPr>
        <w:spacing w:after="0" w:line="15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u w:val="single" w:color="auto"/>
          <w:color w:val="auto"/>
        </w:rPr>
        <w:t>Progress Reports</w:t>
      </w:r>
      <w:r>
        <w:rPr>
          <w:rFonts w:ascii="Arial" w:cs="Arial" w:eastAsia="Arial" w:hAnsi="Arial"/>
          <w:sz w:val="21"/>
          <w:szCs w:val="21"/>
          <w:color w:val="auto"/>
        </w:rPr>
        <w:t>. During the Research Term, each Party will furnish to the JSC, no later than [**] before each scheduled meeting of the JSC, an update on such Party’s progress under the Research Plan with respect to the performance of such Party’s Research Activities, including a high level summary of any results, data and other Know-How generated by such Party under the Research Plan. With respect to any such progress updates to the JSC, [**].</w:t>
      </w:r>
    </w:p>
    <w:p>
      <w:pPr>
        <w:spacing w:after="0" w:line="16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u w:val="single" w:color="auto"/>
          <w:color w:val="auto"/>
        </w:rPr>
        <w:t>Potential Project Genes</w:t>
      </w:r>
      <w:r>
        <w:rPr>
          <w:rFonts w:ascii="Arial" w:cs="Arial" w:eastAsia="Arial" w:hAnsi="Arial"/>
          <w:sz w:val="22"/>
          <w:szCs w:val="22"/>
          <w:color w:val="auto"/>
        </w:rPr>
        <w:t>. MyoKardia will designate [**] different genes, which have been identified by MyoKardia as genes previously implicated in the scientific and medical literature as underlying drivers for certain genetically defined cardiomyopathies (the “</w:t>
      </w:r>
      <w:r>
        <w:rPr>
          <w:rFonts w:ascii="Arial" w:cs="Arial" w:eastAsia="Arial" w:hAnsi="Arial"/>
          <w:sz w:val="22"/>
          <w:szCs w:val="22"/>
          <w:b w:val="1"/>
          <w:bCs w:val="1"/>
          <w:color w:val="auto"/>
        </w:rPr>
        <w:t>Potential Project Genes</w:t>
      </w:r>
      <w:r>
        <w:rPr>
          <w:rFonts w:ascii="Arial" w:cs="Arial" w:eastAsia="Arial" w:hAnsi="Arial"/>
          <w:sz w:val="22"/>
          <w:szCs w:val="22"/>
          <w:color w:val="auto"/>
        </w:rPr>
        <w:t>”), within the first [**] following the Effective Date, for purposes of this Agreement.</w:t>
      </w:r>
    </w:p>
    <w:p>
      <w:pPr>
        <w:spacing w:after="0" w:line="18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u w:val="single" w:color="auto"/>
          <w:color w:val="auto"/>
        </w:rPr>
        <w:t>Cell Line Scale Up and Screen Preparation</w:t>
      </w:r>
      <w:r>
        <w:rPr>
          <w:rFonts w:ascii="Arial" w:cs="Arial" w:eastAsia="Arial" w:hAnsi="Arial"/>
          <w:sz w:val="22"/>
          <w:szCs w:val="22"/>
          <w:color w:val="auto"/>
        </w:rPr>
        <w:t>. Fulcrum will (a) scale up and differentiate one (1) Engineered Cell Line in an amount sufficient to conduct the Primary Screen and (b) undertake other preparation activities necessary to define a robust and reproducible set of experimental conditions to enable a more efficient high-throughput Primary Screen, as set forth in more detail in the Research Plan (collectively ((a) and (b)), the “</w:t>
      </w:r>
      <w:r>
        <w:rPr>
          <w:rFonts w:ascii="Arial" w:cs="Arial" w:eastAsia="Arial" w:hAnsi="Arial"/>
          <w:sz w:val="22"/>
          <w:szCs w:val="22"/>
          <w:b w:val="1"/>
          <w:bCs w:val="1"/>
          <w:color w:val="auto"/>
        </w:rPr>
        <w:t>Screen Preparation</w:t>
      </w:r>
      <w:r>
        <w:rPr>
          <w:rFonts w:ascii="Arial" w:cs="Arial" w:eastAsia="Arial" w:hAnsi="Arial"/>
          <w:sz w:val="22"/>
          <w:szCs w:val="22"/>
          <w:color w:val="auto"/>
        </w:rPr>
        <w:t>”). Fulcrum will furnish a data package to the JSC that will contain the pilot data, assay performance metrics and other data from the Screen Preparation (“</w:t>
      </w:r>
      <w:r>
        <w:rPr>
          <w:rFonts w:ascii="Arial" w:cs="Arial" w:eastAsia="Arial" w:hAnsi="Arial"/>
          <w:sz w:val="22"/>
          <w:szCs w:val="22"/>
          <w:b w:val="1"/>
          <w:bCs w:val="1"/>
          <w:color w:val="auto"/>
        </w:rPr>
        <w:t>Screen Preparation Data Package</w:t>
      </w:r>
      <w:r>
        <w:rPr>
          <w:rFonts w:ascii="Arial" w:cs="Arial" w:eastAsia="Arial" w:hAnsi="Arial"/>
          <w:sz w:val="22"/>
          <w:szCs w:val="22"/>
          <w:color w:val="auto"/>
        </w:rPr>
        <w:t xml:space="preserve">”). The JSC, in accordance with </w:t>
      </w: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(Collaboration Management), will review the Screen Preparation Data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0" w:name="page111"/>
    <w:bookmarkEnd w:id="110"/>
    <w:p>
      <w:pPr>
        <w:jc w:val="both"/>
        <w:ind w:right="20"/>
        <w:spacing w:after="0" w:line="250" w:lineRule="auto"/>
        <w:rPr>
          <w:sz w:val="20"/>
          <w:szCs w:val="20"/>
          <w:color w:val="auto"/>
        </w:rPr>
      </w:pPr>
      <w:r>
        <w:rPr>
          <w:rFonts w:ascii="Arial" w:cs="Arial" w:eastAsia="Arial" w:hAnsi="Arial"/>
          <w:sz w:val="22"/>
          <w:szCs w:val="22"/>
          <w:color w:val="auto"/>
        </w:rPr>
        <w:t>Package and align on readouts (including positive/negative controls) and decide at what point to advance to Fulcrum’s performance of the Primary Screen.</w:t>
      </w:r>
    </w:p>
    <w:p>
      <w:pPr>
        <w:spacing w:after="0" w:line="16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b w:val="1"/>
          <w:bCs w:val="1"/>
          <w:u w:val="single" w:color="auto"/>
          <w:color w:val="auto"/>
        </w:rPr>
        <w:t>Primary Screen</w:t>
      </w:r>
      <w:r>
        <w:rPr>
          <w:rFonts w:ascii="Arial" w:cs="Arial" w:eastAsia="Arial" w:hAnsi="Arial"/>
          <w:sz w:val="22"/>
          <w:szCs w:val="22"/>
          <w:color w:val="auto"/>
        </w:rPr>
        <w:t>. Fulcrum will conduct the Primary Screen on each Potential Project Gene for the purpose of identifying one or more Screened Targets that modulate such Potential Project Gene. Within [**] after completion of such Primary Screen, Fulcrum will furnish a data package to the JSC that will contain the information described in paragraph 4(d) of the Research Plan for [**] Potential Project Genes, including the [**] (the “</w:t>
      </w:r>
      <w:r>
        <w:rPr>
          <w:rFonts w:ascii="Arial" w:cs="Arial" w:eastAsia="Arial" w:hAnsi="Arial"/>
          <w:sz w:val="22"/>
          <w:szCs w:val="22"/>
          <w:b w:val="1"/>
          <w:bCs w:val="1"/>
          <w:color w:val="auto"/>
        </w:rPr>
        <w:t>Primary Screen Data Package</w:t>
      </w:r>
      <w:r>
        <w:rPr>
          <w:rFonts w:ascii="Arial" w:cs="Arial" w:eastAsia="Arial" w:hAnsi="Arial"/>
          <w:sz w:val="22"/>
          <w:szCs w:val="22"/>
          <w:color w:val="auto"/>
        </w:rPr>
        <w:t xml:space="preserve">”) [**]. The JSC, in accordance with </w:t>
      </w: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(Collaboration Management), will review the Primary Screen Data Package. The JSC also may request, and Fulcrum will provide [**].</w:t>
      </w:r>
    </w:p>
    <w:p>
      <w:pPr>
        <w:spacing w:after="0" w:line="182"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b w:val="1"/>
          <w:bCs w:val="1"/>
          <w:u w:val="single" w:color="auto"/>
          <w:color w:val="auto"/>
        </w:rPr>
        <w:t>Target Validation and Selection of Cardiomyopathy Target(s)</w:t>
      </w:r>
      <w:r>
        <w:rPr>
          <w:rFonts w:ascii="Arial" w:cs="Arial" w:eastAsia="Arial" w:hAnsi="Arial"/>
          <w:sz w:val="19"/>
          <w:szCs w:val="19"/>
          <w:color w:val="auto"/>
        </w:rPr>
        <w:t>.</w:t>
      </w:r>
    </w:p>
    <w:p>
      <w:pPr>
        <w:spacing w:after="0" w:line="206" w:lineRule="exact"/>
        <w:rPr>
          <w:sz w:val="20"/>
          <w:szCs w:val="20"/>
          <w:color w:val="auto"/>
        </w:rPr>
      </w:pPr>
    </w:p>
    <w:p>
      <w:pPr>
        <w:jc w:val="both"/>
        <w:ind w:left="880" w:firstLine="797"/>
        <w:spacing w:after="0" w:line="235" w:lineRule="auto"/>
        <w:rPr>
          <w:sz w:val="20"/>
          <w:szCs w:val="20"/>
          <w:color w:val="auto"/>
        </w:rPr>
      </w:pPr>
      <w:r>
        <w:rPr>
          <w:rFonts w:ascii="Arial" w:cs="Arial" w:eastAsia="Arial" w:hAnsi="Arial"/>
          <w:sz w:val="22"/>
          <w:szCs w:val="22"/>
          <w:color w:val="auto"/>
        </w:rPr>
        <w:t xml:space="preserve">3.6.1. </w:t>
      </w:r>
      <w:r>
        <w:rPr>
          <w:rFonts w:ascii="Arial" w:cs="Arial" w:eastAsia="Arial" w:hAnsi="Arial"/>
          <w:sz w:val="22"/>
          <w:szCs w:val="22"/>
          <w:b w:val="1"/>
          <w:bCs w:val="1"/>
          <w:color w:val="auto"/>
        </w:rPr>
        <w:t>Preliminary Validation</w:t>
      </w:r>
      <w:r>
        <w:rPr>
          <w:rFonts w:ascii="Arial" w:cs="Arial" w:eastAsia="Arial" w:hAnsi="Arial"/>
          <w:sz w:val="22"/>
          <w:szCs w:val="22"/>
          <w:color w:val="auto"/>
        </w:rPr>
        <w:t xml:space="preserve">. From review of the Primary Screen Data Package and other data provided pursuant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(Primary Screen), the JSC will select approximately [**] (or such number as determined by the JSC) compounds to advance to CRC Screen and Cell Toxicity Screen (“</w:t>
      </w:r>
      <w:r>
        <w:rPr>
          <w:rFonts w:ascii="Arial" w:cs="Arial" w:eastAsia="Arial" w:hAnsi="Arial"/>
          <w:sz w:val="22"/>
          <w:szCs w:val="22"/>
          <w:b w:val="1"/>
          <w:bCs w:val="1"/>
          <w:color w:val="auto"/>
        </w:rPr>
        <w:t>Preliminary</w:t>
      </w:r>
      <w:r>
        <w:rPr>
          <w:rFonts w:ascii="Arial" w:cs="Arial" w:eastAsia="Arial" w:hAnsi="Arial"/>
          <w:sz w:val="22"/>
          <w:szCs w:val="22"/>
          <w:color w:val="auto"/>
        </w:rPr>
        <w:t xml:space="preserve"> </w:t>
      </w:r>
      <w:r>
        <w:rPr>
          <w:rFonts w:ascii="Arial" w:cs="Arial" w:eastAsia="Arial" w:hAnsi="Arial"/>
          <w:sz w:val="22"/>
          <w:szCs w:val="22"/>
          <w:b w:val="1"/>
          <w:bCs w:val="1"/>
          <w:color w:val="auto"/>
        </w:rPr>
        <w:t>Validation</w:t>
      </w:r>
      <w:r>
        <w:rPr>
          <w:rFonts w:ascii="Arial" w:cs="Arial" w:eastAsia="Arial" w:hAnsi="Arial"/>
          <w:sz w:val="22"/>
          <w:szCs w:val="22"/>
          <w:color w:val="auto"/>
        </w:rPr>
        <w:t>”). Fulcrum will conduct Preliminary Validation for all such compounds and Screened Targets for each</w:t>
      </w:r>
      <w:r>
        <w:rPr>
          <w:rFonts w:ascii="Arial" w:cs="Arial" w:eastAsia="Arial" w:hAnsi="Arial"/>
          <w:sz w:val="22"/>
          <w:szCs w:val="22"/>
          <w:b w:val="1"/>
          <w:bCs w:val="1"/>
          <w:color w:val="auto"/>
        </w:rPr>
        <w:t xml:space="preserve"> </w:t>
      </w:r>
      <w:r>
        <w:rPr>
          <w:rFonts w:ascii="Arial" w:cs="Arial" w:eastAsia="Arial" w:hAnsi="Arial"/>
          <w:sz w:val="22"/>
          <w:szCs w:val="22"/>
          <w:color w:val="auto"/>
        </w:rPr>
        <w:t>Potential Project Gene. Within [**] after completion of Preliminary Validation, Fulcrum will deliver a report to the JSC containing all data resulting from the Preliminary Validation for all Screened Targets for all Potential Project Genes (“</w:t>
      </w:r>
      <w:r>
        <w:rPr>
          <w:rFonts w:ascii="Arial" w:cs="Arial" w:eastAsia="Arial" w:hAnsi="Arial"/>
          <w:sz w:val="22"/>
          <w:szCs w:val="22"/>
          <w:b w:val="1"/>
          <w:bCs w:val="1"/>
          <w:color w:val="auto"/>
        </w:rPr>
        <w:t>Preliminary Validation Data Package</w:t>
      </w:r>
      <w:r>
        <w:rPr>
          <w:rFonts w:ascii="Arial" w:cs="Arial" w:eastAsia="Arial" w:hAnsi="Arial"/>
          <w:sz w:val="22"/>
          <w:szCs w:val="22"/>
          <w:color w:val="auto"/>
        </w:rPr>
        <w:t>”).</w:t>
      </w:r>
    </w:p>
    <w:p>
      <w:pPr>
        <w:spacing w:after="0" w:line="183" w:lineRule="exact"/>
        <w:rPr>
          <w:sz w:val="20"/>
          <w:szCs w:val="20"/>
          <w:color w:val="auto"/>
        </w:rPr>
      </w:pPr>
    </w:p>
    <w:p>
      <w:pPr>
        <w:jc w:val="both"/>
        <w:ind w:left="880" w:firstLine="797"/>
        <w:spacing w:after="0" w:line="270" w:lineRule="auto"/>
        <w:rPr>
          <w:sz w:val="20"/>
          <w:szCs w:val="20"/>
          <w:color w:val="auto"/>
        </w:rPr>
      </w:pPr>
      <w:r>
        <w:rPr>
          <w:rFonts w:ascii="Arial" w:cs="Arial" w:eastAsia="Arial" w:hAnsi="Arial"/>
          <w:sz w:val="19"/>
          <w:szCs w:val="19"/>
          <w:color w:val="auto"/>
        </w:rPr>
        <w:t xml:space="preserve">3.6.2. </w:t>
      </w:r>
      <w:r>
        <w:rPr>
          <w:rFonts w:ascii="Arial" w:cs="Arial" w:eastAsia="Arial" w:hAnsi="Arial"/>
          <w:sz w:val="19"/>
          <w:szCs w:val="19"/>
          <w:b w:val="1"/>
          <w:bCs w:val="1"/>
          <w:color w:val="auto"/>
        </w:rPr>
        <w:t>Part 1 Validation.</w:t>
      </w:r>
      <w:r>
        <w:rPr>
          <w:rFonts w:ascii="Arial" w:cs="Arial" w:eastAsia="Arial" w:hAnsi="Arial"/>
          <w:sz w:val="19"/>
          <w:szCs w:val="19"/>
          <w:color w:val="auto"/>
        </w:rPr>
        <w:t xml:space="preserve"> The Parties, through the JSC and in accordance with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(Collaboration Management), will review the data in the Preliminary Validation Data Package to select up to [**] (or more, if mutually agreed by the Parties) such Screened Targets (each, a “</w:t>
      </w:r>
      <w:r>
        <w:rPr>
          <w:rFonts w:ascii="Arial" w:cs="Arial" w:eastAsia="Arial" w:hAnsi="Arial"/>
          <w:sz w:val="19"/>
          <w:szCs w:val="19"/>
          <w:b w:val="1"/>
          <w:bCs w:val="1"/>
          <w:color w:val="auto"/>
        </w:rPr>
        <w:t>Selected Target</w:t>
      </w:r>
      <w:r>
        <w:rPr>
          <w:rFonts w:ascii="Arial" w:cs="Arial" w:eastAsia="Arial" w:hAnsi="Arial"/>
          <w:sz w:val="19"/>
          <w:szCs w:val="19"/>
          <w:color w:val="auto"/>
        </w:rPr>
        <w:t xml:space="preserve">”) from which the JSC shall determine that all or a subset shall advance to Part 1 Validation. Promptly following designation of the Selected Targets, Fulcrum will (a) provide the JSC with the identity of all Selected Targets, (b) notify the JSC as to whether any Screened Targets that were considered for advancement to Part 1 Validation are Excluded Targets (which, in such case,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3.6.8</w:t>
      </w:r>
      <w:r>
        <w:rPr>
          <w:rFonts w:ascii="Arial" w:cs="Arial" w:eastAsia="Arial" w:hAnsi="Arial"/>
          <w:sz w:val="19"/>
          <w:szCs w:val="19"/>
          <w:color w:val="auto"/>
        </w:rPr>
        <w:t xml:space="preserve"> (Excluded Target) such Screened Targets shall not be selected by the JSC as a Selected Target) and</w:t>
      </w:r>
    </w:p>
    <w:p>
      <w:pPr>
        <w:spacing w:after="0" w:line="4" w:lineRule="exact"/>
        <w:rPr>
          <w:sz w:val="20"/>
          <w:szCs w:val="20"/>
          <w:color w:val="auto"/>
        </w:rPr>
      </w:pPr>
    </w:p>
    <w:p>
      <w:pPr>
        <w:jc w:val="both"/>
        <w:ind w:left="880" w:hanging="8"/>
        <w:spacing w:after="0" w:line="243" w:lineRule="auto"/>
        <w:tabs>
          <w:tab w:leader="none" w:pos="14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Following designation of the Selected Targets and the JSC decision as to which Selected Targets to advance forward, each Party will initiate and conduct the Part 1 Validation activities described in paragraph 5.2 and Figure 2 of the Research Plan that are assigned to such Party for each Selected Target for each Potential Project Gene, which for Fulcrum will include [**] (“</w:t>
      </w:r>
      <w:r>
        <w:rPr>
          <w:rFonts w:ascii="Arial" w:cs="Arial" w:eastAsia="Arial" w:hAnsi="Arial"/>
          <w:sz w:val="21"/>
          <w:szCs w:val="21"/>
          <w:b w:val="1"/>
          <w:bCs w:val="1"/>
          <w:color w:val="auto"/>
        </w:rPr>
        <w:t>Part 1 Validation</w:t>
      </w:r>
      <w:r>
        <w:rPr>
          <w:rFonts w:ascii="Arial" w:cs="Arial" w:eastAsia="Arial" w:hAnsi="Arial"/>
          <w:sz w:val="21"/>
          <w:szCs w:val="21"/>
          <w:color w:val="auto"/>
        </w:rPr>
        <w:t>”). For MyoKardia, Part 1 Validation activities include [**]. Within [**] after a Party’s completion of its Part 1 Validation activities, such Party will deliver a report containing all data resulting from such Part 1 Validation for all Selected Targets and for all Potential Project Genes to the JSC (each, a “</w:t>
      </w:r>
      <w:r>
        <w:rPr>
          <w:rFonts w:ascii="Arial" w:cs="Arial" w:eastAsia="Arial" w:hAnsi="Arial"/>
          <w:sz w:val="21"/>
          <w:szCs w:val="21"/>
          <w:b w:val="1"/>
          <w:bCs w:val="1"/>
          <w:color w:val="auto"/>
        </w:rPr>
        <w:t>Part 1</w:t>
      </w:r>
      <w:r>
        <w:rPr>
          <w:rFonts w:ascii="Arial" w:cs="Arial" w:eastAsia="Arial" w:hAnsi="Arial"/>
          <w:sz w:val="21"/>
          <w:szCs w:val="21"/>
          <w:color w:val="auto"/>
        </w:rPr>
        <w:t xml:space="preserve"> </w:t>
      </w:r>
      <w:r>
        <w:rPr>
          <w:rFonts w:ascii="Arial" w:cs="Arial" w:eastAsia="Arial" w:hAnsi="Arial"/>
          <w:sz w:val="21"/>
          <w:szCs w:val="21"/>
          <w:b w:val="1"/>
          <w:bCs w:val="1"/>
          <w:color w:val="auto"/>
        </w:rPr>
        <w:t>Validation Data Package</w:t>
      </w:r>
      <w:r>
        <w:rPr>
          <w:rFonts w:ascii="Arial" w:cs="Arial" w:eastAsia="Arial" w:hAnsi="Arial"/>
          <w:sz w:val="21"/>
          <w:szCs w:val="21"/>
          <w:color w:val="auto"/>
        </w:rPr>
        <w:t>”).</w:t>
      </w:r>
    </w:p>
    <w:p>
      <w:pPr>
        <w:spacing w:after="0" w:line="181" w:lineRule="exact"/>
        <w:rPr>
          <w:sz w:val="20"/>
          <w:szCs w:val="20"/>
          <w:color w:val="auto"/>
        </w:rPr>
      </w:pPr>
    </w:p>
    <w:p>
      <w:pPr>
        <w:jc w:val="both"/>
        <w:ind w:left="880" w:firstLine="797"/>
        <w:spacing w:after="0" w:line="254" w:lineRule="auto"/>
        <w:rPr>
          <w:sz w:val="20"/>
          <w:szCs w:val="20"/>
          <w:color w:val="auto"/>
        </w:rPr>
      </w:pPr>
      <w:r>
        <w:rPr>
          <w:rFonts w:ascii="Arial" w:cs="Arial" w:eastAsia="Arial" w:hAnsi="Arial"/>
          <w:sz w:val="21"/>
          <w:szCs w:val="21"/>
          <w:color w:val="auto"/>
        </w:rPr>
        <w:t xml:space="preserve">3.6.3. </w:t>
      </w:r>
      <w:r>
        <w:rPr>
          <w:rFonts w:ascii="Arial" w:cs="Arial" w:eastAsia="Arial" w:hAnsi="Arial"/>
          <w:sz w:val="21"/>
          <w:szCs w:val="21"/>
          <w:b w:val="1"/>
          <w:bCs w:val="1"/>
          <w:color w:val="auto"/>
        </w:rPr>
        <w:t>Part 2 Validation</w:t>
      </w:r>
      <w:r>
        <w:rPr>
          <w:rFonts w:ascii="Arial" w:cs="Arial" w:eastAsia="Arial" w:hAnsi="Arial"/>
          <w:sz w:val="21"/>
          <w:szCs w:val="21"/>
          <w:color w:val="auto"/>
        </w:rPr>
        <w:t xml:space="preserve">. The Parties, through the JSC and in accordance with </w:t>
      </w:r>
      <w:r>
        <w:rPr>
          <w:rFonts w:ascii="Arial" w:cs="Arial" w:eastAsia="Arial" w:hAnsi="Arial"/>
          <w:sz w:val="21"/>
          <w:szCs w:val="21"/>
          <w:u w:val="single" w:color="auto"/>
          <w:color w:val="auto"/>
        </w:rPr>
        <w:t>Article 2</w:t>
      </w:r>
      <w:r>
        <w:rPr>
          <w:rFonts w:ascii="Arial" w:cs="Arial" w:eastAsia="Arial" w:hAnsi="Arial"/>
          <w:sz w:val="21"/>
          <w:szCs w:val="21"/>
          <w:color w:val="auto"/>
        </w:rPr>
        <w:t xml:space="preserve"> (Collaboration Management) will review the data from the Part 1 Validation Data Package and identify which of the [**] Selected Targets across up to [**] Potential Project Genes meet the Part 1 Validation Criteria set forth in Figure 2 of the Research Plan (such targets, “</w:t>
      </w:r>
      <w:r>
        <w:rPr>
          <w:rFonts w:ascii="Arial" w:cs="Arial" w:eastAsia="Arial" w:hAnsi="Arial"/>
          <w:sz w:val="21"/>
          <w:szCs w:val="21"/>
          <w:b w:val="1"/>
          <w:bCs w:val="1"/>
          <w:color w:val="auto"/>
        </w:rPr>
        <w:t>Cardiomyopathy Target Candidates</w:t>
      </w:r>
      <w:r>
        <w:rPr>
          <w:rFonts w:ascii="Arial" w:cs="Arial" w:eastAsia="Arial" w:hAnsi="Arial"/>
          <w:sz w:val="21"/>
          <w:szCs w:val="21"/>
          <w:color w:val="auto"/>
        </w:rPr>
        <w:t>”). MyoKardia will select which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1" w:name="page112"/>
    <w:bookmarkEnd w:id="111"/>
    <w:p>
      <w:pPr>
        <w:jc w:val="both"/>
        <w:ind w:left="8"/>
        <w:spacing w:after="0" w:line="238" w:lineRule="auto"/>
        <w:rPr>
          <w:sz w:val="20"/>
          <w:szCs w:val="20"/>
          <w:color w:val="auto"/>
        </w:rPr>
      </w:pPr>
      <w:r>
        <w:rPr>
          <w:rFonts w:ascii="Arial" w:cs="Arial" w:eastAsia="Arial" w:hAnsi="Arial"/>
          <w:sz w:val="22"/>
          <w:szCs w:val="22"/>
          <w:color w:val="auto"/>
        </w:rPr>
        <w:t>Cardiomyopathy Target Candidates to advance to the validation activities identified in paragraph 5.3 and Figure 2 of the Research Plan (“</w:t>
      </w:r>
      <w:r>
        <w:rPr>
          <w:rFonts w:ascii="Arial" w:cs="Arial" w:eastAsia="Arial" w:hAnsi="Arial"/>
          <w:sz w:val="22"/>
          <w:szCs w:val="22"/>
          <w:b w:val="1"/>
          <w:bCs w:val="1"/>
          <w:color w:val="auto"/>
        </w:rPr>
        <w:t>Part 2 Validation</w:t>
      </w:r>
      <w:r>
        <w:rPr>
          <w:rFonts w:ascii="Arial" w:cs="Arial" w:eastAsia="Arial" w:hAnsi="Arial"/>
          <w:sz w:val="22"/>
          <w:szCs w:val="22"/>
          <w:color w:val="auto"/>
        </w:rPr>
        <w:t>”) and [**]. On a Cardiomyopathy Target Candidate-by-Cardiomyopathy Target Candidate basis, [**] from Part 2 Validation for such Cardiomyopathy Target Candidate to the JSC for review and discussion (“</w:t>
      </w:r>
      <w:r>
        <w:rPr>
          <w:rFonts w:ascii="Arial" w:cs="Arial" w:eastAsia="Arial" w:hAnsi="Arial"/>
          <w:sz w:val="22"/>
          <w:szCs w:val="22"/>
          <w:b w:val="1"/>
          <w:bCs w:val="1"/>
          <w:color w:val="auto"/>
        </w:rPr>
        <w:t>Part 2 Validation Summary</w:t>
      </w:r>
      <w:r>
        <w:rPr>
          <w:rFonts w:ascii="Arial" w:cs="Arial" w:eastAsia="Arial" w:hAnsi="Arial"/>
          <w:sz w:val="22"/>
          <w:szCs w:val="22"/>
          <w:color w:val="auto"/>
        </w:rPr>
        <w:t>”).</w:t>
      </w:r>
    </w:p>
    <w:p>
      <w:pPr>
        <w:spacing w:after="0" w:line="179" w:lineRule="exact"/>
        <w:rPr>
          <w:sz w:val="20"/>
          <w:szCs w:val="20"/>
          <w:color w:val="auto"/>
        </w:rPr>
      </w:pPr>
    </w:p>
    <w:p>
      <w:pPr>
        <w:jc w:val="both"/>
        <w:ind w:left="8" w:firstLine="797"/>
        <w:spacing w:after="0" w:line="280" w:lineRule="auto"/>
        <w:rPr>
          <w:sz w:val="20"/>
          <w:szCs w:val="20"/>
          <w:color w:val="auto"/>
        </w:rPr>
      </w:pPr>
      <w:r>
        <w:rPr>
          <w:rFonts w:ascii="Arial" w:cs="Arial" w:eastAsia="Arial" w:hAnsi="Arial"/>
          <w:sz w:val="19"/>
          <w:szCs w:val="19"/>
          <w:color w:val="auto"/>
        </w:rPr>
        <w:t xml:space="preserve">3.6.4. </w:t>
      </w:r>
      <w:r>
        <w:rPr>
          <w:rFonts w:ascii="Arial" w:cs="Arial" w:eastAsia="Arial" w:hAnsi="Arial"/>
          <w:sz w:val="19"/>
          <w:szCs w:val="19"/>
          <w:b w:val="1"/>
          <w:bCs w:val="1"/>
          <w:color w:val="auto"/>
        </w:rPr>
        <w:t>Final Data Package</w:t>
      </w:r>
      <w:r>
        <w:rPr>
          <w:rFonts w:ascii="Arial" w:cs="Arial" w:eastAsia="Arial" w:hAnsi="Arial"/>
          <w:sz w:val="19"/>
          <w:szCs w:val="19"/>
          <w:color w:val="auto"/>
        </w:rPr>
        <w:t>. Upon completion of the Research Plan, the Parties shall work together to produce a final data package that will contain (a) all data generated in the performance of Fulcrum Research Activities,</w:t>
      </w:r>
    </w:p>
    <w:p>
      <w:pPr>
        <w:jc w:val="both"/>
        <w:ind w:left="8" w:hanging="8"/>
        <w:spacing w:after="0" w:line="269" w:lineRule="auto"/>
        <w:tabs>
          <w:tab w:leader="none" w:pos="3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all data generated in the performance of MyoKardia Research Activities [**] and (c) such other information identified in the Research Plan as to be included in such final data package (to the extent not provided in a previous Data Package), to provide to the JSC and allow MyoKardia to fully consider whether any of the Cardiomyopathy Target Candidates should be designated a Cardiomyopathy Target;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Fulcrum will not be required to undertake any additional research activities to produce such other information not set forth in the Research Plan, and, to the extent, any such additional research activities would be required, Fulcrum will not be required to deliver such other information (the “</w:t>
      </w:r>
      <w:r>
        <w:rPr>
          <w:rFonts w:ascii="Arial" w:cs="Arial" w:eastAsia="Arial" w:hAnsi="Arial"/>
          <w:sz w:val="19"/>
          <w:szCs w:val="19"/>
          <w:b w:val="1"/>
          <w:bCs w:val="1"/>
          <w:color w:val="auto"/>
        </w:rPr>
        <w:t>Final Data Package</w:t>
      </w:r>
      <w:r>
        <w:rPr>
          <w:rFonts w:ascii="Arial" w:cs="Arial" w:eastAsia="Arial" w:hAnsi="Arial"/>
          <w:sz w:val="19"/>
          <w:szCs w:val="19"/>
          <w:color w:val="auto"/>
        </w:rPr>
        <w:t>”). In the event that the Final Data Package does not contain all such information and either Party notifies the other Party thereof, such Party will promptly provide such missing items and, notwithstanding any earlier delivery by such Parties, the delivery date for the Final Data Package will be deemed for all purposes under this Agreement to be the date upon which the Parties have delivered a complete Final Data Package including all such items, as memorialized by the Parties in writing, which date will, if the Parties have not otherwise memorialized such delivery, be deemed to occur on [**] following the last date on which either Party has provided any missing items to the other Party and neither Party has notified the other of any additional missing items (the “</w:t>
      </w:r>
      <w:r>
        <w:rPr>
          <w:rFonts w:ascii="Arial" w:cs="Arial" w:eastAsia="Arial" w:hAnsi="Arial"/>
          <w:sz w:val="19"/>
          <w:szCs w:val="19"/>
          <w:b w:val="1"/>
          <w:bCs w:val="1"/>
          <w:color w:val="auto"/>
        </w:rPr>
        <w:t>Final</w:t>
      </w:r>
      <w:r>
        <w:rPr>
          <w:rFonts w:ascii="Arial" w:cs="Arial" w:eastAsia="Arial" w:hAnsi="Arial"/>
          <w:sz w:val="19"/>
          <w:szCs w:val="19"/>
          <w:color w:val="auto"/>
        </w:rPr>
        <w:t xml:space="preserve"> </w:t>
      </w:r>
      <w:r>
        <w:rPr>
          <w:rFonts w:ascii="Arial" w:cs="Arial" w:eastAsia="Arial" w:hAnsi="Arial"/>
          <w:sz w:val="19"/>
          <w:szCs w:val="19"/>
          <w:b w:val="1"/>
          <w:bCs w:val="1"/>
          <w:color w:val="auto"/>
        </w:rPr>
        <w:t>Data Package Delivery Date</w:t>
      </w:r>
      <w:r>
        <w:rPr>
          <w:rFonts w:ascii="Arial" w:cs="Arial" w:eastAsia="Arial" w:hAnsi="Arial"/>
          <w:sz w:val="19"/>
          <w:szCs w:val="19"/>
          <w:color w:val="auto"/>
        </w:rPr>
        <w:t>”). Fulcrum will provide reasonable assistance to MyoKardia in interpreting all data in</w:t>
      </w:r>
      <w:r>
        <w:rPr>
          <w:rFonts w:ascii="Arial" w:cs="Arial" w:eastAsia="Arial" w:hAnsi="Arial"/>
          <w:sz w:val="19"/>
          <w:szCs w:val="19"/>
          <w:b w:val="1"/>
          <w:bCs w:val="1"/>
          <w:color w:val="auto"/>
        </w:rPr>
        <w:t xml:space="preserve"> </w:t>
      </w:r>
      <w:r>
        <w:rPr>
          <w:rFonts w:ascii="Arial" w:cs="Arial" w:eastAsia="Arial" w:hAnsi="Arial"/>
          <w:sz w:val="19"/>
          <w:szCs w:val="19"/>
          <w:color w:val="auto"/>
        </w:rPr>
        <w:t>the Final Data Package. Promptly following the Final Data Package Delivery Date, Fulcrum will destroy MyoKardia’s materials provided under this Agreement, including any Engineered Cell Line, and MyoKardia’s Confidential Information, except that one copy of such Confidential Information can be kept for archival and legal purposes.</w:t>
      </w:r>
    </w:p>
    <w:p>
      <w:pPr>
        <w:spacing w:after="0" w:line="160" w:lineRule="exact"/>
        <w:rPr>
          <w:sz w:val="20"/>
          <w:szCs w:val="20"/>
          <w:color w:val="auto"/>
        </w:rPr>
      </w:pPr>
    </w:p>
    <w:p>
      <w:pPr>
        <w:jc w:val="both"/>
        <w:ind w:left="8" w:firstLine="797"/>
        <w:spacing w:after="0" w:line="272" w:lineRule="auto"/>
        <w:rPr>
          <w:sz w:val="20"/>
          <w:szCs w:val="20"/>
          <w:color w:val="auto"/>
        </w:rPr>
      </w:pPr>
      <w:r>
        <w:rPr>
          <w:rFonts w:ascii="Arial" w:cs="Arial" w:eastAsia="Arial" w:hAnsi="Arial"/>
          <w:sz w:val="19"/>
          <w:szCs w:val="19"/>
          <w:color w:val="auto"/>
        </w:rPr>
        <w:t xml:space="preserve">3.6.5. </w:t>
      </w:r>
      <w:r>
        <w:rPr>
          <w:rFonts w:ascii="Arial" w:cs="Arial" w:eastAsia="Arial" w:hAnsi="Arial"/>
          <w:sz w:val="19"/>
          <w:szCs w:val="19"/>
          <w:b w:val="1"/>
          <w:bCs w:val="1"/>
          <w:color w:val="auto"/>
        </w:rPr>
        <w:t>Selection of Lead Cardiomyopathy Target.</w:t>
      </w:r>
      <w:r>
        <w:rPr>
          <w:rFonts w:ascii="Arial" w:cs="Arial" w:eastAsia="Arial" w:hAnsi="Arial"/>
          <w:sz w:val="19"/>
          <w:szCs w:val="19"/>
          <w:color w:val="auto"/>
        </w:rPr>
        <w:t xml:space="preserve"> MyoKardia will have the sole discretion to designate one (1) Cardiomyopathy Target Candidate as the Lead Cardiomyopathy Target by written notice (“</w:t>
      </w:r>
      <w:r>
        <w:rPr>
          <w:rFonts w:ascii="Arial" w:cs="Arial" w:eastAsia="Arial" w:hAnsi="Arial"/>
          <w:sz w:val="19"/>
          <w:szCs w:val="19"/>
          <w:b w:val="1"/>
          <w:bCs w:val="1"/>
          <w:color w:val="auto"/>
        </w:rPr>
        <w:t>Lead</w:t>
      </w:r>
      <w:r>
        <w:rPr>
          <w:rFonts w:ascii="Arial" w:cs="Arial" w:eastAsia="Arial" w:hAnsi="Arial"/>
          <w:sz w:val="19"/>
          <w:szCs w:val="19"/>
          <w:color w:val="auto"/>
        </w:rPr>
        <w:t xml:space="preserve"> </w:t>
      </w:r>
      <w:r>
        <w:rPr>
          <w:rFonts w:ascii="Arial" w:cs="Arial" w:eastAsia="Arial" w:hAnsi="Arial"/>
          <w:sz w:val="19"/>
          <w:szCs w:val="19"/>
          <w:b w:val="1"/>
          <w:bCs w:val="1"/>
          <w:color w:val="auto"/>
        </w:rPr>
        <w:t>Cardiomyopathy Target Notice</w:t>
      </w:r>
      <w:r>
        <w:rPr>
          <w:rFonts w:ascii="Arial" w:cs="Arial" w:eastAsia="Arial" w:hAnsi="Arial"/>
          <w:sz w:val="19"/>
          <w:szCs w:val="19"/>
          <w:color w:val="auto"/>
        </w:rPr>
        <w:t>”) delivered to Fulcrum no later than the date that is [**] (such period, the “</w:t>
      </w:r>
      <w:r>
        <w:rPr>
          <w:rFonts w:ascii="Arial" w:cs="Arial" w:eastAsia="Arial" w:hAnsi="Arial"/>
          <w:sz w:val="19"/>
          <w:szCs w:val="19"/>
          <w:b w:val="1"/>
          <w:bCs w:val="1"/>
          <w:color w:val="auto"/>
        </w:rPr>
        <w:t>First Designation Period</w:t>
      </w:r>
      <w:r>
        <w:rPr>
          <w:rFonts w:ascii="Arial" w:cs="Arial" w:eastAsia="Arial" w:hAnsi="Arial"/>
          <w:sz w:val="19"/>
          <w:szCs w:val="19"/>
          <w:color w:val="auto"/>
        </w:rPr>
        <w:t>”). In the Lead Cardiomyopathy Target Notice, MyoKardia will also identify the (a) Potential</w:t>
      </w:r>
      <w:r>
        <w:rPr>
          <w:rFonts w:ascii="Arial" w:cs="Arial" w:eastAsia="Arial" w:hAnsi="Arial"/>
          <w:sz w:val="19"/>
          <w:szCs w:val="19"/>
          <w:b w:val="1"/>
          <w:bCs w:val="1"/>
          <w:color w:val="auto"/>
        </w:rPr>
        <w:t xml:space="preserve"> </w:t>
      </w:r>
      <w:r>
        <w:rPr>
          <w:rFonts w:ascii="Arial" w:cs="Arial" w:eastAsia="Arial" w:hAnsi="Arial"/>
          <w:sz w:val="19"/>
          <w:szCs w:val="19"/>
          <w:color w:val="auto"/>
        </w:rPr>
        <w:t>Project Gene for which expression is modulated by the Lead Cardiomyopathy Target (the “</w:t>
      </w:r>
      <w:r>
        <w:rPr>
          <w:rFonts w:ascii="Arial" w:cs="Arial" w:eastAsia="Arial" w:hAnsi="Arial"/>
          <w:sz w:val="19"/>
          <w:szCs w:val="19"/>
          <w:b w:val="1"/>
          <w:bCs w:val="1"/>
          <w:color w:val="auto"/>
        </w:rPr>
        <w:t>Lead Project Gene</w:t>
      </w:r>
      <w:r>
        <w:rPr>
          <w:rFonts w:ascii="Arial" w:cs="Arial" w:eastAsia="Arial" w:hAnsi="Arial"/>
          <w:sz w:val="19"/>
          <w:szCs w:val="19"/>
          <w:color w:val="auto"/>
        </w:rPr>
        <w:t>”) and</w:t>
      </w:r>
    </w:p>
    <w:p>
      <w:pPr>
        <w:spacing w:after="0" w:line="1" w:lineRule="exact"/>
        <w:rPr>
          <w:sz w:val="20"/>
          <w:szCs w:val="20"/>
          <w:color w:val="auto"/>
        </w:rPr>
      </w:pPr>
    </w:p>
    <w:p>
      <w:pPr>
        <w:ind w:left="8" w:right="20" w:hanging="8"/>
        <w:spacing w:after="0" w:line="236" w:lineRule="auto"/>
        <w:tabs>
          <w:tab w:leader="none" w:pos="33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genetically defined cardiomyopathies scientifically shown to be related to the Lead Project Gene (the “</w:t>
      </w:r>
      <w:r>
        <w:rPr>
          <w:rFonts w:ascii="Arial" w:cs="Arial" w:eastAsia="Arial" w:hAnsi="Arial"/>
          <w:sz w:val="22"/>
          <w:szCs w:val="22"/>
          <w:b w:val="1"/>
          <w:bCs w:val="1"/>
          <w:color w:val="auto"/>
        </w:rPr>
        <w:t>Lead</w:t>
      </w:r>
      <w:r>
        <w:rPr>
          <w:rFonts w:ascii="Arial" w:cs="Arial" w:eastAsia="Arial" w:hAnsi="Arial"/>
          <w:sz w:val="22"/>
          <w:szCs w:val="22"/>
          <w:color w:val="auto"/>
        </w:rPr>
        <w:t xml:space="preserve"> </w:t>
      </w:r>
      <w:r>
        <w:rPr>
          <w:rFonts w:ascii="Arial" w:cs="Arial" w:eastAsia="Arial" w:hAnsi="Arial"/>
          <w:sz w:val="22"/>
          <w:szCs w:val="22"/>
          <w:b w:val="1"/>
          <w:bCs w:val="1"/>
          <w:color w:val="auto"/>
        </w:rPr>
        <w:t>Project Gene Exclusive Indications</w:t>
      </w:r>
      <w:r>
        <w:rPr>
          <w:rFonts w:ascii="Arial" w:cs="Arial" w:eastAsia="Arial" w:hAnsi="Arial"/>
          <w:sz w:val="22"/>
          <w:szCs w:val="22"/>
          <w:color w:val="auto"/>
        </w:rPr>
        <w:t>”).</w:t>
      </w:r>
    </w:p>
    <w:p>
      <w:pPr>
        <w:spacing w:after="0" w:line="181" w:lineRule="exact"/>
        <w:rPr>
          <w:sz w:val="20"/>
          <w:szCs w:val="20"/>
          <w:color w:val="auto"/>
        </w:rPr>
      </w:pPr>
    </w:p>
    <w:p>
      <w:pPr>
        <w:jc w:val="both"/>
        <w:ind w:left="8" w:right="20" w:firstLine="797"/>
        <w:spacing w:after="0" w:line="254" w:lineRule="auto"/>
        <w:rPr>
          <w:sz w:val="20"/>
          <w:szCs w:val="20"/>
          <w:color w:val="auto"/>
        </w:rPr>
      </w:pPr>
      <w:r>
        <w:rPr>
          <w:rFonts w:ascii="Arial" w:cs="Arial" w:eastAsia="Arial" w:hAnsi="Arial"/>
          <w:sz w:val="21"/>
          <w:szCs w:val="21"/>
          <w:color w:val="auto"/>
        </w:rPr>
        <w:t xml:space="preserve">3.6.6. </w:t>
      </w:r>
      <w:r>
        <w:rPr>
          <w:rFonts w:ascii="Arial" w:cs="Arial" w:eastAsia="Arial" w:hAnsi="Arial"/>
          <w:sz w:val="21"/>
          <w:szCs w:val="21"/>
          <w:b w:val="1"/>
          <w:bCs w:val="1"/>
          <w:color w:val="auto"/>
        </w:rPr>
        <w:t>Selection of Follow-On Cardiomyopathy Targets and Additional Cardiomyopathy</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Targets. </w:t>
      </w:r>
      <w:r>
        <w:rPr>
          <w:rFonts w:ascii="Arial" w:cs="Arial" w:eastAsia="Arial" w:hAnsi="Arial"/>
          <w:sz w:val="21"/>
          <w:szCs w:val="21"/>
          <w:color w:val="auto"/>
        </w:rPr>
        <w:t>MyoKardia may, in its sole discretion, designate (a) [**] Follow-On Cardiomyopathy Target(s) or (b) [**]</w:t>
      </w:r>
      <w:r>
        <w:rPr>
          <w:rFonts w:ascii="Arial" w:cs="Arial" w:eastAsia="Arial" w:hAnsi="Arial"/>
          <w:sz w:val="21"/>
          <w:szCs w:val="21"/>
          <w:b w:val="1"/>
          <w:bCs w:val="1"/>
          <w:color w:val="auto"/>
        </w:rPr>
        <w:t xml:space="preserve"> </w:t>
      </w:r>
      <w:r>
        <w:rPr>
          <w:rFonts w:ascii="Arial" w:cs="Arial" w:eastAsia="Arial" w:hAnsi="Arial"/>
          <w:sz w:val="21"/>
          <w:szCs w:val="21"/>
          <w:color w:val="auto"/>
        </w:rPr>
        <w:t>Additional Cardiomyopathy Target(s) by written notice(s) delivered to Fulcrum no later than the date that is [**] following the Final Data Package Delivery Date (“</w:t>
      </w:r>
      <w:r>
        <w:rPr>
          <w:rFonts w:ascii="Arial" w:cs="Arial" w:eastAsia="Arial" w:hAnsi="Arial"/>
          <w:sz w:val="21"/>
          <w:szCs w:val="21"/>
          <w:b w:val="1"/>
          <w:bCs w:val="1"/>
          <w:color w:val="auto"/>
        </w:rPr>
        <w:t>Second Designation Period</w:t>
      </w:r>
      <w:r>
        <w:rPr>
          <w:rFonts w:ascii="Arial" w:cs="Arial" w:eastAsia="Arial" w:hAnsi="Arial"/>
          <w:sz w:val="21"/>
          <w:szCs w:val="21"/>
          <w:color w:val="auto"/>
        </w:rPr>
        <w:t>”). Such notice will identify</w:t>
      </w:r>
    </w:p>
    <w:p>
      <w:pPr>
        <w:spacing w:after="0" w:line="172" w:lineRule="exact"/>
        <w:rPr>
          <w:sz w:val="20"/>
          <w:szCs w:val="20"/>
          <w:color w:val="auto"/>
        </w:rPr>
      </w:pPr>
    </w:p>
    <w:p>
      <w:pPr>
        <w:ind w:left="4568"/>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75565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112" w:name="page113"/>
    <w:bookmarkEnd w:id="112"/>
    <w:p>
      <w:pPr>
        <w:jc w:val="both"/>
        <w:ind w:left="880"/>
        <w:spacing w:after="0" w:line="236" w:lineRule="auto"/>
        <w:rPr>
          <w:sz w:val="20"/>
          <w:szCs w:val="20"/>
          <w:color w:val="auto"/>
        </w:rPr>
      </w:pPr>
      <w:r>
        <w:rPr>
          <w:rFonts w:ascii="Arial" w:cs="Arial" w:eastAsia="Arial" w:hAnsi="Arial"/>
          <w:sz w:val="22"/>
          <w:szCs w:val="22"/>
          <w:color w:val="auto"/>
        </w:rPr>
        <w:t>whether such Cardiomyopathy Target is a Follow-On Cardiomyopathy Target or an Additional Cardiomyopathy Target and, with respect to an Additional Cardiomyopathy Target, the (a) Potential Project Gene for which expression is modulated by such Additional Cardiomyopathy Target (“</w:t>
      </w:r>
      <w:r>
        <w:rPr>
          <w:rFonts w:ascii="Arial" w:cs="Arial" w:eastAsia="Arial" w:hAnsi="Arial"/>
          <w:sz w:val="22"/>
          <w:szCs w:val="22"/>
          <w:b w:val="1"/>
          <w:bCs w:val="1"/>
          <w:color w:val="auto"/>
        </w:rPr>
        <w:t>Additional Project Gene</w:t>
      </w:r>
      <w:r>
        <w:rPr>
          <w:rFonts w:ascii="Arial" w:cs="Arial" w:eastAsia="Arial" w:hAnsi="Arial"/>
          <w:sz w:val="22"/>
          <w:szCs w:val="22"/>
          <w:color w:val="auto"/>
        </w:rPr>
        <w:t>”) and (b) the genetically defined cardiomyopathies scientifically shown to be related to the Additional Project Gene (the “</w:t>
      </w:r>
      <w:r>
        <w:rPr>
          <w:rFonts w:ascii="Arial" w:cs="Arial" w:eastAsia="Arial" w:hAnsi="Arial"/>
          <w:sz w:val="22"/>
          <w:szCs w:val="22"/>
          <w:b w:val="1"/>
          <w:bCs w:val="1"/>
          <w:color w:val="auto"/>
        </w:rPr>
        <w:t>Additional Project Gene</w:t>
      </w:r>
      <w:r>
        <w:rPr>
          <w:rFonts w:ascii="Arial" w:cs="Arial" w:eastAsia="Arial" w:hAnsi="Arial"/>
          <w:sz w:val="22"/>
          <w:szCs w:val="22"/>
          <w:color w:val="auto"/>
        </w:rPr>
        <w:t xml:space="preserve"> </w:t>
      </w:r>
      <w:r>
        <w:rPr>
          <w:rFonts w:ascii="Arial" w:cs="Arial" w:eastAsia="Arial" w:hAnsi="Arial"/>
          <w:sz w:val="22"/>
          <w:szCs w:val="22"/>
          <w:b w:val="1"/>
          <w:bCs w:val="1"/>
          <w:color w:val="auto"/>
        </w:rPr>
        <w:t>Exclusive Indications</w:t>
      </w:r>
      <w:r>
        <w:rPr>
          <w:rFonts w:ascii="Arial" w:cs="Arial" w:eastAsia="Arial" w:hAnsi="Arial"/>
          <w:sz w:val="22"/>
          <w:szCs w:val="22"/>
          <w:color w:val="auto"/>
        </w:rPr>
        <w:t>”).</w:t>
      </w:r>
    </w:p>
    <w:p>
      <w:pPr>
        <w:spacing w:after="0" w:line="181" w:lineRule="exact"/>
        <w:rPr>
          <w:sz w:val="20"/>
          <w:szCs w:val="20"/>
          <w:color w:val="auto"/>
        </w:rPr>
      </w:pPr>
    </w:p>
    <w:p>
      <w:pPr>
        <w:ind w:left="1660"/>
        <w:spacing w:after="0"/>
        <w:tabs>
          <w:tab w:leader="none" w:pos="2780" w:val="left"/>
        </w:tabs>
        <w:rPr>
          <w:sz w:val="20"/>
          <w:szCs w:val="20"/>
          <w:color w:val="auto"/>
        </w:rPr>
      </w:pPr>
      <w:r>
        <w:rPr>
          <w:rFonts w:ascii="Arial" w:cs="Arial" w:eastAsia="Arial" w:hAnsi="Arial"/>
          <w:sz w:val="22"/>
          <w:szCs w:val="22"/>
          <w:color w:val="auto"/>
        </w:rPr>
        <w:t>3.6.7.</w:t>
      </w:r>
      <w:r>
        <w:rPr>
          <w:sz w:val="20"/>
          <w:szCs w:val="20"/>
          <w:color w:val="auto"/>
        </w:rPr>
        <w:tab/>
      </w:r>
      <w:r>
        <w:rPr>
          <w:rFonts w:ascii="Arial" w:cs="Arial" w:eastAsia="Arial" w:hAnsi="Arial"/>
          <w:sz w:val="19"/>
          <w:szCs w:val="19"/>
          <w:b w:val="1"/>
          <w:bCs w:val="1"/>
          <w:color w:val="auto"/>
        </w:rPr>
        <w:t>Medicinal Chemistry</w:t>
      </w:r>
      <w:r>
        <w:rPr>
          <w:rFonts w:ascii="Arial" w:cs="Arial" w:eastAsia="Arial" w:hAnsi="Arial"/>
          <w:sz w:val="19"/>
          <w:szCs w:val="19"/>
          <w:color w:val="auto"/>
        </w:rPr>
        <w:t>.</w:t>
      </w:r>
    </w:p>
    <w:p>
      <w:pPr>
        <w:spacing w:after="0" w:line="212" w:lineRule="exact"/>
        <w:rPr>
          <w:sz w:val="20"/>
          <w:szCs w:val="20"/>
          <w:color w:val="auto"/>
        </w:rPr>
      </w:pPr>
    </w:p>
    <w:p>
      <w:pPr>
        <w:ind w:left="3360" w:hanging="894"/>
        <w:spacing w:after="0"/>
        <w:tabs>
          <w:tab w:leader="none" w:pos="3360"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By MyoKardia</w:t>
      </w:r>
      <w:r>
        <w:rPr>
          <w:rFonts w:ascii="Arial" w:cs="Arial" w:eastAsia="Arial" w:hAnsi="Arial"/>
          <w:sz w:val="22"/>
          <w:szCs w:val="22"/>
          <w:color w:val="auto"/>
        </w:rPr>
        <w:t>. [**].</w:t>
      </w:r>
    </w:p>
    <w:p>
      <w:pPr>
        <w:spacing w:after="0" w:line="206" w:lineRule="exact"/>
        <w:rPr>
          <w:rFonts w:ascii="Arial" w:cs="Arial" w:eastAsia="Arial" w:hAnsi="Arial"/>
          <w:sz w:val="22"/>
          <w:szCs w:val="22"/>
          <w:color w:val="auto"/>
        </w:rPr>
      </w:pPr>
    </w:p>
    <w:p>
      <w:pPr>
        <w:jc w:val="both"/>
        <w:ind w:left="1740" w:firstLine="726"/>
        <w:spacing w:after="0" w:line="236" w:lineRule="auto"/>
        <w:tabs>
          <w:tab w:leader="none" w:pos="3371"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By Fulcrum</w:t>
      </w:r>
      <w:r>
        <w:rPr>
          <w:rFonts w:ascii="Arial" w:cs="Arial" w:eastAsia="Arial" w:hAnsi="Arial"/>
          <w:sz w:val="22"/>
          <w:szCs w:val="22"/>
          <w:color w:val="auto"/>
        </w:rPr>
        <w:t>. In the event that MyoKardia desires Fulcrum to provide medicinal chemistry</w:t>
      </w:r>
      <w:r>
        <w:rPr>
          <w:rFonts w:ascii="Arial" w:cs="Arial" w:eastAsia="Arial" w:hAnsi="Arial"/>
          <w:sz w:val="22"/>
          <w:szCs w:val="22"/>
          <w:i w:val="1"/>
          <w:iCs w:val="1"/>
          <w:color w:val="auto"/>
        </w:rPr>
        <w:t xml:space="preserve"> </w:t>
      </w:r>
      <w:r>
        <w:rPr>
          <w:rFonts w:ascii="Arial" w:cs="Arial" w:eastAsia="Arial" w:hAnsi="Arial"/>
          <w:sz w:val="22"/>
          <w:szCs w:val="22"/>
          <w:color w:val="auto"/>
        </w:rPr>
        <w:t>services and Fulcrum is willing to provide such services, then the Parties will thereafter negotiate in good faith to determine the activities, timelines, budgets, deliverables (including technology transfer, as appropriate) and other specifications of any Medicinal Chemistry Services to be performed by Fulcrum, and such matters would be set forth in a separate research plan.</w:t>
      </w:r>
    </w:p>
    <w:p>
      <w:pPr>
        <w:spacing w:after="0" w:line="181" w:lineRule="exact"/>
        <w:rPr>
          <w:sz w:val="20"/>
          <w:szCs w:val="20"/>
          <w:color w:val="auto"/>
        </w:rPr>
      </w:pPr>
    </w:p>
    <w:p>
      <w:pPr>
        <w:jc w:val="both"/>
        <w:ind w:left="880" w:firstLine="797"/>
        <w:spacing w:after="0" w:line="244" w:lineRule="auto"/>
        <w:rPr>
          <w:sz w:val="20"/>
          <w:szCs w:val="20"/>
          <w:color w:val="auto"/>
        </w:rPr>
      </w:pPr>
      <w:r>
        <w:rPr>
          <w:rFonts w:ascii="Arial" w:cs="Arial" w:eastAsia="Arial" w:hAnsi="Arial"/>
          <w:sz w:val="21"/>
          <w:szCs w:val="21"/>
          <w:color w:val="auto"/>
        </w:rPr>
        <w:t xml:space="preserve">3.6.8. </w:t>
      </w:r>
      <w:r>
        <w:rPr>
          <w:rFonts w:ascii="Arial" w:cs="Arial" w:eastAsia="Arial" w:hAnsi="Arial"/>
          <w:sz w:val="21"/>
          <w:szCs w:val="21"/>
          <w:b w:val="1"/>
          <w:bCs w:val="1"/>
          <w:color w:val="auto"/>
        </w:rPr>
        <w:t>Excluded Target</w:t>
      </w:r>
      <w:r>
        <w:rPr>
          <w:rFonts w:ascii="Arial" w:cs="Arial" w:eastAsia="Arial" w:hAnsi="Arial"/>
          <w:sz w:val="21"/>
          <w:szCs w:val="21"/>
          <w:color w:val="auto"/>
        </w:rPr>
        <w:t xml:space="preserve">. The JSC may not select any Excluded Target as a target or compound to undergo Primary Screen or as a Selected Target or Cardiomyopathy Target Candidate, and MyoKardia may not select an Excluded Target as a Cardiomyopathy Target. For clarity, (a) Fulcrum will not be required to provide any information regarding any Excluded Targets to MyoKardia, conduct target validation activities on such Excluded Target or to include any information with respect to such Excluded Target in any Data Package and (b) MyoKardia will have no payment obligations to Fulcrum with respect to any Excluded Targets. For further clarity, (i) if such target qualifies as an Excluded Target solely pursuant to </w:t>
      </w:r>
      <w:r>
        <w:rPr>
          <w:rFonts w:ascii="Arial" w:cs="Arial" w:eastAsia="Arial" w:hAnsi="Arial"/>
          <w:sz w:val="21"/>
          <w:szCs w:val="21"/>
          <w:u w:val="single" w:color="auto"/>
          <w:color w:val="auto"/>
        </w:rPr>
        <w:t>Section 1.62(a)(ii)</w:t>
      </w:r>
      <w:r>
        <w:rPr>
          <w:rFonts w:ascii="Arial" w:cs="Arial" w:eastAsia="Arial" w:hAnsi="Arial"/>
          <w:sz w:val="21"/>
          <w:szCs w:val="21"/>
          <w:color w:val="auto"/>
        </w:rPr>
        <w:t xml:space="preserve"> (Excluded Target), Fulcrum may notify MyoKardia in writing of Fulcrum’s election, in its sole discretion, not to exclude such target from this Agreement, or (ii) if such target qualifies as an Excluded Target solely pursuant to </w:t>
      </w:r>
      <w:r>
        <w:rPr>
          <w:rFonts w:ascii="Arial" w:cs="Arial" w:eastAsia="Arial" w:hAnsi="Arial"/>
          <w:sz w:val="21"/>
          <w:szCs w:val="21"/>
          <w:u w:val="single" w:color="auto"/>
          <w:color w:val="auto"/>
        </w:rPr>
        <w:t>Section 1.62(a)(i)</w:t>
      </w:r>
      <w:r>
        <w:rPr>
          <w:rFonts w:ascii="Arial" w:cs="Arial" w:eastAsia="Arial" w:hAnsi="Arial"/>
          <w:sz w:val="21"/>
          <w:szCs w:val="21"/>
          <w:color w:val="auto"/>
        </w:rPr>
        <w:t xml:space="preserve"> (Excluded Target) and the applicable license, option or other grant of rights is non-exclusive, Fulcrum shall provide written notice of the nature of such license, option or grant of rights (subject to obligations of confidentiality to any Third Party) and, upon MyoKardia’s written notice to Fulcrum, such target will no longer constitute an Excluded Target, and if MyoKardia designates such target as a Cardiomyopathy Target, the scope of the grant of rights with respect to such target to MyoKardia under this Agreement will be reduced solely to the extent necessary to comply with the applicable license, option or other grant of rights.</w:t>
      </w:r>
    </w:p>
    <w:p>
      <w:pPr>
        <w:spacing w:after="0" w:line="178"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b w:val="1"/>
          <w:bCs w:val="1"/>
          <w:u w:val="single" w:color="auto"/>
          <w:color w:val="auto"/>
        </w:rPr>
        <w:t>Subcontracting</w:t>
      </w:r>
      <w:r>
        <w:rPr>
          <w:rFonts w:ascii="Arial" w:cs="Arial" w:eastAsia="Arial" w:hAnsi="Arial"/>
          <w:sz w:val="19"/>
          <w:szCs w:val="19"/>
          <w:color w:val="auto"/>
        </w:rPr>
        <w:t xml:space="preserve">. Either Party may subcontract any of its responsibilities under the Research Plan;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subcontractor of a Party will have the requisite expertise to conduct the relevant subcontracted responsibilities, (ii) in the case of subcontracting by Fulcrum to a Third Party, such Third Party is approved by the JSC prior to the engagement of such Third Party subcontractor, and (iii) any agreement between a Party or its Affiliate and a permitted subcontractor pertaining to the Research Activities will be consistent with the provisions of this Agreement, including (A) an obligation to assign or irrevocably exclusively license, worldwide, in all fields, all intellectual property developed in the conduct of the relevant Research Activities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3" w:name="page114"/>
    <w:bookmarkEnd w:id="113"/>
    <w:p>
      <w:pPr>
        <w:jc w:val="both"/>
        <w:spacing w:after="0" w:line="277" w:lineRule="auto"/>
        <w:rPr>
          <w:sz w:val="20"/>
          <w:szCs w:val="20"/>
          <w:color w:val="auto"/>
        </w:rPr>
      </w:pPr>
      <w:r>
        <w:rPr>
          <w:rFonts w:ascii="Arial" w:cs="Arial" w:eastAsia="Arial" w:hAnsi="Arial"/>
          <w:sz w:val="19"/>
          <w:szCs w:val="19"/>
          <w:color w:val="auto"/>
        </w:rPr>
        <w:t xml:space="preserve">to the subcontracting Party, including assignments by any employee, contractor or agent of such subcontractor (other than intellectual property solely related to improvements to any such subcontractor’s background technology, which intellectual property may be non-exclusively licensed to the subcontracting Party), and (B) terms and conditions under which such subcontractor of a Party is obligated to preserve the confidentiality of any Confidential Information of the other Party received by such subcontractor that are at least as restrictive as those described in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(Confidentiality). The engagement by a Party of any subcontractor under this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(Subcontracting) will not relieve such Party of its obligations under this Agreement, including the Research Plan, and such Party will remain responsible for all acts or omissions by such subcontractor.</w:t>
      </w:r>
    </w:p>
    <w:p>
      <w:pPr>
        <w:spacing w:after="0" w:line="14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b w:val="1"/>
          <w:bCs w:val="1"/>
          <w:u w:val="single" w:color="auto"/>
          <w:color w:val="auto"/>
        </w:rPr>
        <w:t>Research Funding</w:t>
      </w:r>
      <w:r>
        <w:rPr>
          <w:rFonts w:ascii="Arial" w:cs="Arial" w:eastAsia="Arial" w:hAnsi="Arial"/>
          <w:sz w:val="19"/>
          <w:szCs w:val="19"/>
          <w:color w:val="auto"/>
        </w:rPr>
        <w:t>. Fulcrum will invoice MyoKardia within [**] after the end of each Calendar Quarter for the number of hours that Fulcrum FTEs spent performing the Fulcrum Research Activities in accordance with the Research Plan at the FTE Hourly Rate and all reasonable Out-of-Pocket Expenses incurred by Fulcrum in performing the Fulcrum Research Activities in accordance with the Research Plan (collectively, the “</w:t>
      </w:r>
      <w:r>
        <w:rPr>
          <w:rFonts w:ascii="Arial" w:cs="Arial" w:eastAsia="Arial" w:hAnsi="Arial"/>
          <w:sz w:val="19"/>
          <w:szCs w:val="19"/>
          <w:b w:val="1"/>
          <w:bCs w:val="1"/>
          <w:color w:val="auto"/>
        </w:rPr>
        <w:t>Covered Research Expenses</w:t>
      </w:r>
      <w:r>
        <w:rPr>
          <w:rFonts w:ascii="Arial" w:cs="Arial" w:eastAsia="Arial" w:hAnsi="Arial"/>
          <w:sz w:val="19"/>
          <w:szCs w:val="19"/>
          <w:color w:val="auto"/>
        </w:rPr>
        <w:t xml:space="preserve"> ”). Such invoices will be reasonably detailed to include: (a) aggregate quarterly FTE hours; (b) the total amount due for FTEs; and (c) reasonably detailed descriptions of Out-of-Pocket Expenses. MyoKardia will pay Two Million Five Hundred Thousand Dollars ($2,500,000) as pre-paid research funding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(Prepaid Research Funding). Once the Covered Research Expenses exceed such $2,500,000 threshold in aggregate costs, as evidenced by the cumulative sum of all invoices provided by Fulcrum to MyoKardia, MyoKardia will thereafter reimburse Fulcrum on a Calendar Quarter basis (including the Calendar Quarter in which the Covered Research Expenses exceeded such $2,500,000 threshold) for the Covered Research Expenses incurred by Fulcrum in such Calendar Quarter, up to a maximum of the Research Budget. MyoKardia will pay all undisputed amounts set forth in such invoices within [**] after MyoKardia’s receipt thereof. MyoKardia will be responsible for any costs it incurs in the performance of the MyoKardia Research Activities.</w:t>
      </w:r>
    </w:p>
    <w:p>
      <w:pPr>
        <w:spacing w:after="0" w:line="200" w:lineRule="exact"/>
        <w:rPr>
          <w:sz w:val="20"/>
          <w:szCs w:val="20"/>
          <w:color w:val="auto"/>
        </w:rPr>
      </w:pPr>
    </w:p>
    <w:p>
      <w:pPr>
        <w:spacing w:after="0" w:line="20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color w:val="auto"/>
        </w:rPr>
        <w:t xml:space="preserve">3.9. </w:t>
      </w:r>
      <w:r>
        <w:rPr>
          <w:rFonts w:ascii="Arial" w:cs="Arial" w:eastAsia="Arial" w:hAnsi="Arial"/>
          <w:sz w:val="21"/>
          <w:szCs w:val="21"/>
          <w:b w:val="1"/>
          <w:bCs w:val="1"/>
          <w:u w:val="single" w:color="auto"/>
          <w:color w:val="auto"/>
        </w:rPr>
        <w:t>Records</w:t>
      </w:r>
      <w:r>
        <w:rPr>
          <w:rFonts w:ascii="Arial" w:cs="Arial" w:eastAsia="Arial" w:hAnsi="Arial"/>
          <w:sz w:val="21"/>
          <w:szCs w:val="21"/>
          <w:color w:val="auto"/>
        </w:rPr>
        <w:t xml:space="preserve">. Each Party will maintain, or cause to be maintained, records of its activities under the Research Plan in sufficient detail and in good scientific manner appropriate for scientific, patent and regulatory purposes, which will properly reflect all work included in the Research Activities conducted under the Research Plan consistent with its internal procedures and policies. Further, Fulcrum shall maintain records related to the invoices submitted to MyoKardia pursuant to </w:t>
      </w:r>
      <w:r>
        <w:rPr>
          <w:rFonts w:ascii="Arial" w:cs="Arial" w:eastAsia="Arial" w:hAnsi="Arial"/>
          <w:sz w:val="21"/>
          <w:szCs w:val="21"/>
          <w:u w:val="single" w:color="auto"/>
          <w:color w:val="auto"/>
        </w:rPr>
        <w:t>Section 3.8</w:t>
      </w:r>
      <w:r>
        <w:rPr>
          <w:rFonts w:ascii="Arial" w:cs="Arial" w:eastAsia="Arial" w:hAnsi="Arial"/>
          <w:sz w:val="21"/>
          <w:szCs w:val="21"/>
          <w:color w:val="auto"/>
        </w:rPr>
        <w:t xml:space="preserve"> (Research Funding). The Parties will retain such records for at least [**] after the expiration or termination of this Agreement in its entirety or for such longer period as may be required by Applicable Law. During the Term, MyoKardia will have the right, during normal business hours and upon reasonable notice and at its own expense, to inspect and copy such of Fulcrum’s records not more than [**] in any Calendar Year.</w:t>
      </w:r>
    </w:p>
    <w:p>
      <w:pPr>
        <w:spacing w:after="0" w:line="172" w:lineRule="exact"/>
        <w:rPr>
          <w:sz w:val="20"/>
          <w:szCs w:val="20"/>
          <w:color w:val="auto"/>
        </w:rPr>
      </w:pPr>
    </w:p>
    <w:p>
      <w:pPr>
        <w:jc w:val="both"/>
        <w:ind w:right="20" w:firstLine="864"/>
        <w:spacing w:after="0" w:line="334"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b w:val="1"/>
          <w:bCs w:val="1"/>
          <w:u w:val="single" w:color="auto"/>
          <w:color w:val="auto"/>
        </w:rPr>
        <w:t>Use of MyoKardia Materials and Molecules</w:t>
      </w:r>
      <w:r>
        <w:rPr>
          <w:rFonts w:ascii="Arial" w:cs="Arial" w:eastAsia="Arial" w:hAnsi="Arial"/>
          <w:sz w:val="19"/>
          <w:szCs w:val="19"/>
          <w:color w:val="auto"/>
        </w:rPr>
        <w:t>. For the avoidance of doubt, nothing in this Agreement shall require Fulcrum to use any of MyoKardia’s materials or molecules, including in the conduct of the Research Activities [**].</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b w:val="1"/>
          <w:bCs w:val="1"/>
          <w:color w:val="auto"/>
        </w:rPr>
        <w:t>Article 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DEVELOPMENT, MANUFACTURING,</w:t>
      </w:r>
    </w:p>
    <w:p>
      <w:pPr>
        <w:jc w:val="center"/>
        <w:spacing w:after="0"/>
        <w:rPr>
          <w:sz w:val="20"/>
          <w:szCs w:val="20"/>
          <w:color w:val="auto"/>
        </w:rPr>
      </w:pPr>
      <w:r>
        <w:rPr>
          <w:rFonts w:ascii="Arial" w:cs="Arial" w:eastAsia="Arial" w:hAnsi="Arial"/>
          <w:sz w:val="22"/>
          <w:szCs w:val="22"/>
          <w:b w:val="1"/>
          <w:bCs w:val="1"/>
          <w:color w:val="auto"/>
        </w:rPr>
        <w:t>AND COMMERCIALIZATION OF PRODUCTS</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 xml:space="preserve">. Subject to the terms of this Agreement (including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(Diligence Requirements)), MyoKardia will have sole and exclusive control over whether to pursue the research, development, Regulatory Approval, manufacturing, commercialization, or other exploitation of any Molecule or Product and all matters relating thereto, itself or through one or more Affiliates or Third Parties selected by MyoKardia in its sole discretion.</w:t>
      </w:r>
    </w:p>
    <w:p>
      <w:pPr>
        <w:spacing w:after="0" w:line="180"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u w:val="single" w:color="auto"/>
          <w:color w:val="auto"/>
        </w:rPr>
        <w:t>Diligence Requirements</w:t>
      </w:r>
      <w:r>
        <w:rPr>
          <w:rFonts w:ascii="Arial" w:cs="Arial" w:eastAsia="Arial" w:hAnsi="Arial"/>
          <w:sz w:val="19"/>
          <w:szCs w:val="19"/>
          <w:color w:val="auto"/>
        </w:rPr>
        <w:t>. During the Term and following MyoKardia’s designation of the Lead Cardiomyopathy Target, MyoKardia will use Commercially Reasonable Efforts to advance [**] Product to Regulatory Approval</w:t>
      </w:r>
    </w:p>
    <w:p>
      <w:pPr>
        <w:jc w:val="both"/>
        <w:ind w:firstLine="8"/>
        <w:spacing w:after="0" w:line="277" w:lineRule="auto"/>
        <w:tabs>
          <w:tab w:leader="none" w:pos="6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After receiving Regulatory Approval for a Product [**], MyoKardia will use Commercially Reasonable Efforts to commercialize such Product in [**]. After receiving Regulatory Approval for a Product [**], MyoKardia will use Commercially Reasonable Efforts to commercialize such Product [**]. Subject to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(Subcontracting) with respect to MyoKardia’s responsibilities under the Research Plan, MyoKardia may satisfy its obligations under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(Diligence Requirements) itself or through one or more Affiliates or Third Parties selected by MyoKardia in its sole discretion.</w:t>
      </w:r>
    </w:p>
    <w:p>
      <w:pPr>
        <w:spacing w:after="0" w:line="14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u w:val="single" w:color="auto"/>
          <w:color w:val="auto"/>
        </w:rPr>
        <w:t>Reporting</w:t>
      </w:r>
      <w:r>
        <w:rPr>
          <w:rFonts w:ascii="Arial" w:cs="Arial" w:eastAsia="Arial" w:hAnsi="Arial"/>
          <w:sz w:val="19"/>
          <w:szCs w:val="19"/>
          <w:color w:val="auto"/>
        </w:rPr>
        <w:t>. Within [**] after the Effective Date, Fulcrum shall submit to MyoKardia a high-level report setting forth Fulcrum’s then current estimate of (a) the aggregate quarterly FTE hours, (b) the total amount due for FTEs, and (c) the total Out-of-Pocket Expenses Fulcrum reasonably anticipates incurring during the conduct of the Fulcrum Research Activities (the “</w:t>
      </w:r>
      <w:r>
        <w:rPr>
          <w:rFonts w:ascii="Arial" w:cs="Arial" w:eastAsia="Arial" w:hAnsi="Arial"/>
          <w:sz w:val="19"/>
          <w:szCs w:val="19"/>
          <w:b w:val="1"/>
          <w:bCs w:val="1"/>
          <w:color w:val="auto"/>
        </w:rPr>
        <w:t>Anticipated Research Budget</w:t>
      </w:r>
      <w:r>
        <w:rPr>
          <w:rFonts w:ascii="Arial" w:cs="Arial" w:eastAsia="Arial" w:hAnsi="Arial"/>
          <w:sz w:val="19"/>
          <w:szCs w:val="19"/>
          <w:color w:val="auto"/>
        </w:rPr>
        <w:t xml:space="preserve">”). Following the receipt of such report, Fulcrum and MyoKardia shall reasonably cooperate to resolve any questions pertaining to the Anticipated Research Budget. Fulcrum shall promptly notify MyoKardia in writing of any material changes to the Anticipated Research Budget and provide an updated report reflecting any such material changes to the Anticipated Research Budget. Following the end of the Research Term and, on a Target-by-Target basis, until the First Commercial Sale of a Product for any Target, MyoKardia shall provide a written report to Fulcrum within [**] after the end of each Calendar Year during the Term that summarizes MyoKardia’s exercise of efforts with respect to advancing Products to Regulatory Approval in accordance with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(Diligence Requirements) under this Agreement, including matters relating to seeking Regulatory Approval therefor. Notwithstanding anything to the contrary in this Agreement (including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(Diligence Requirements)), MyoKardia will have no obligation to negotiate agreements to obtain additional rights to satisfy its obligations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(Diligence Requirements). MyoKardia shall also provide, in such annual reports, a summary of its anticipated activities with respect to the advancing such Products to Regulatory Approval for the following Calendar Year.</w:t>
      </w:r>
    </w:p>
    <w:p>
      <w:pPr>
        <w:spacing w:after="0" w:line="15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b w:val="1"/>
          <w:bCs w:val="1"/>
          <w:u w:val="single" w:color="auto"/>
          <w:color w:val="auto"/>
        </w:rPr>
        <w:t>Applicable Laws</w:t>
      </w:r>
      <w:r>
        <w:rPr>
          <w:rFonts w:ascii="Arial" w:cs="Arial" w:eastAsia="Arial" w:hAnsi="Arial"/>
          <w:sz w:val="22"/>
          <w:szCs w:val="22"/>
          <w:color w:val="auto"/>
        </w:rPr>
        <w:t>. MyoKardia will, and will require its Affiliates and Licensees to, comply with all Applicable Laws in its and their research, development, manufacture and commercialization of Products.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GRANTS AND EXCLUSIVITY</w:t>
      </w:r>
    </w:p>
    <w:p>
      <w:pPr>
        <w:spacing w:after="0" w:line="18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u w:val="single" w:color="auto"/>
          <w:color w:val="auto"/>
        </w:rPr>
        <w:t>License Grant to MyoKardia</w:t>
      </w:r>
      <w:r>
        <w:rPr>
          <w:rFonts w:ascii="Arial" w:cs="Arial" w:eastAsia="Arial" w:hAnsi="Arial"/>
          <w:sz w:val="22"/>
          <w:szCs w:val="22"/>
          <w:color w:val="auto"/>
        </w:rPr>
        <w:t xml:space="preserve">. Subject to the terms of this Agreement, during the Term, Fulcrum hereby grants, on behalf of itself and its Affiliates, to MyoKardia and its Affiliates an exclusive (even as to Fulcrum, except to the extent necessary for Fulcrum to perform the Fulcrum Research Activities), worldwide, royalty-bearing, sublicensable (through multiple tiers, in accordance with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(Sublicenses)) license under the Fulcrum Technology to research, develop, make, have made, use, have used, sell, have sold, offer for sale, have offered for sale, import, have imported, export, have exported, distribute, have distributed, market, have marketed, promote, have promoted, or otherwise exploit Molecules and Products in the Field in the Territory.</w:t>
      </w:r>
    </w:p>
    <w:p>
      <w:pPr>
        <w:spacing w:after="0" w:line="183"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u w:val="single" w:color="auto"/>
          <w:color w:val="auto"/>
        </w:rPr>
        <w:t>Sublicenses</w:t>
      </w:r>
      <w:r>
        <w:rPr>
          <w:rFonts w:ascii="Arial" w:cs="Arial" w:eastAsia="Arial" w:hAnsi="Arial"/>
          <w:sz w:val="19"/>
          <w:szCs w:val="19"/>
          <w:color w:val="auto"/>
        </w:rPr>
        <w:t xml:space="preserve">. Subject to the terms of this Agreement, MyoKardia may grant sublicenses of any rights granted to MyoKardia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(License Grant to MyoKardia) through multiple tiers of sublicenses to one or more Sublicensees. Each such sublicense will be consistent with the terms of this Agreement. MyoKardia will provide a copy of each sublicense agreement to Fulcrum (which agreement may be redacted to remove confidential information not necessary for Fulcrum to ensure compliance with this Agreement) within [**] after the execution of each such sublicense. MyoKardia will remain responsible for each Sublicensee’s compliance with the applicable terms of this Agreement and, notwithstanding any sublicense, MyoKardia will remain primarily liable for all of MyoKardia’s duties and obligations contained in this Agreement.</w:t>
      </w:r>
    </w:p>
    <w:p>
      <w:pPr>
        <w:spacing w:after="0" w:line="145"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u w:val="single" w:color="auto"/>
          <w:color w:val="auto"/>
        </w:rPr>
        <w:t>License Grant to Fulcrum</w:t>
      </w:r>
      <w:r>
        <w:rPr>
          <w:rFonts w:ascii="Arial" w:cs="Arial" w:eastAsia="Arial" w:hAnsi="Arial"/>
          <w:sz w:val="22"/>
          <w:szCs w:val="22"/>
          <w:color w:val="auto"/>
        </w:rPr>
        <w:t xml:space="preserve">. Subject to the terms of this Agreement, MyoKardia hereby grants, on behalf of itself and its Affiliates, to Fulcrum and its Affiliates a non-exclusive, non-sublicensable (except to permitted subcontractors, in accordance with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(Subcontracting)) license under the MyoKardia Technology solely to perform the Fulcrum Research Activities during the Research Term.</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u w:val="single" w:color="auto"/>
          <w:color w:val="auto"/>
        </w:rPr>
        <w:t>No Implied Licenses; Retained Rights</w:t>
      </w:r>
      <w:r>
        <w:rPr>
          <w:rFonts w:ascii="Arial" w:cs="Arial" w:eastAsia="Arial" w:hAnsi="Arial"/>
          <w:sz w:val="22"/>
          <w:szCs w:val="22"/>
          <w:color w:val="auto"/>
        </w:rPr>
        <w:t>. Except as expressly provided in this Agreement, no Party will be deemed by estoppel or implication to have granted the other Party any licenses or other right with respect to any intellectual property.</w:t>
      </w:r>
    </w:p>
    <w:p>
      <w:pPr>
        <w:spacing w:after="0" w:line="177"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b w:val="1"/>
          <w:bCs w:val="1"/>
          <w:u w:val="single" w:color="auto"/>
          <w:color w:val="auto"/>
        </w:rPr>
        <w:t>Exclusivity</w:t>
      </w:r>
      <w:r>
        <w:rPr>
          <w:rFonts w:ascii="Arial" w:cs="Arial" w:eastAsia="Arial" w:hAnsi="Arial"/>
          <w:sz w:val="19"/>
          <w:szCs w:val="19"/>
          <w:color w:val="auto"/>
        </w:rPr>
        <w:t>.</w:t>
      </w:r>
    </w:p>
    <w:p>
      <w:pPr>
        <w:spacing w:after="0" w:line="206" w:lineRule="exact"/>
        <w:rPr>
          <w:sz w:val="20"/>
          <w:szCs w:val="20"/>
          <w:color w:val="auto"/>
        </w:rPr>
      </w:pPr>
    </w:p>
    <w:p>
      <w:pPr>
        <w:ind w:left="1660"/>
        <w:spacing w:after="0"/>
        <w:tabs>
          <w:tab w:leader="none" w:pos="2780" w:val="left"/>
        </w:tabs>
        <w:rPr>
          <w:sz w:val="20"/>
          <w:szCs w:val="20"/>
          <w:color w:val="auto"/>
        </w:rPr>
      </w:pPr>
      <w:r>
        <w:rPr>
          <w:rFonts w:ascii="Arial" w:cs="Arial" w:eastAsia="Arial" w:hAnsi="Arial"/>
          <w:sz w:val="22"/>
          <w:szCs w:val="22"/>
          <w:color w:val="auto"/>
        </w:rPr>
        <w:t>5.5.1.</w:t>
      </w:r>
      <w:r>
        <w:rPr>
          <w:sz w:val="20"/>
          <w:szCs w:val="20"/>
          <w:color w:val="auto"/>
        </w:rPr>
        <w:tab/>
      </w:r>
      <w:r>
        <w:rPr>
          <w:rFonts w:ascii="Arial" w:cs="Arial" w:eastAsia="Arial" w:hAnsi="Arial"/>
          <w:sz w:val="19"/>
          <w:szCs w:val="19"/>
          <w:b w:val="1"/>
          <w:bCs w:val="1"/>
          <w:color w:val="auto"/>
        </w:rPr>
        <w:t>Exclusivity Obligations</w:t>
      </w:r>
      <w:r>
        <w:rPr>
          <w:rFonts w:ascii="Arial" w:cs="Arial" w:eastAsia="Arial" w:hAnsi="Arial"/>
          <w:sz w:val="19"/>
          <w:szCs w:val="19"/>
          <w:color w:val="auto"/>
        </w:rPr>
        <w:t>.</w:t>
      </w:r>
    </w:p>
    <w:p>
      <w:pPr>
        <w:spacing w:after="0" w:line="212" w:lineRule="exact"/>
        <w:rPr>
          <w:sz w:val="20"/>
          <w:szCs w:val="20"/>
          <w:color w:val="auto"/>
        </w:rPr>
      </w:pPr>
    </w:p>
    <w:p>
      <w:pPr>
        <w:jc w:val="both"/>
        <w:ind w:left="1740" w:firstLine="726"/>
        <w:spacing w:after="0" w:line="245" w:lineRule="auto"/>
        <w:tabs>
          <w:tab w:leader="none" w:pos="3358" w:val="left"/>
        </w:tabs>
        <w:numPr>
          <w:ilvl w:val="0"/>
          <w:numId w:val="61"/>
        </w:numPr>
        <w:rPr>
          <w:rFonts w:ascii="Arial" w:cs="Arial" w:eastAsia="Arial" w:hAnsi="Arial"/>
          <w:sz w:val="21"/>
          <w:szCs w:val="21"/>
          <w:color w:val="auto"/>
        </w:rPr>
      </w:pPr>
      <w:r>
        <w:rPr>
          <w:rFonts w:ascii="Arial" w:cs="Arial" w:eastAsia="Arial" w:hAnsi="Arial"/>
          <w:sz w:val="21"/>
          <w:szCs w:val="21"/>
          <w:i w:val="1"/>
          <w:iCs w:val="1"/>
          <w:color w:val="auto"/>
        </w:rPr>
        <w:t>Data</w:t>
      </w:r>
      <w:r>
        <w:rPr>
          <w:rFonts w:ascii="Arial" w:cs="Arial" w:eastAsia="Arial" w:hAnsi="Arial"/>
          <w:sz w:val="21"/>
          <w:szCs w:val="21"/>
          <w:color w:val="auto"/>
        </w:rPr>
        <w:t>. During the Research Term, Fulcrum (i) will use, and will cause its Affiliates and</w:t>
      </w:r>
      <w:r>
        <w:rPr>
          <w:rFonts w:ascii="Arial" w:cs="Arial" w:eastAsia="Arial" w:hAnsi="Arial"/>
          <w:sz w:val="21"/>
          <w:szCs w:val="21"/>
          <w:i w:val="1"/>
          <w:iCs w:val="1"/>
          <w:color w:val="auto"/>
        </w:rPr>
        <w:t xml:space="preserve"> </w:t>
      </w:r>
      <w:r>
        <w:rPr>
          <w:rFonts w:ascii="Arial" w:cs="Arial" w:eastAsia="Arial" w:hAnsi="Arial"/>
          <w:sz w:val="21"/>
          <w:szCs w:val="21"/>
          <w:color w:val="auto"/>
        </w:rPr>
        <w:t>permitted subcontractors to use, any data generated in performance of any Research Activities (including any data in any Data Package) (“</w:t>
      </w:r>
      <w:r>
        <w:rPr>
          <w:rFonts w:ascii="Arial" w:cs="Arial" w:eastAsia="Arial" w:hAnsi="Arial"/>
          <w:sz w:val="21"/>
          <w:szCs w:val="21"/>
          <w:b w:val="1"/>
          <w:bCs w:val="1"/>
          <w:color w:val="auto"/>
        </w:rPr>
        <w:t>Research Data</w:t>
      </w:r>
      <w:r>
        <w:rPr>
          <w:rFonts w:ascii="Arial" w:cs="Arial" w:eastAsia="Arial" w:hAnsi="Arial"/>
          <w:sz w:val="21"/>
          <w:szCs w:val="21"/>
          <w:color w:val="auto"/>
        </w:rPr>
        <w:t>”) solely to perform the Fulcrum Research Activities in accordance with this Agreement and (ii) will only transfer, make available, deliver or disclose Research Data to such Affiliates and permitted subcontractors performing such Fulcrum Research Activities. If MyoKardia designates a Lead Cardiomyopathy Target, then for [**] after the end of the Research Term (“</w:t>
      </w:r>
      <w:r>
        <w:rPr>
          <w:rFonts w:ascii="Arial" w:cs="Arial" w:eastAsia="Arial" w:hAnsi="Arial"/>
          <w:sz w:val="21"/>
          <w:szCs w:val="21"/>
          <w:b w:val="1"/>
          <w:bCs w:val="1"/>
          <w:color w:val="auto"/>
        </w:rPr>
        <w:t>Exclusivity</w:t>
      </w:r>
      <w:r>
        <w:rPr>
          <w:rFonts w:ascii="Arial" w:cs="Arial" w:eastAsia="Arial" w:hAnsi="Arial"/>
          <w:sz w:val="21"/>
          <w:szCs w:val="21"/>
          <w:color w:val="auto"/>
        </w:rPr>
        <w:t xml:space="preserve"> </w:t>
      </w:r>
      <w:r>
        <w:rPr>
          <w:rFonts w:ascii="Arial" w:cs="Arial" w:eastAsia="Arial" w:hAnsi="Arial"/>
          <w:sz w:val="21"/>
          <w:szCs w:val="21"/>
          <w:b w:val="1"/>
          <w:bCs w:val="1"/>
          <w:color w:val="auto"/>
        </w:rPr>
        <w:t>Period</w:t>
      </w:r>
      <w:r>
        <w:rPr>
          <w:rFonts w:ascii="Arial" w:cs="Arial" w:eastAsia="Arial" w:hAnsi="Arial"/>
          <w:sz w:val="21"/>
          <w:szCs w:val="21"/>
          <w:color w:val="auto"/>
        </w:rPr>
        <w:t>”), Fulcrum (A) will not use (and will cause its Affiliates and permitted subcontractors to not use) any</w:t>
      </w:r>
      <w:r>
        <w:rPr>
          <w:rFonts w:ascii="Arial" w:cs="Arial" w:eastAsia="Arial" w:hAnsi="Arial"/>
          <w:sz w:val="21"/>
          <w:szCs w:val="21"/>
          <w:b w:val="1"/>
          <w:bCs w:val="1"/>
          <w:color w:val="auto"/>
        </w:rPr>
        <w:t xml:space="preserve"> </w:t>
      </w:r>
      <w:r>
        <w:rPr>
          <w:rFonts w:ascii="Arial" w:cs="Arial" w:eastAsia="Arial" w:hAnsi="Arial"/>
          <w:sz w:val="21"/>
          <w:szCs w:val="21"/>
          <w:color w:val="auto"/>
        </w:rPr>
        <w:t>Research Data for any reason and (B) will not transfer, make available, deliver or disclose Research Data to any Third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6" w:name="page117"/>
    <w:bookmarkEnd w:id="116"/>
    <w:p>
      <w:pPr>
        <w:jc w:val="both"/>
        <w:ind w:left="860"/>
        <w:spacing w:after="0"/>
        <w:rPr>
          <w:sz w:val="20"/>
          <w:szCs w:val="20"/>
          <w:color w:val="auto"/>
        </w:rPr>
      </w:pPr>
      <w:r>
        <w:rPr>
          <w:rFonts w:ascii="Arial" w:cs="Arial" w:eastAsia="Arial" w:hAnsi="Arial"/>
          <w:sz w:val="22"/>
          <w:szCs w:val="22"/>
          <w:color w:val="auto"/>
        </w:rPr>
        <w:t>for any reason. For clarity, after the Exclusivity Period, Fulcrum may use any Research Data (except for [**]) and may transfer, make available, deliver or disclose Research Data (except [**] to any Third Party for any reason.</w:t>
      </w:r>
    </w:p>
    <w:p>
      <w:pPr>
        <w:spacing w:after="0" w:line="186" w:lineRule="exact"/>
        <w:rPr>
          <w:sz w:val="20"/>
          <w:szCs w:val="20"/>
          <w:color w:val="auto"/>
        </w:rPr>
      </w:pPr>
    </w:p>
    <w:p>
      <w:pPr>
        <w:jc w:val="both"/>
        <w:ind w:left="860" w:firstLine="726"/>
        <w:spacing w:after="0" w:line="244" w:lineRule="auto"/>
        <w:tabs>
          <w:tab w:leader="none" w:pos="2491" w:val="left"/>
        </w:tabs>
        <w:numPr>
          <w:ilvl w:val="0"/>
          <w:numId w:val="62"/>
        </w:numPr>
        <w:rPr>
          <w:rFonts w:ascii="Arial" w:cs="Arial" w:eastAsia="Arial" w:hAnsi="Arial"/>
          <w:sz w:val="21"/>
          <w:szCs w:val="21"/>
          <w:color w:val="auto"/>
        </w:rPr>
      </w:pPr>
      <w:r>
        <w:rPr>
          <w:rFonts w:ascii="Arial" w:cs="Arial" w:eastAsia="Arial" w:hAnsi="Arial"/>
          <w:sz w:val="21"/>
          <w:szCs w:val="21"/>
          <w:i w:val="1"/>
          <w:iCs w:val="1"/>
          <w:color w:val="auto"/>
        </w:rPr>
        <w:t>Cardiomyopathy Target Candidates</w:t>
      </w:r>
      <w:r>
        <w:rPr>
          <w:rFonts w:ascii="Arial" w:cs="Arial" w:eastAsia="Arial" w:hAnsi="Arial"/>
          <w:sz w:val="21"/>
          <w:szCs w:val="21"/>
          <w:color w:val="auto"/>
        </w:rPr>
        <w:t>. During the Research Term following determination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of the Cardiomyopathy Target Candidates, and for [**] after the end of the Research Term, Fulcrum will not (and, subject to </w:t>
      </w:r>
      <w:r>
        <w:rPr>
          <w:rFonts w:ascii="Arial" w:cs="Arial" w:eastAsia="Arial" w:hAnsi="Arial"/>
          <w:sz w:val="21"/>
          <w:szCs w:val="21"/>
          <w:u w:val="single" w:color="auto"/>
          <w:color w:val="auto"/>
        </w:rPr>
        <w:t>Section 5.5.2</w:t>
      </w:r>
      <w:r>
        <w:rPr>
          <w:rFonts w:ascii="Arial" w:cs="Arial" w:eastAsia="Arial" w:hAnsi="Arial"/>
          <w:sz w:val="21"/>
          <w:szCs w:val="21"/>
          <w:color w:val="auto"/>
        </w:rPr>
        <w:t xml:space="preserve"> (Exception for Change of Control) and </w:t>
      </w:r>
      <w:r>
        <w:rPr>
          <w:rFonts w:ascii="Arial" w:cs="Arial" w:eastAsia="Arial" w:hAnsi="Arial"/>
          <w:sz w:val="21"/>
          <w:szCs w:val="21"/>
          <w:u w:val="single" w:color="auto"/>
          <w:color w:val="auto"/>
        </w:rPr>
        <w:t>Section 5.5.3</w:t>
      </w:r>
      <w:r>
        <w:rPr>
          <w:rFonts w:ascii="Arial" w:cs="Arial" w:eastAsia="Arial" w:hAnsi="Arial"/>
          <w:sz w:val="21"/>
          <w:szCs w:val="21"/>
          <w:color w:val="auto"/>
        </w:rPr>
        <w:t xml:space="preserve"> (Exception for Affiliate Acquisition), will cause its Affiliates not to) work, independently or for or with any Third Party (including via a license, assignment, transfer or other grant of rights to such Third Party), to research, develop, manufacture, commercialize, use, or otherwise exploit any compound or product (i) that is a Molecule or Product directed against the Cardiomyopathy Target Candidates (in whole or in part and in modified or unmodified form) for the treatment, prophylaxis or diagnosis of any indication or (ii) for the treatment of any Lead Project Gene Exclusive Indications or Additional Project Gene Exclusive Indications (any such compound or product in (i) or (ii), a “</w:t>
      </w:r>
      <w:r>
        <w:rPr>
          <w:rFonts w:ascii="Arial" w:cs="Arial" w:eastAsia="Arial" w:hAnsi="Arial"/>
          <w:sz w:val="21"/>
          <w:szCs w:val="21"/>
          <w:b w:val="1"/>
          <w:bCs w:val="1"/>
          <w:color w:val="auto"/>
        </w:rPr>
        <w:t>Competing Product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compounds or products that are directed against any Excluded Target(s) will not be considered within the definition of “</w:t>
      </w:r>
      <w:r>
        <w:rPr>
          <w:rFonts w:ascii="Arial" w:cs="Arial" w:eastAsia="Arial" w:hAnsi="Arial"/>
          <w:sz w:val="21"/>
          <w:szCs w:val="21"/>
          <w:b w:val="1"/>
          <w:bCs w:val="1"/>
          <w:color w:val="auto"/>
        </w:rPr>
        <w:t>Competing Product</w:t>
      </w:r>
      <w:r>
        <w:rPr>
          <w:rFonts w:ascii="Arial" w:cs="Arial" w:eastAsia="Arial" w:hAnsi="Arial"/>
          <w:sz w:val="21"/>
          <w:szCs w:val="21"/>
          <w:color w:val="auto"/>
        </w:rPr>
        <w:t xml:space="preserve">”, and Fulcrum will not be restricted by this </w:t>
      </w:r>
      <w:r>
        <w:rPr>
          <w:rFonts w:ascii="Arial" w:cs="Arial" w:eastAsia="Arial" w:hAnsi="Arial"/>
          <w:sz w:val="21"/>
          <w:szCs w:val="21"/>
          <w:u w:val="single" w:color="auto"/>
          <w:color w:val="auto"/>
        </w:rPr>
        <w:t>Section 5.5.1</w:t>
      </w:r>
      <w:r>
        <w:rPr>
          <w:rFonts w:ascii="Arial" w:cs="Arial" w:eastAsia="Arial" w:hAnsi="Arial"/>
          <w:sz w:val="21"/>
          <w:szCs w:val="21"/>
          <w:color w:val="auto"/>
        </w:rPr>
        <w:t xml:space="preserve"> (Exclusivity Obligations) with respect to any such product.</w:t>
      </w:r>
    </w:p>
    <w:p>
      <w:pPr>
        <w:spacing w:after="0" w:line="177" w:lineRule="exact"/>
        <w:rPr>
          <w:sz w:val="20"/>
          <w:szCs w:val="20"/>
          <w:color w:val="auto"/>
        </w:rPr>
      </w:pPr>
    </w:p>
    <w:p>
      <w:pPr>
        <w:jc w:val="both"/>
        <w:ind w:firstLine="797"/>
        <w:spacing w:after="0" w:line="271" w:lineRule="auto"/>
        <w:rPr>
          <w:sz w:val="20"/>
          <w:szCs w:val="20"/>
          <w:color w:val="auto"/>
        </w:rPr>
      </w:pPr>
      <w:r>
        <w:rPr>
          <w:rFonts w:ascii="Arial" w:cs="Arial" w:eastAsia="Arial" w:hAnsi="Arial"/>
          <w:sz w:val="19"/>
          <w:szCs w:val="19"/>
          <w:color w:val="auto"/>
        </w:rPr>
        <w:t xml:space="preserve">5.5.2. </w:t>
      </w:r>
      <w:r>
        <w:rPr>
          <w:rFonts w:ascii="Arial" w:cs="Arial" w:eastAsia="Arial" w:hAnsi="Arial"/>
          <w:sz w:val="19"/>
          <w:szCs w:val="19"/>
          <w:b w:val="1"/>
          <w:bCs w:val="1"/>
          <w:color w:val="auto"/>
        </w:rPr>
        <w:t>Exception for Change of Control</w:t>
      </w:r>
      <w:r>
        <w:rPr>
          <w:rFonts w:ascii="Arial" w:cs="Arial" w:eastAsia="Arial" w:hAnsi="Arial"/>
          <w:sz w:val="19"/>
          <w:szCs w:val="19"/>
          <w:color w:val="auto"/>
        </w:rPr>
        <w:t xml:space="preserve">. Fulcrum will not be in breach of the restrictions set forth in </w:t>
      </w:r>
      <w:r>
        <w:rPr>
          <w:rFonts w:ascii="Arial" w:cs="Arial" w:eastAsia="Arial" w:hAnsi="Arial"/>
          <w:sz w:val="19"/>
          <w:szCs w:val="19"/>
          <w:u w:val="single" w:color="auto"/>
          <w:color w:val="auto"/>
        </w:rPr>
        <w:t>Sections 5.5.1</w:t>
      </w:r>
      <w:r>
        <w:rPr>
          <w:rFonts w:ascii="Arial" w:cs="Arial" w:eastAsia="Arial" w:hAnsi="Arial"/>
          <w:sz w:val="19"/>
          <w:szCs w:val="19"/>
          <w:color w:val="auto"/>
        </w:rPr>
        <w:t xml:space="preserve"> (Exclusivity Obligation) if Fulcrum undergoes a Change of Control with an Acquiring Party that is, independently on its own behalf, on the behalf of any Third Party or with any Third Party (including via a license, assignment, transfer or other grant of rights to such Third Party), researching, developing, manufacturing, commercializing, using, or otherwise exploiting any Competing Product immediately prior to the consummation of such Change of Control and continues such exploitation of any Competing Product following the consummation of such Change of Control,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Fulcrum promptly notifies MyoKardia of such Change of Control and all Competing Products, (b) no Fulcrum Technology or Fulcrum Confidential Information is used by or on behalf of such Acquiring Party in connection with any subsequent performance of any such activities with respect to any such Competing Products following the consummation of such Change of Control, and (c) such Acquiring Party institutes commercially reasonable technical and administrative safeguards to ensure the requirements set forth in the foregoing clause (b) are met, including by creating “firewalls” between the personnel working on such Competing Products and the personnel teams charged with working on any Molecule or Product (or component thereof) or having access to data from activities performed under this Agreement or Confidential Information of the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personnel of such Acquiring Party that are responsible for financial functions and alliance management may, solely for such purposes, have access to information concerning Molecules and Products solely as necessary to perform such functions.</w:t>
      </w:r>
    </w:p>
    <w:p>
      <w:pPr>
        <w:spacing w:after="0" w:line="400" w:lineRule="exact"/>
        <w:rPr>
          <w:sz w:val="20"/>
          <w:szCs w:val="20"/>
          <w:color w:val="auto"/>
        </w:rPr>
      </w:pPr>
    </w:p>
    <w:p>
      <w:pPr>
        <w:jc w:val="both"/>
        <w:ind w:firstLine="797"/>
        <w:spacing w:after="0" w:line="243" w:lineRule="auto"/>
        <w:rPr>
          <w:sz w:val="20"/>
          <w:szCs w:val="20"/>
          <w:color w:val="auto"/>
        </w:rPr>
      </w:pPr>
      <w:r>
        <w:rPr>
          <w:rFonts w:ascii="Arial" w:cs="Arial" w:eastAsia="Arial" w:hAnsi="Arial"/>
          <w:sz w:val="22"/>
          <w:szCs w:val="22"/>
          <w:color w:val="auto"/>
        </w:rPr>
        <w:t xml:space="preserve">5.5.3. </w:t>
      </w:r>
      <w:r>
        <w:rPr>
          <w:rFonts w:ascii="Arial" w:cs="Arial" w:eastAsia="Arial" w:hAnsi="Arial"/>
          <w:sz w:val="22"/>
          <w:szCs w:val="22"/>
          <w:b w:val="1"/>
          <w:bCs w:val="1"/>
          <w:color w:val="auto"/>
        </w:rPr>
        <w:t>Exception for Affiliate Acquisition</w:t>
      </w:r>
      <w:r>
        <w:rPr>
          <w:rFonts w:ascii="Arial" w:cs="Arial" w:eastAsia="Arial" w:hAnsi="Arial"/>
          <w:sz w:val="22"/>
          <w:szCs w:val="22"/>
          <w:color w:val="auto"/>
        </w:rPr>
        <w:t xml:space="preserve">. Fulcrum will not be in breach of the restrictions set forth in </w:t>
      </w:r>
      <w:r>
        <w:rPr>
          <w:rFonts w:ascii="Arial" w:cs="Arial" w:eastAsia="Arial" w:hAnsi="Arial"/>
          <w:sz w:val="22"/>
          <w:szCs w:val="22"/>
          <w:u w:val="single" w:color="auto"/>
          <w:color w:val="auto"/>
        </w:rPr>
        <w:t>Sections 5.5.1</w:t>
      </w:r>
      <w:r>
        <w:rPr>
          <w:rFonts w:ascii="Arial" w:cs="Arial" w:eastAsia="Arial" w:hAnsi="Arial"/>
          <w:sz w:val="22"/>
          <w:szCs w:val="22"/>
          <w:color w:val="auto"/>
        </w:rPr>
        <w:t xml:space="preserve"> (Exclusivity Obligation) if Fulcrum acquires a Third Party (whether such acquisition occurs by way of a purchase of assets, merger,</w:t>
      </w:r>
    </w:p>
    <w:p>
      <w:pPr>
        <w:spacing w:after="0" w:line="183"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17" w:name="page118"/>
    <w:bookmarkEnd w:id="117"/>
    <w:p>
      <w:pPr>
        <w:jc w:val="both"/>
        <w:ind w:left="880"/>
        <w:spacing w:after="0" w:line="270" w:lineRule="auto"/>
        <w:rPr>
          <w:sz w:val="20"/>
          <w:szCs w:val="20"/>
          <w:color w:val="auto"/>
        </w:rPr>
      </w:pPr>
      <w:r>
        <w:rPr>
          <w:rFonts w:ascii="Arial" w:cs="Arial" w:eastAsia="Arial" w:hAnsi="Arial"/>
          <w:sz w:val="19"/>
          <w:szCs w:val="19"/>
          <w:color w:val="auto"/>
        </w:rPr>
        <w:t>consolidation, change of control or otherwise) (an “</w:t>
      </w:r>
      <w:r>
        <w:rPr>
          <w:rFonts w:ascii="Arial" w:cs="Arial" w:eastAsia="Arial" w:hAnsi="Arial"/>
          <w:sz w:val="19"/>
          <w:szCs w:val="19"/>
          <w:b w:val="1"/>
          <w:bCs w:val="1"/>
          <w:color w:val="auto"/>
        </w:rPr>
        <w:t>Affiliate Acquisition</w:t>
      </w:r>
      <w:r>
        <w:rPr>
          <w:rFonts w:ascii="Arial" w:cs="Arial" w:eastAsia="Arial" w:hAnsi="Arial"/>
          <w:sz w:val="19"/>
          <w:szCs w:val="19"/>
          <w:color w:val="auto"/>
        </w:rPr>
        <w:t xml:space="preserve">”) that is, independently on its own behalf, on the behalf of any Third Party or with any Third Party (including via a license, assignment, transfer or other grant of rights to such Third Party), researching, developing, manufacturing, commercializing, using, or otherwise exploiting any Competing Product, immediately prior to the consummation of such Affiliate Acquisition, as applicable, and continues such exploitation of any Competing Product following the consummation of such Affiliate Acquisition,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Fulcrum promptly notifies MyoKardia of such Affiliate Acquisition and all Competing Products, (b) within [**] after the effective date of such Affiliate Acquisition, Fulcrum will either (i) request that any Competing Product be included in this Agreement as a Molecule or Product, as applicable, on terms to be negotiated by the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Parties are unable to agree on the terms on which to include any Competing Product in this Agreement within [**] after the effective date of such Affiliate Acquisition, Fulcrum and its Affiliates will take the action specified in either the following clause (ii) or (iii), (ii) notify MyoKardia that the Acquired Party will fully divest its rights in and to such Competing Product, in which case, Fulcrum and the Acquired Party will fully divest their rights in and to any Competing Product within [**] after the effective date of such Affiliate Acquisition, or (iii) notify MyoKardia that Fulcrum and the Acquired Party are ceasing all research, development, manufacture and commercialization activities with respect to any Competing Product, in which case, within [**], after MyoKardia’s receipt of such notice, Fulcrum and its Affiliates will cease all such activities, (c) no Fulcrum Technology or Fulcrum Confidential Information is used by or on behalf of such Acquired Party in connection with any subsequent performance of any such activities with respect to any such Competing Products following the consummation of such Affiliate Acquisition, and (d) Fulcrum institutes commercially reasonable technical and administrative safeguards to ensure the requirements set forth in the foregoing clause (c) are met, including by creating “firewalls” between the personnel working on such Competing Products and the personnel teams charged with working on any Molecule or Product (or component thereof) or having access to data from activities performed under this Agreement or Confidential Information of the Parties.</w:t>
      </w:r>
    </w:p>
    <w:p>
      <w:pPr>
        <w:spacing w:after="0" w:line="397" w:lineRule="exact"/>
        <w:rPr>
          <w:sz w:val="20"/>
          <w:szCs w:val="20"/>
          <w:color w:val="auto"/>
        </w:rPr>
      </w:pPr>
    </w:p>
    <w:p>
      <w:pPr>
        <w:jc w:val="both"/>
        <w:ind w:left="880" w:firstLine="797"/>
        <w:spacing w:after="0" w:line="280" w:lineRule="auto"/>
        <w:rPr>
          <w:sz w:val="20"/>
          <w:szCs w:val="20"/>
          <w:color w:val="auto"/>
        </w:rPr>
      </w:pPr>
      <w:r>
        <w:rPr>
          <w:rFonts w:ascii="Arial" w:cs="Arial" w:eastAsia="Arial" w:hAnsi="Arial"/>
          <w:sz w:val="19"/>
          <w:szCs w:val="19"/>
          <w:color w:val="auto"/>
        </w:rPr>
        <w:t xml:space="preserve">5.5.4. </w:t>
      </w:r>
      <w:r>
        <w:rPr>
          <w:rFonts w:ascii="Arial" w:cs="Arial" w:eastAsia="Arial" w:hAnsi="Arial"/>
          <w:sz w:val="19"/>
          <w:szCs w:val="19"/>
          <w:b w:val="1"/>
          <w:bCs w:val="1"/>
          <w:color w:val="auto"/>
        </w:rPr>
        <w:t>Exception for Existing Agreements</w:t>
      </w:r>
      <w:r>
        <w:rPr>
          <w:rFonts w:ascii="Arial" w:cs="Arial" w:eastAsia="Arial" w:hAnsi="Arial"/>
          <w:sz w:val="19"/>
          <w:szCs w:val="19"/>
          <w:color w:val="auto"/>
        </w:rPr>
        <w:t xml:space="preserve">. Fulcrum will not be in breach of the restrictions set forth in </w:t>
      </w:r>
      <w:r>
        <w:rPr>
          <w:rFonts w:ascii="Arial" w:cs="Arial" w:eastAsia="Arial" w:hAnsi="Arial"/>
          <w:sz w:val="19"/>
          <w:szCs w:val="19"/>
          <w:u w:val="single" w:color="auto"/>
          <w:color w:val="auto"/>
        </w:rPr>
        <w:t>Section 5.5.1(b)(ii)</w:t>
      </w:r>
      <w:r>
        <w:rPr>
          <w:rFonts w:ascii="Arial" w:cs="Arial" w:eastAsia="Arial" w:hAnsi="Arial"/>
          <w:sz w:val="19"/>
          <w:szCs w:val="19"/>
          <w:color w:val="auto"/>
        </w:rPr>
        <w:t xml:space="preserve"> (Exclusivity Obligation) as a result of the exercise by any Third Party of any rights granted by Fulcrum or its Affiliates to such Third Party pursuant to any agreement entered into between Fulcrum or its Affiliates and such Third Party [**]. Fulcrum will not be in breach of the restrictions set forth in </w:t>
      </w:r>
      <w:r>
        <w:rPr>
          <w:rFonts w:ascii="Arial" w:cs="Arial" w:eastAsia="Arial" w:hAnsi="Arial"/>
          <w:sz w:val="19"/>
          <w:szCs w:val="19"/>
          <w:u w:val="single" w:color="auto"/>
          <w:color w:val="auto"/>
        </w:rPr>
        <w:t>Section 5.5.1(b)(i)</w:t>
      </w:r>
      <w:r>
        <w:rPr>
          <w:rFonts w:ascii="Arial" w:cs="Arial" w:eastAsia="Arial" w:hAnsi="Arial"/>
          <w:sz w:val="19"/>
          <w:szCs w:val="19"/>
          <w:color w:val="auto"/>
        </w:rPr>
        <w:t xml:space="preserve"> (Exclusivity Obligation) as a result of the exercise by any Third Party of any rights granted by Fulcrum or its Affiliates to such Third Party pursuant to any agreement entered into between Fulcrum or its Affiliates and such Third Party [**].</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PROVISIONS</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u w:val="single" w:color="auto"/>
          <w:color w:val="auto"/>
        </w:rPr>
        <w:t>Upfront Payment</w:t>
      </w:r>
      <w:r>
        <w:rPr>
          <w:rFonts w:ascii="Arial" w:cs="Arial" w:eastAsia="Arial" w:hAnsi="Arial"/>
          <w:sz w:val="22"/>
          <w:szCs w:val="22"/>
          <w:color w:val="auto"/>
        </w:rPr>
        <w:t>. MyoKardia will pay Fulcrum a one-time, non-refundable, non-creditable upfront payment of Ten Million Dollars ($10,000,000) within [**] after receipt by MyoKardia of a corresponding invoice from Fulcrum, which shall be issued no earlier than the Effective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8" w:name="page119"/>
    <w:bookmarkEnd w:id="118"/>
    <w:p>
      <w:pPr>
        <w:jc w:val="both"/>
        <w:ind w:firstLine="864"/>
        <w:spacing w:after="0" w:line="24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u w:val="single" w:color="auto"/>
          <w:color w:val="auto"/>
        </w:rPr>
        <w:t>Prepaid Research Funding</w:t>
      </w:r>
      <w:r>
        <w:rPr>
          <w:rFonts w:ascii="Arial" w:cs="Arial" w:eastAsia="Arial" w:hAnsi="Arial"/>
          <w:sz w:val="22"/>
          <w:szCs w:val="22"/>
          <w:color w:val="auto"/>
        </w:rPr>
        <w:t>. MyoKardia will pay Fulcrum a non-refundable payment of Two Million Five Hundred Thousand Dollars ($2,500,000) as prepaid research funding within [**] after receipt by MyoKardia of a corresponding invoice from Fulcrum, which shall be issued no earlier than the Effective Date.</w:t>
      </w:r>
    </w:p>
    <w:p>
      <w:pPr>
        <w:spacing w:after="0" w:line="177"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u w:val="single" w:color="auto"/>
          <w:color w:val="auto"/>
        </w:rPr>
        <w:t>Milestone Payments</w:t>
      </w:r>
      <w:r>
        <w:rPr>
          <w:rFonts w:ascii="Arial" w:cs="Arial" w:eastAsia="Arial" w:hAnsi="Arial"/>
          <w:sz w:val="19"/>
          <w:szCs w:val="19"/>
          <w:color w:val="auto"/>
        </w:rPr>
        <w:t>.</w:t>
      </w:r>
    </w:p>
    <w:p>
      <w:pPr>
        <w:spacing w:after="0" w:line="206" w:lineRule="exact"/>
        <w:rPr>
          <w:sz w:val="20"/>
          <w:szCs w:val="20"/>
          <w:color w:val="auto"/>
        </w:rPr>
      </w:pPr>
    </w:p>
    <w:p>
      <w:pPr>
        <w:jc w:val="both"/>
        <w:ind w:left="880" w:firstLine="797"/>
        <w:spacing w:after="0" w:line="236" w:lineRule="auto"/>
        <w:rPr>
          <w:sz w:val="20"/>
          <w:szCs w:val="20"/>
          <w:color w:val="auto"/>
        </w:rPr>
      </w:pPr>
      <w:r>
        <w:rPr>
          <w:rFonts w:ascii="Arial" w:cs="Arial" w:eastAsia="Arial" w:hAnsi="Arial"/>
          <w:sz w:val="22"/>
          <w:szCs w:val="22"/>
          <w:color w:val="auto"/>
        </w:rPr>
        <w:t xml:space="preserve">6.3.1. </w:t>
      </w:r>
      <w:r>
        <w:rPr>
          <w:rFonts w:ascii="Arial" w:cs="Arial" w:eastAsia="Arial" w:hAnsi="Arial"/>
          <w:sz w:val="22"/>
          <w:szCs w:val="22"/>
          <w:b w:val="1"/>
          <w:bCs w:val="1"/>
          <w:color w:val="auto"/>
        </w:rPr>
        <w:t>[**] Milestone</w:t>
      </w:r>
      <w:r>
        <w:rPr>
          <w:rFonts w:ascii="Arial" w:cs="Arial" w:eastAsia="Arial" w:hAnsi="Arial"/>
          <w:sz w:val="22"/>
          <w:szCs w:val="22"/>
          <w:color w:val="auto"/>
        </w:rPr>
        <w:t xml:space="preserve">. Upon delivery of a [**] by Fulcrum to MyoKardia pursuant to Section [**] (such achievement the “[**] </w:t>
      </w:r>
      <w:r>
        <w:rPr>
          <w:rFonts w:ascii="Arial" w:cs="Arial" w:eastAsia="Arial" w:hAnsi="Arial"/>
          <w:sz w:val="22"/>
          <w:szCs w:val="22"/>
          <w:b w:val="1"/>
          <w:bCs w:val="1"/>
          <w:color w:val="auto"/>
        </w:rPr>
        <w:t>Milestone</w:t>
      </w:r>
      <w:r>
        <w:rPr>
          <w:rFonts w:ascii="Arial" w:cs="Arial" w:eastAsia="Arial" w:hAnsi="Arial"/>
          <w:sz w:val="22"/>
          <w:szCs w:val="22"/>
          <w:color w:val="auto"/>
        </w:rPr>
        <w:t xml:space="preserve">”), MyoKardia will pay Fulcrum a non-refundable payment of [**] within [**] after receipt by MyoKardia of a corresponding invoice from Fulcrum (“[**] </w:t>
      </w:r>
      <w:r>
        <w:rPr>
          <w:rFonts w:ascii="Arial" w:cs="Arial" w:eastAsia="Arial" w:hAnsi="Arial"/>
          <w:sz w:val="22"/>
          <w:szCs w:val="22"/>
          <w:b w:val="1"/>
          <w:bCs w:val="1"/>
          <w:color w:val="auto"/>
        </w:rPr>
        <w:t>Milestone Payment</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 MyoKardia will pay Fulcrum the [**] Milestone Payment [**] within [**] after receipt by MyoKardia of a corresponding invoice from Fulcrum. For the avoidance of doubt, the [**] Milestone Payment shall be payable only once.</w:t>
      </w:r>
    </w:p>
    <w:p>
      <w:pPr>
        <w:spacing w:after="0" w:line="182" w:lineRule="exact"/>
        <w:rPr>
          <w:sz w:val="20"/>
          <w:szCs w:val="20"/>
          <w:color w:val="auto"/>
        </w:rPr>
      </w:pPr>
    </w:p>
    <w:p>
      <w:pPr>
        <w:jc w:val="both"/>
        <w:ind w:left="880" w:firstLine="797"/>
        <w:spacing w:after="0" w:line="271" w:lineRule="auto"/>
        <w:rPr>
          <w:sz w:val="20"/>
          <w:szCs w:val="20"/>
          <w:color w:val="auto"/>
        </w:rPr>
      </w:pPr>
      <w:r>
        <w:rPr>
          <w:rFonts w:ascii="Arial" w:cs="Arial" w:eastAsia="Arial" w:hAnsi="Arial"/>
          <w:sz w:val="19"/>
          <w:szCs w:val="19"/>
          <w:color w:val="auto"/>
        </w:rPr>
        <w:t xml:space="preserve">6.3.2. </w:t>
      </w:r>
      <w:r>
        <w:rPr>
          <w:rFonts w:ascii="Arial" w:cs="Arial" w:eastAsia="Arial" w:hAnsi="Arial"/>
          <w:sz w:val="19"/>
          <w:szCs w:val="19"/>
          <w:b w:val="1"/>
          <w:bCs w:val="1"/>
          <w:color w:val="auto"/>
        </w:rPr>
        <w:t>Preclinical Milestones</w:t>
      </w:r>
      <w:r>
        <w:rPr>
          <w:rFonts w:ascii="Arial" w:cs="Arial" w:eastAsia="Arial" w:hAnsi="Arial"/>
          <w:sz w:val="19"/>
          <w:szCs w:val="19"/>
          <w:color w:val="auto"/>
        </w:rPr>
        <w:t xml:space="preserve">. Subject to the remainder of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(Milestone Payments), on a Cardiomyopathy Target-by-Cardiomyopathy Target basis, MyoKardia will make each of the one-time milestone payments set forth in Table 6.3.2 (“</w:t>
      </w:r>
      <w:r>
        <w:rPr>
          <w:rFonts w:ascii="Arial" w:cs="Arial" w:eastAsia="Arial" w:hAnsi="Arial"/>
          <w:sz w:val="19"/>
          <w:szCs w:val="19"/>
          <w:b w:val="1"/>
          <w:bCs w:val="1"/>
          <w:color w:val="auto"/>
        </w:rPr>
        <w:t>Preclinical Milestone Payments</w:t>
      </w:r>
      <w:r>
        <w:rPr>
          <w:rFonts w:ascii="Arial" w:cs="Arial" w:eastAsia="Arial" w:hAnsi="Arial"/>
          <w:sz w:val="19"/>
          <w:szCs w:val="19"/>
          <w:color w:val="auto"/>
        </w:rPr>
        <w:t>”) for the first achievement of each preclinical milestone event set forth in Table 6.3.2 (“</w:t>
      </w:r>
      <w:r>
        <w:rPr>
          <w:rFonts w:ascii="Arial" w:cs="Arial" w:eastAsia="Arial" w:hAnsi="Arial"/>
          <w:sz w:val="19"/>
          <w:szCs w:val="19"/>
          <w:b w:val="1"/>
          <w:bCs w:val="1"/>
          <w:color w:val="auto"/>
        </w:rPr>
        <w:t>Preclinical Milestone</w:t>
      </w:r>
      <w:r>
        <w:rPr>
          <w:rFonts w:ascii="Arial" w:cs="Arial" w:eastAsia="Arial" w:hAnsi="Arial"/>
          <w:sz w:val="19"/>
          <w:szCs w:val="19"/>
          <w:color w:val="auto"/>
        </w:rPr>
        <w:t xml:space="preserve">”) by the first Collaboration Molecule directed against such Cardiomyopathy Target to achieve such event, pursuant to and in the amounts set forth in column (a), (b) or (c), depending upon whether such Cardiomyopathy Target is (a) the Lead Cardiomyopathy Target, (b) a Follow-On Cardiomyopathy Target or (c) an Additional Cardiomyopathy Target, respectively. MyoKardia will notify Fulcrum of the achievement of a Preclinical Milestone by MyoKardia, its Affiliates or its Licensees, in writing within [**] after such achievement. MyoKardia will pay Fulcrum the amount of the Preclinical Milestone Payment corresponding to such Preclinical Milestone within [**] following the receipt of a corresponding invoice from Fulcrum. For the avoidance of doubt, each Preclinical Milestone Payment will be payable only once with respect to a Cardiomyopathy Target, on the first achievement of the Preclinical Milestone by the applicable Product directed against such Cardiomyopathy Target (if at all), notwithstanding the number of times one or more Products directed against the same such Cardiomyopathy Target may achieve such Preclinical Milestone. For the further avoidance of doubt, in no event will the aggregate Preclinical Milestone Payments payable by MyoKardia under this </w:t>
      </w:r>
      <w:r>
        <w:rPr>
          <w:rFonts w:ascii="Arial" w:cs="Arial" w:eastAsia="Arial" w:hAnsi="Arial"/>
          <w:sz w:val="19"/>
          <w:szCs w:val="19"/>
          <w:u w:val="single" w:color="auto"/>
          <w:color w:val="auto"/>
        </w:rPr>
        <w:t>Section 6.3.2</w:t>
      </w:r>
      <w:r>
        <w:rPr>
          <w:rFonts w:ascii="Arial" w:cs="Arial" w:eastAsia="Arial" w:hAnsi="Arial"/>
          <w:sz w:val="19"/>
          <w:szCs w:val="19"/>
          <w:color w:val="auto"/>
        </w:rPr>
        <w:t xml:space="preserve"> (Preclinical Milestones) exceed: (i) [**] for Collaboration Molecules directed against the Lead Cardiomyopathy Target; (ii) on a Follow-On Cardiomyopathy Target-by-Follow-On Cardiomyopathy basis, [**] for Collaboration Molecules directed against a Follow-On Cardiomyopathy Target; and (iii) on an Additional Cardiomyopathy Target-by-Additional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9" w:name="page120"/>
    <w:bookmarkEnd w:id="119"/>
    <w:p>
      <w:pPr>
        <w:ind w:left="880"/>
        <w:spacing w:after="0"/>
        <w:rPr>
          <w:sz w:val="20"/>
          <w:szCs w:val="20"/>
          <w:color w:val="auto"/>
        </w:rPr>
      </w:pPr>
      <w:r>
        <w:rPr>
          <w:rFonts w:ascii="Arial" w:cs="Arial" w:eastAsia="Arial" w:hAnsi="Arial"/>
          <w:sz w:val="19"/>
          <w:szCs w:val="19"/>
          <w:color w:val="auto"/>
        </w:rPr>
        <w:t>Cardiomyopathy Target basis, [**] for Collaboration Molecules directed against an Additional Cardiomyopathy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4655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6558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6.3.2 – Preclinical Milestones and Preclinical Milestone Payments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Borders>
              <w:top w:val="single" w:sz="8" w:color="auto"/>
            </w:tcBorders>
          </w:tcPr>
          <w:p>
            <w:pPr>
              <w:spacing w:after="0"/>
              <w:rPr>
                <w:sz w:val="19"/>
                <w:szCs w:val="19"/>
                <w:color w:val="auto"/>
              </w:rPr>
            </w:pPr>
          </w:p>
        </w:tc>
        <w:tc>
          <w:tcPr>
            <w:tcW w:w="2800" w:type="dxa"/>
            <w:vAlign w:val="bottom"/>
            <w:tcBorders>
              <w:top w:val="single" w:sz="8" w:color="auto"/>
              <w:right w:val="single" w:sz="8" w:color="auto"/>
            </w:tcBorders>
          </w:tcPr>
          <w:p>
            <w:pPr>
              <w:spacing w:after="0"/>
              <w:rPr>
                <w:sz w:val="19"/>
                <w:szCs w:val="19"/>
                <w:color w:val="auto"/>
              </w:rPr>
            </w:pPr>
          </w:p>
        </w:tc>
        <w:tc>
          <w:tcPr>
            <w:tcW w:w="7700" w:type="dxa"/>
            <w:vAlign w:val="bottom"/>
            <w:tcBorders>
              <w:top w:val="single" w:sz="8" w:color="auto"/>
            </w:tcBorders>
            <w:gridSpan w:val="3"/>
          </w:tcPr>
          <w:p>
            <w:pPr>
              <w:jc w:val="center"/>
              <w:spacing w:after="0" w:line="229" w:lineRule="exact"/>
              <w:rPr>
                <w:sz w:val="20"/>
                <w:szCs w:val="20"/>
                <w:color w:val="auto"/>
              </w:rPr>
            </w:pPr>
            <w:r>
              <w:rPr>
                <w:rFonts w:ascii="Arial" w:cs="Arial" w:eastAsia="Arial" w:hAnsi="Arial"/>
                <w:sz w:val="22"/>
                <w:szCs w:val="22"/>
                <w:b w:val="1"/>
                <w:bCs w:val="1"/>
                <w:color w:val="auto"/>
                <w:w w:val="89"/>
              </w:rPr>
              <w:t>Preclinical Milestone Payments for the [First Collaboration Molecule that is</w:t>
            </w:r>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280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b w:val="1"/>
                <w:bCs w:val="1"/>
                <w:color w:val="auto"/>
              </w:rPr>
              <w:t>Preclinical Milestone</w:t>
            </w:r>
          </w:p>
        </w:tc>
        <w:tc>
          <w:tcPr>
            <w:tcW w:w="254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Directed Against:</w:t>
            </w:r>
          </w:p>
        </w:tc>
        <w:tc>
          <w:tcPr>
            <w:tcW w:w="25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740" w:type="dxa"/>
            <w:vAlign w:val="bottom"/>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54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2"/>
                <w:szCs w:val="22"/>
                <w:b w:val="1"/>
                <w:bCs w:val="1"/>
                <w:i w:val="1"/>
                <w:iCs w:val="1"/>
                <w:color w:val="auto"/>
                <w:w w:val="87"/>
              </w:rPr>
              <w:t>(a) the Lead</w:t>
            </w:r>
          </w:p>
        </w:tc>
        <w:tc>
          <w:tcPr>
            <w:tcW w:w="258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2"/>
                <w:szCs w:val="22"/>
                <w:b w:val="1"/>
                <w:bCs w:val="1"/>
                <w:i w:val="1"/>
                <w:iCs w:val="1"/>
                <w:color w:val="auto"/>
                <w:w w:val="89"/>
              </w:rPr>
              <w:t>(b) a Follow-On</w:t>
            </w:r>
          </w:p>
        </w:tc>
        <w:tc>
          <w:tcPr>
            <w:tcW w:w="2580" w:type="dxa"/>
            <w:vAlign w:val="bottom"/>
            <w:vMerge w:val="restart"/>
          </w:tcPr>
          <w:p>
            <w:pPr>
              <w:jc w:val="center"/>
              <w:spacing w:after="0" w:line="216" w:lineRule="exact"/>
              <w:rPr>
                <w:sz w:val="20"/>
                <w:szCs w:val="20"/>
                <w:color w:val="auto"/>
              </w:rPr>
            </w:pPr>
            <w:r>
              <w:rPr>
                <w:rFonts w:ascii="Arial" w:cs="Arial" w:eastAsia="Arial" w:hAnsi="Arial"/>
                <w:sz w:val="22"/>
                <w:szCs w:val="22"/>
                <w:b w:val="1"/>
                <w:bCs w:val="1"/>
                <w:i w:val="1"/>
                <w:iCs w:val="1"/>
                <w:color w:val="auto"/>
                <w:w w:val="88"/>
              </w:rPr>
              <w:t>(c) an Additional</w:t>
            </w:r>
          </w:p>
        </w:tc>
        <w:tc>
          <w:tcPr>
            <w:tcW w:w="0" w:type="dxa"/>
            <w:vAlign w:val="bottom"/>
          </w:tcPr>
          <w:p>
            <w:pPr>
              <w:spacing w:after="0"/>
              <w:rPr>
                <w:sz w:val="1"/>
                <w:szCs w:val="1"/>
                <w:color w:val="auto"/>
              </w:rPr>
            </w:pPr>
          </w:p>
        </w:tc>
      </w:tr>
      <w:tr>
        <w:trPr>
          <w:trHeight w:val="104"/>
        </w:trPr>
        <w:tc>
          <w:tcPr>
            <w:tcW w:w="740" w:type="dxa"/>
            <w:vAlign w:val="bottom"/>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40" w:type="dxa"/>
            <w:vAlign w:val="bottom"/>
            <w:tcBorders>
              <w:bottom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5"/>
              </w:rPr>
              <w:t>Cardiomyopathy Target</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5"/>
              </w:rPr>
              <w:t>Cardiomyopathy Target</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5"/>
              </w:rPr>
              <w:t>Cardiomyopathy Target</w:t>
            </w:r>
          </w:p>
        </w:tc>
        <w:tc>
          <w:tcPr>
            <w:tcW w:w="0" w:type="dxa"/>
            <w:vAlign w:val="bottom"/>
          </w:tcPr>
          <w:p>
            <w:pPr>
              <w:spacing w:after="0"/>
              <w:rPr>
                <w:sz w:val="1"/>
                <w:szCs w:val="1"/>
                <w:color w:val="auto"/>
              </w:rPr>
            </w:pPr>
          </w:p>
        </w:tc>
      </w:tr>
      <w:tr>
        <w:trPr>
          <w:trHeight w:val="328"/>
        </w:trPr>
        <w:tc>
          <w:tcPr>
            <w:tcW w:w="740" w:type="dxa"/>
            <w:vAlign w:val="bottom"/>
          </w:tcPr>
          <w:p>
            <w:pPr>
              <w:jc w:val="right"/>
              <w:spacing w:after="0"/>
              <w:rPr>
                <w:sz w:val="20"/>
                <w:szCs w:val="20"/>
                <w:color w:val="auto"/>
              </w:rPr>
            </w:pPr>
            <w:r>
              <w:rPr>
                <w:rFonts w:ascii="Arial" w:cs="Arial" w:eastAsia="Arial" w:hAnsi="Arial"/>
                <w:sz w:val="22"/>
                <w:szCs w:val="22"/>
                <w:color w:val="auto"/>
              </w:rPr>
              <w:t>1. [**]</w:t>
            </w:r>
          </w:p>
        </w:tc>
        <w:tc>
          <w:tcPr>
            <w:tcW w:w="280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580" w:type="dxa"/>
            <w:vAlign w:val="bottom"/>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85"/>
        </w:trPr>
        <w:tc>
          <w:tcPr>
            <w:tcW w:w="740" w:type="dxa"/>
            <w:vAlign w:val="bottom"/>
            <w:tcBorders>
              <w:bottom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740" w:type="dxa"/>
            <w:vAlign w:val="bottom"/>
          </w:tcPr>
          <w:p>
            <w:pPr>
              <w:jc w:val="right"/>
              <w:spacing w:after="0"/>
              <w:rPr>
                <w:sz w:val="20"/>
                <w:szCs w:val="20"/>
                <w:color w:val="auto"/>
              </w:rPr>
            </w:pPr>
            <w:r>
              <w:rPr>
                <w:rFonts w:ascii="Arial" w:cs="Arial" w:eastAsia="Arial" w:hAnsi="Arial"/>
                <w:sz w:val="22"/>
                <w:szCs w:val="22"/>
                <w:color w:val="auto"/>
              </w:rPr>
              <w:t>2. [**]</w:t>
            </w:r>
          </w:p>
        </w:tc>
        <w:tc>
          <w:tcPr>
            <w:tcW w:w="280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580" w:type="dxa"/>
            <w:vAlign w:val="bottom"/>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84"/>
        </w:trPr>
        <w:tc>
          <w:tcPr>
            <w:tcW w:w="740" w:type="dxa"/>
            <w:vAlign w:val="bottom"/>
            <w:tcBorders>
              <w:bottom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880" w:firstLine="797"/>
        <w:spacing w:after="0" w:line="270" w:lineRule="auto"/>
        <w:rPr>
          <w:sz w:val="20"/>
          <w:szCs w:val="20"/>
          <w:color w:val="auto"/>
        </w:rPr>
      </w:pPr>
      <w:r>
        <w:rPr>
          <w:rFonts w:ascii="Arial" w:cs="Arial" w:eastAsia="Arial" w:hAnsi="Arial"/>
          <w:sz w:val="19"/>
          <w:szCs w:val="19"/>
          <w:color w:val="auto"/>
        </w:rPr>
        <w:t xml:space="preserve">6.3.3. </w:t>
      </w:r>
      <w:r>
        <w:rPr>
          <w:rFonts w:ascii="Arial" w:cs="Arial" w:eastAsia="Arial" w:hAnsi="Arial"/>
          <w:sz w:val="19"/>
          <w:szCs w:val="19"/>
          <w:b w:val="1"/>
          <w:bCs w:val="1"/>
          <w:color w:val="auto"/>
        </w:rPr>
        <w:t>Development Milestones</w:t>
      </w:r>
      <w:r>
        <w:rPr>
          <w:rFonts w:ascii="Arial" w:cs="Arial" w:eastAsia="Arial" w:hAnsi="Arial"/>
          <w:sz w:val="19"/>
          <w:szCs w:val="19"/>
          <w:color w:val="auto"/>
        </w:rPr>
        <w:t xml:space="preserve">. Subject to the remainder of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(Milestone Payments), on a Cardiomyopathy Milestone Target-by-Cardiomyopathy Milestone Target basis, MyoKardia will make each of the one-time milestone payments set forth in Table 6.3.3 (“</w:t>
      </w:r>
      <w:r>
        <w:rPr>
          <w:rFonts w:ascii="Arial" w:cs="Arial" w:eastAsia="Arial" w:hAnsi="Arial"/>
          <w:sz w:val="19"/>
          <w:szCs w:val="19"/>
          <w:b w:val="1"/>
          <w:bCs w:val="1"/>
          <w:color w:val="auto"/>
        </w:rPr>
        <w:t>Development Milestone Payments</w:t>
      </w:r>
      <w:r>
        <w:rPr>
          <w:rFonts w:ascii="Arial" w:cs="Arial" w:eastAsia="Arial" w:hAnsi="Arial"/>
          <w:sz w:val="19"/>
          <w:szCs w:val="19"/>
          <w:color w:val="auto"/>
        </w:rPr>
        <w:t>”) for the first achievement of each development milestone event set forth in Table 6.3.3 (“</w:t>
      </w:r>
      <w:r>
        <w:rPr>
          <w:rFonts w:ascii="Arial" w:cs="Arial" w:eastAsia="Arial" w:hAnsi="Arial"/>
          <w:sz w:val="19"/>
          <w:szCs w:val="19"/>
          <w:b w:val="1"/>
          <w:bCs w:val="1"/>
          <w:color w:val="auto"/>
        </w:rPr>
        <w:t>Development Milestone</w:t>
      </w:r>
      <w:r>
        <w:rPr>
          <w:rFonts w:ascii="Arial" w:cs="Arial" w:eastAsia="Arial" w:hAnsi="Arial"/>
          <w:sz w:val="19"/>
          <w:szCs w:val="19"/>
          <w:color w:val="auto"/>
        </w:rPr>
        <w:t xml:space="preserve">”) by the first Product directed against such Cardiomyopathy Milestone Target to achieve such event, pursuant to and in the amounts set forth in column (a), (b) or (c), depending upon whether such Cardiomyopathy Milestone Target is an Initial Cardiomyopathy Milestone Target (and, in such case, whether such Cardiomyopathy Milestone Target is the first Initial Cardiomyopathy Milestone Target to achieve the applicable Development Milestone) or a Secondary Cardiomyopathy Milestone Target. MyoKardia will notify Fulcrum of the achievement of a Development Milestone by MyoKardia, its Affiliates or its Licensees, in writing within [**] after such achievement. MyoKardia will pay Fulcrum the amount of the Development Milestone Payment corresponding to such Development Milestone within [**] following the receipt of a corresponding invoice from Fulcrum. For the avoidance of doubt, each Development Milestone Payment will be payable only once with respect to a Cardiomyopathy Milestone Target, on the first achievement of the Development Milestone by the applicable Product directed against such Cardiomyopathy Milestone Target (if at all), notwithstanding the number of times one or more Products directed against such Cardiomyopathy Milestone Target may achieve such Development Milestone. For the further avoidance of doubt, in no event will the aggregate Development Milestone Payments payable by MyoKardia under this </w:t>
      </w:r>
      <w:r>
        <w:rPr>
          <w:rFonts w:ascii="Arial" w:cs="Arial" w:eastAsia="Arial" w:hAnsi="Arial"/>
          <w:sz w:val="19"/>
          <w:szCs w:val="19"/>
          <w:u w:val="single" w:color="auto"/>
          <w:color w:val="auto"/>
        </w:rPr>
        <w:t>Section 6.3.3</w:t>
      </w:r>
      <w:r>
        <w:rPr>
          <w:rFonts w:ascii="Arial" w:cs="Arial" w:eastAsia="Arial" w:hAnsi="Arial"/>
          <w:sz w:val="19"/>
          <w:szCs w:val="19"/>
          <w:color w:val="auto"/>
        </w:rPr>
        <w:t xml:space="preserve"> (Development Milestones) exceed: (i) [**] with respect to the first achievement of each Development Milestone, collectively, by a Product directed against any Initial Cardiomyopathy Milestone Target; (ii) except as set forth in the foregoing clause (i), on an Initial Cardiomyopathy Milestone Target-by-Initial Cardiomyopathy Milestone Target basis, [**] for Products directed against an Initial Cardiomyopathy Milestone Target; and (iii) on a Secondary Cardiomyopathy Milestone Target-by-Secondary Cardiomyopathy Milestone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0" w:name="page121"/>
    <w:bookmarkEnd w:id="120"/>
    <w:p>
      <w:pPr>
        <w:ind w:left="880"/>
        <w:spacing w:after="0"/>
        <w:rPr>
          <w:sz w:val="20"/>
          <w:szCs w:val="20"/>
          <w:color w:val="auto"/>
        </w:rPr>
      </w:pPr>
      <w:r>
        <w:rPr>
          <w:rFonts w:ascii="Arial" w:cs="Arial" w:eastAsia="Arial" w:hAnsi="Arial"/>
          <w:sz w:val="22"/>
          <w:szCs w:val="22"/>
          <w:color w:val="auto"/>
        </w:rPr>
        <w:t>Target basis, [**] for Products directed against a Secondary Cardiomyopathy Milestone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674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674620"/>
                    </a:xfrm>
                    <a:prstGeom prst="rect">
                      <a:avLst/>
                    </a:prstGeom>
                    <a:noFill/>
                  </pic:spPr>
                </pic:pic>
              </a:graphicData>
            </a:graphic>
          </wp:anchor>
        </w:drawing>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Table 6.3.3 – Development Milestones and Development Milestone Payments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520" w:type="dxa"/>
            <w:vAlign w:val="bottom"/>
            <w:tcBorders>
              <w:top w:val="single" w:sz="8" w:color="auto"/>
              <w:right w:val="single" w:sz="8" w:color="auto"/>
            </w:tcBorders>
          </w:tcPr>
          <w:p>
            <w:pPr>
              <w:spacing w:after="0"/>
              <w:rPr>
                <w:sz w:val="24"/>
                <w:szCs w:val="24"/>
                <w:color w:val="auto"/>
              </w:rPr>
            </w:pPr>
          </w:p>
        </w:tc>
        <w:tc>
          <w:tcPr>
            <w:tcW w:w="7720" w:type="dxa"/>
            <w:vAlign w:val="bottom"/>
            <w:tcBorders>
              <w:top w:val="single" w:sz="8" w:color="auto"/>
            </w:tcBorders>
            <w:gridSpan w:val="3"/>
          </w:tcPr>
          <w:p>
            <w:pPr>
              <w:ind w:left="560"/>
              <w:spacing w:after="0"/>
              <w:rPr>
                <w:sz w:val="20"/>
                <w:szCs w:val="20"/>
                <w:color w:val="auto"/>
              </w:rPr>
            </w:pPr>
            <w:r>
              <w:rPr>
                <w:rFonts w:ascii="Arial" w:cs="Arial" w:eastAsia="Arial" w:hAnsi="Arial"/>
                <w:sz w:val="22"/>
                <w:szCs w:val="22"/>
                <w:b w:val="1"/>
                <w:bCs w:val="1"/>
                <w:color w:val="auto"/>
                <w:w w:val="96"/>
              </w:rPr>
              <w:t>Development Milestone Payment for the first Product Directed Against:</w:t>
            </w:r>
          </w:p>
        </w:tc>
        <w:tc>
          <w:tcPr>
            <w:tcW w:w="0" w:type="dxa"/>
            <w:vAlign w:val="bottom"/>
          </w:tcPr>
          <w:p>
            <w:pPr>
              <w:spacing w:after="0"/>
              <w:rPr>
                <w:sz w:val="1"/>
                <w:szCs w:val="1"/>
                <w:color w:val="auto"/>
              </w:rPr>
            </w:pPr>
          </w:p>
        </w:tc>
      </w:tr>
      <w:tr>
        <w:trPr>
          <w:trHeight w:val="84"/>
        </w:trPr>
        <w:tc>
          <w:tcPr>
            <w:tcW w:w="3520" w:type="dxa"/>
            <w:vAlign w:val="bottom"/>
            <w:tcBorders>
              <w:right w:val="single" w:sz="8" w:color="auto"/>
            </w:tcBorders>
            <w:vMerge w:val="restart"/>
          </w:tcPr>
          <w:p>
            <w:pPr>
              <w:jc w:val="right"/>
              <w:ind w:right="572"/>
              <w:spacing w:after="0"/>
              <w:rPr>
                <w:sz w:val="20"/>
                <w:szCs w:val="20"/>
                <w:color w:val="auto"/>
              </w:rPr>
            </w:pPr>
            <w:r>
              <w:rPr>
                <w:rFonts w:ascii="Arial" w:cs="Arial" w:eastAsia="Arial" w:hAnsi="Arial"/>
                <w:sz w:val="22"/>
                <w:szCs w:val="22"/>
                <w:b w:val="1"/>
                <w:bCs w:val="1"/>
                <w:color w:val="auto"/>
              </w:rPr>
              <w:t>Development Milestone</w:t>
            </w:r>
          </w:p>
        </w:tc>
        <w:tc>
          <w:tcPr>
            <w:tcW w:w="256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520" w:type="dxa"/>
            <w:vAlign w:val="bottom"/>
            <w:tcBorders>
              <w:right w:val="single" w:sz="8" w:color="auto"/>
            </w:tcBorders>
            <w:vMerge w:val="continue"/>
          </w:tcPr>
          <w:p>
            <w:pPr>
              <w:spacing w:after="0"/>
              <w:rPr>
                <w:sz w:val="18"/>
                <w:szCs w:val="18"/>
                <w:color w:val="auto"/>
              </w:rPr>
            </w:pPr>
          </w:p>
        </w:tc>
        <w:tc>
          <w:tcPr>
            <w:tcW w:w="2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i w:val="1"/>
                <w:iCs w:val="1"/>
                <w:color w:val="auto"/>
                <w:w w:val="90"/>
              </w:rPr>
              <w:t>(a) the first Initial</w:t>
            </w:r>
          </w:p>
        </w:tc>
        <w:tc>
          <w:tcPr>
            <w:tcW w:w="27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i w:val="1"/>
                <w:iCs w:val="1"/>
                <w:color w:val="auto"/>
                <w:w w:val="86"/>
              </w:rPr>
              <w:t>(b) a subsequent Initial</w:t>
            </w:r>
          </w:p>
        </w:tc>
        <w:tc>
          <w:tcPr>
            <w:tcW w:w="2400" w:type="dxa"/>
            <w:vAlign w:val="bottom"/>
          </w:tcPr>
          <w:p>
            <w:pPr>
              <w:jc w:val="center"/>
              <w:spacing w:after="0" w:line="216" w:lineRule="exact"/>
              <w:rPr>
                <w:sz w:val="20"/>
                <w:szCs w:val="20"/>
                <w:color w:val="auto"/>
              </w:rPr>
            </w:pPr>
            <w:r>
              <w:rPr>
                <w:rFonts w:ascii="Arial" w:cs="Arial" w:eastAsia="Arial" w:hAnsi="Arial"/>
                <w:sz w:val="22"/>
                <w:szCs w:val="22"/>
                <w:b w:val="1"/>
                <w:bCs w:val="1"/>
                <w:i w:val="1"/>
                <w:iCs w:val="1"/>
                <w:color w:val="auto"/>
                <w:w w:val="85"/>
              </w:rPr>
              <w:t>(c) a Secondary</w:t>
            </w:r>
          </w:p>
        </w:tc>
        <w:tc>
          <w:tcPr>
            <w:tcW w:w="0" w:type="dxa"/>
            <w:vAlign w:val="bottom"/>
          </w:tcPr>
          <w:p>
            <w:pPr>
              <w:spacing w:after="0"/>
              <w:rPr>
                <w:sz w:val="1"/>
                <w:szCs w:val="1"/>
                <w:color w:val="auto"/>
              </w:rPr>
            </w:pPr>
          </w:p>
        </w:tc>
      </w:tr>
      <w:tr>
        <w:trPr>
          <w:trHeight w:val="243"/>
        </w:trPr>
        <w:tc>
          <w:tcPr>
            <w:tcW w:w="3520" w:type="dxa"/>
            <w:vAlign w:val="bottom"/>
            <w:tcBorders>
              <w:right w:val="single" w:sz="8" w:color="auto"/>
            </w:tcBorders>
          </w:tcPr>
          <w:p>
            <w:pPr>
              <w:spacing w:after="0"/>
              <w:rPr>
                <w:sz w:val="21"/>
                <w:szCs w:val="21"/>
                <w:color w:val="auto"/>
              </w:rPr>
            </w:pPr>
          </w:p>
        </w:tc>
        <w:tc>
          <w:tcPr>
            <w:tcW w:w="2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i w:val="1"/>
                <w:iCs w:val="1"/>
                <w:color w:val="auto"/>
                <w:w w:val="85"/>
              </w:rPr>
              <w:t>Cardiomyopathy Milestone</w:t>
            </w:r>
          </w:p>
        </w:tc>
        <w:tc>
          <w:tcPr>
            <w:tcW w:w="27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i w:val="1"/>
                <w:iCs w:val="1"/>
                <w:color w:val="auto"/>
                <w:w w:val="85"/>
              </w:rPr>
              <w:t>Cardiomyopathy Milestone</w:t>
            </w:r>
          </w:p>
        </w:tc>
        <w:tc>
          <w:tcPr>
            <w:tcW w:w="2400" w:type="dxa"/>
            <w:vAlign w:val="bottom"/>
          </w:tcPr>
          <w:p>
            <w:pPr>
              <w:jc w:val="center"/>
              <w:spacing w:after="0" w:line="243" w:lineRule="exact"/>
              <w:rPr>
                <w:sz w:val="20"/>
                <w:szCs w:val="20"/>
                <w:color w:val="auto"/>
              </w:rPr>
            </w:pPr>
            <w:r>
              <w:rPr>
                <w:rFonts w:ascii="Arial" w:cs="Arial" w:eastAsia="Arial" w:hAnsi="Arial"/>
                <w:sz w:val="22"/>
                <w:szCs w:val="22"/>
                <w:b w:val="1"/>
                <w:bCs w:val="1"/>
                <w:i w:val="1"/>
                <w:iCs w:val="1"/>
                <w:color w:val="auto"/>
                <w:w w:val="85"/>
              </w:rPr>
              <w:t>Cardiomyopathy</w:t>
            </w:r>
          </w:p>
        </w:tc>
        <w:tc>
          <w:tcPr>
            <w:tcW w:w="0" w:type="dxa"/>
            <w:vAlign w:val="bottom"/>
          </w:tcPr>
          <w:p>
            <w:pPr>
              <w:spacing w:after="0"/>
              <w:rPr>
                <w:sz w:val="1"/>
                <w:szCs w:val="1"/>
                <w:color w:val="auto"/>
              </w:rPr>
            </w:pPr>
          </w:p>
        </w:tc>
      </w:tr>
      <w:tr>
        <w:trPr>
          <w:trHeight w:val="264"/>
        </w:trPr>
        <w:tc>
          <w:tcPr>
            <w:tcW w:w="352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6"/>
              </w:rPr>
              <w:t>Target</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3"/>
              </w:rPr>
              <w:t>Target</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5"/>
              </w:rPr>
              <w:t>Milestone Target</w:t>
            </w:r>
          </w:p>
        </w:tc>
        <w:tc>
          <w:tcPr>
            <w:tcW w:w="0" w:type="dxa"/>
            <w:vAlign w:val="bottom"/>
          </w:tcPr>
          <w:p>
            <w:pPr>
              <w:spacing w:after="0"/>
              <w:rPr>
                <w:sz w:val="1"/>
                <w:szCs w:val="1"/>
                <w:color w:val="auto"/>
              </w:rPr>
            </w:pPr>
          </w:p>
        </w:tc>
      </w:tr>
      <w:tr>
        <w:trPr>
          <w:trHeight w:val="263"/>
        </w:trPr>
        <w:tc>
          <w:tcPr>
            <w:tcW w:w="3520" w:type="dxa"/>
            <w:vAlign w:val="bottom"/>
            <w:tcBorders>
              <w:right w:val="single" w:sz="8" w:color="auto"/>
            </w:tcBorders>
          </w:tcPr>
          <w:p>
            <w:pPr>
              <w:jc w:val="right"/>
              <w:ind w:right="2732"/>
              <w:spacing w:after="0"/>
              <w:rPr>
                <w:sz w:val="20"/>
                <w:szCs w:val="20"/>
                <w:color w:val="auto"/>
              </w:rPr>
            </w:pPr>
            <w:r>
              <w:rPr>
                <w:rFonts w:ascii="Arial" w:cs="Arial" w:eastAsia="Arial" w:hAnsi="Arial"/>
                <w:sz w:val="22"/>
                <w:szCs w:val="22"/>
                <w:color w:val="auto"/>
              </w:rPr>
              <w:t>1. [**]</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40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64"/>
        </w:trPr>
        <w:tc>
          <w:tcPr>
            <w:tcW w:w="3520" w:type="dxa"/>
            <w:vAlign w:val="bottom"/>
            <w:tcBorders>
              <w:right w:val="single" w:sz="8" w:color="auto"/>
            </w:tcBorders>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3520" w:type="dxa"/>
            <w:vAlign w:val="bottom"/>
            <w:tcBorders>
              <w:bottom w:val="single" w:sz="8" w:color="auto"/>
              <w:right w:val="single" w:sz="8" w:color="auto"/>
            </w:tcBorders>
          </w:tcPr>
          <w:p>
            <w:pPr>
              <w:spacing w:after="0"/>
              <w:rPr>
                <w:sz w:val="7"/>
                <w:szCs w:val="7"/>
                <w:color w:val="auto"/>
              </w:rPr>
            </w:pPr>
          </w:p>
        </w:tc>
        <w:tc>
          <w:tcPr>
            <w:tcW w:w="256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20" w:type="dxa"/>
            <w:vAlign w:val="bottom"/>
            <w:tcBorders>
              <w:right w:val="single" w:sz="8" w:color="auto"/>
            </w:tcBorders>
          </w:tcPr>
          <w:p>
            <w:pPr>
              <w:jc w:val="right"/>
              <w:ind w:right="2732"/>
              <w:spacing w:after="0"/>
              <w:rPr>
                <w:sz w:val="20"/>
                <w:szCs w:val="20"/>
                <w:color w:val="auto"/>
              </w:rPr>
            </w:pPr>
            <w:r>
              <w:rPr>
                <w:rFonts w:ascii="Arial" w:cs="Arial" w:eastAsia="Arial" w:hAnsi="Arial"/>
                <w:sz w:val="22"/>
                <w:szCs w:val="22"/>
                <w:color w:val="auto"/>
              </w:rPr>
              <w:t>2. [**]</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40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64"/>
        </w:trPr>
        <w:tc>
          <w:tcPr>
            <w:tcW w:w="3520" w:type="dxa"/>
            <w:vAlign w:val="bottom"/>
            <w:tcBorders>
              <w:right w:val="single" w:sz="8" w:color="auto"/>
            </w:tcBorders>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3520" w:type="dxa"/>
            <w:vAlign w:val="bottom"/>
            <w:tcBorders>
              <w:bottom w:val="single" w:sz="8" w:color="auto"/>
              <w:right w:val="single" w:sz="8" w:color="auto"/>
            </w:tcBorders>
          </w:tcPr>
          <w:p>
            <w:pPr>
              <w:spacing w:after="0"/>
              <w:rPr>
                <w:sz w:val="7"/>
                <w:szCs w:val="7"/>
                <w:color w:val="auto"/>
              </w:rPr>
            </w:pPr>
          </w:p>
        </w:tc>
        <w:tc>
          <w:tcPr>
            <w:tcW w:w="256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20" w:type="dxa"/>
            <w:vAlign w:val="bottom"/>
            <w:tcBorders>
              <w:right w:val="single" w:sz="8" w:color="auto"/>
            </w:tcBorders>
          </w:tcPr>
          <w:p>
            <w:pPr>
              <w:jc w:val="right"/>
              <w:ind w:right="2732"/>
              <w:spacing w:after="0"/>
              <w:rPr>
                <w:sz w:val="20"/>
                <w:szCs w:val="20"/>
                <w:color w:val="auto"/>
              </w:rPr>
            </w:pPr>
            <w:r>
              <w:rPr>
                <w:rFonts w:ascii="Arial" w:cs="Arial" w:eastAsia="Arial" w:hAnsi="Arial"/>
                <w:sz w:val="22"/>
                <w:szCs w:val="22"/>
                <w:color w:val="auto"/>
              </w:rPr>
              <w:t>3. [**]</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40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64"/>
        </w:trPr>
        <w:tc>
          <w:tcPr>
            <w:tcW w:w="3520" w:type="dxa"/>
            <w:vAlign w:val="bottom"/>
            <w:tcBorders>
              <w:right w:val="single" w:sz="8" w:color="auto"/>
            </w:tcBorders>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3520" w:type="dxa"/>
            <w:vAlign w:val="bottom"/>
            <w:tcBorders>
              <w:bottom w:val="single" w:sz="8" w:color="auto"/>
              <w:right w:val="single" w:sz="8" w:color="auto"/>
            </w:tcBorders>
          </w:tcPr>
          <w:p>
            <w:pPr>
              <w:spacing w:after="0"/>
              <w:rPr>
                <w:sz w:val="7"/>
                <w:szCs w:val="7"/>
                <w:color w:val="auto"/>
              </w:rPr>
            </w:pPr>
          </w:p>
        </w:tc>
        <w:tc>
          <w:tcPr>
            <w:tcW w:w="256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20" w:type="dxa"/>
            <w:vAlign w:val="bottom"/>
            <w:tcBorders>
              <w:right w:val="single" w:sz="8" w:color="auto"/>
            </w:tcBorders>
          </w:tcPr>
          <w:p>
            <w:pPr>
              <w:jc w:val="right"/>
              <w:ind w:right="2732"/>
              <w:spacing w:after="0"/>
              <w:rPr>
                <w:sz w:val="20"/>
                <w:szCs w:val="20"/>
                <w:color w:val="auto"/>
              </w:rPr>
            </w:pPr>
            <w:r>
              <w:rPr>
                <w:rFonts w:ascii="Arial" w:cs="Arial" w:eastAsia="Arial" w:hAnsi="Arial"/>
                <w:sz w:val="22"/>
                <w:szCs w:val="22"/>
                <w:color w:val="auto"/>
              </w:rPr>
              <w:t>4. [**]</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40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64"/>
        </w:trPr>
        <w:tc>
          <w:tcPr>
            <w:tcW w:w="3520" w:type="dxa"/>
            <w:vAlign w:val="bottom"/>
            <w:tcBorders>
              <w:right w:val="single" w:sz="8" w:color="auto"/>
            </w:tcBorders>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3520" w:type="dxa"/>
            <w:vAlign w:val="bottom"/>
            <w:tcBorders>
              <w:bottom w:val="single" w:sz="8" w:color="auto"/>
              <w:right w:val="single" w:sz="8" w:color="auto"/>
            </w:tcBorders>
          </w:tcPr>
          <w:p>
            <w:pPr>
              <w:spacing w:after="0"/>
              <w:rPr>
                <w:sz w:val="7"/>
                <w:szCs w:val="7"/>
                <w:color w:val="auto"/>
              </w:rPr>
            </w:pPr>
          </w:p>
        </w:tc>
        <w:tc>
          <w:tcPr>
            <w:tcW w:w="256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520" w:type="dxa"/>
            <w:vAlign w:val="bottom"/>
            <w:tcBorders>
              <w:right w:val="single" w:sz="8" w:color="auto"/>
            </w:tcBorders>
          </w:tcPr>
          <w:p>
            <w:pPr>
              <w:jc w:val="right"/>
              <w:ind w:right="2732"/>
              <w:spacing w:after="0"/>
              <w:rPr>
                <w:sz w:val="20"/>
                <w:szCs w:val="20"/>
                <w:color w:val="auto"/>
              </w:rPr>
            </w:pPr>
            <w:r>
              <w:rPr>
                <w:rFonts w:ascii="Arial" w:cs="Arial" w:eastAsia="Arial" w:hAnsi="Arial"/>
                <w:sz w:val="22"/>
                <w:szCs w:val="22"/>
                <w:color w:val="auto"/>
              </w:rPr>
              <w:t>5. [**]</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40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64"/>
        </w:trPr>
        <w:tc>
          <w:tcPr>
            <w:tcW w:w="3520" w:type="dxa"/>
            <w:vAlign w:val="bottom"/>
            <w:tcBorders>
              <w:right w:val="single" w:sz="8" w:color="auto"/>
            </w:tcBorders>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3520" w:type="dxa"/>
            <w:vAlign w:val="bottom"/>
            <w:tcBorders>
              <w:bottom w:val="single" w:sz="8" w:color="auto"/>
              <w:right w:val="single" w:sz="8" w:color="auto"/>
            </w:tcBorders>
          </w:tcPr>
          <w:p>
            <w:pPr>
              <w:spacing w:after="0"/>
              <w:rPr>
                <w:sz w:val="7"/>
                <w:szCs w:val="7"/>
                <w:color w:val="auto"/>
              </w:rPr>
            </w:pPr>
          </w:p>
        </w:tc>
        <w:tc>
          <w:tcPr>
            <w:tcW w:w="256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20" w:type="dxa"/>
            <w:vAlign w:val="bottom"/>
            <w:tcBorders>
              <w:right w:val="single" w:sz="8" w:color="auto"/>
            </w:tcBorders>
          </w:tcPr>
          <w:p>
            <w:pPr>
              <w:jc w:val="right"/>
              <w:ind w:right="2732"/>
              <w:spacing w:after="0"/>
              <w:rPr>
                <w:sz w:val="20"/>
                <w:szCs w:val="20"/>
                <w:color w:val="auto"/>
              </w:rPr>
            </w:pPr>
            <w:r>
              <w:rPr>
                <w:rFonts w:ascii="Arial" w:cs="Arial" w:eastAsia="Arial" w:hAnsi="Arial"/>
                <w:sz w:val="22"/>
                <w:szCs w:val="22"/>
                <w:color w:val="auto"/>
              </w:rPr>
              <w:t>6. [**]</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40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64"/>
        </w:trPr>
        <w:tc>
          <w:tcPr>
            <w:tcW w:w="3520" w:type="dxa"/>
            <w:vAlign w:val="bottom"/>
            <w:tcBorders>
              <w:right w:val="single" w:sz="8" w:color="auto"/>
            </w:tcBorders>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3520" w:type="dxa"/>
            <w:vAlign w:val="bottom"/>
            <w:tcBorders>
              <w:bottom w:val="single" w:sz="8" w:color="auto"/>
              <w:right w:val="single" w:sz="8" w:color="auto"/>
            </w:tcBorders>
          </w:tcPr>
          <w:p>
            <w:pPr>
              <w:spacing w:after="0"/>
              <w:rPr>
                <w:sz w:val="7"/>
                <w:szCs w:val="7"/>
                <w:color w:val="auto"/>
              </w:rPr>
            </w:pPr>
          </w:p>
        </w:tc>
        <w:tc>
          <w:tcPr>
            <w:tcW w:w="256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880" w:firstLine="797"/>
        <w:spacing w:after="0" w:line="270" w:lineRule="auto"/>
        <w:rPr>
          <w:sz w:val="20"/>
          <w:szCs w:val="20"/>
          <w:color w:val="auto"/>
        </w:rPr>
      </w:pPr>
      <w:r>
        <w:rPr>
          <w:rFonts w:ascii="Arial" w:cs="Arial" w:eastAsia="Arial" w:hAnsi="Arial"/>
          <w:sz w:val="19"/>
          <w:szCs w:val="19"/>
          <w:color w:val="auto"/>
        </w:rPr>
        <w:t xml:space="preserve">6.3.4. </w:t>
      </w:r>
      <w:r>
        <w:rPr>
          <w:rFonts w:ascii="Arial" w:cs="Arial" w:eastAsia="Arial" w:hAnsi="Arial"/>
          <w:sz w:val="19"/>
          <w:szCs w:val="19"/>
          <w:b w:val="1"/>
          <w:bCs w:val="1"/>
          <w:color w:val="auto"/>
        </w:rPr>
        <w:t>Cumulative Sales Milestones</w:t>
      </w:r>
      <w:r>
        <w:rPr>
          <w:rFonts w:ascii="Arial" w:cs="Arial" w:eastAsia="Arial" w:hAnsi="Arial"/>
          <w:sz w:val="19"/>
          <w:szCs w:val="19"/>
          <w:color w:val="auto"/>
        </w:rPr>
        <w:t xml:space="preserve">. Subject to the remainder of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(Milestone Payments), on a Cardiomyopathy Milestone Target-by-Cardiomyopathy Milestone Target basis, during the Royalty Term, MyoKardia will make each of the one-time milestone payments set forth in Table 6.3.4 (“</w:t>
      </w:r>
      <w:r>
        <w:rPr>
          <w:rFonts w:ascii="Arial" w:cs="Arial" w:eastAsia="Arial" w:hAnsi="Arial"/>
          <w:sz w:val="19"/>
          <w:szCs w:val="19"/>
          <w:b w:val="1"/>
          <w:bCs w:val="1"/>
          <w:color w:val="auto"/>
        </w:rPr>
        <w:t>Sales Milestone</w:t>
      </w:r>
      <w:r>
        <w:rPr>
          <w:rFonts w:ascii="Arial" w:cs="Arial" w:eastAsia="Arial" w:hAnsi="Arial"/>
          <w:sz w:val="19"/>
          <w:szCs w:val="19"/>
          <w:color w:val="auto"/>
        </w:rPr>
        <w:t xml:space="preserve"> </w:t>
      </w:r>
      <w:r>
        <w:rPr>
          <w:rFonts w:ascii="Arial" w:cs="Arial" w:eastAsia="Arial" w:hAnsi="Arial"/>
          <w:sz w:val="19"/>
          <w:szCs w:val="19"/>
          <w:b w:val="1"/>
          <w:bCs w:val="1"/>
          <w:color w:val="auto"/>
        </w:rPr>
        <w:t>Payments</w:t>
      </w:r>
      <w:r>
        <w:rPr>
          <w:rFonts w:ascii="Arial" w:cs="Arial" w:eastAsia="Arial" w:hAnsi="Arial"/>
          <w:sz w:val="19"/>
          <w:szCs w:val="19"/>
          <w:color w:val="auto"/>
        </w:rPr>
        <w:t>”) for the first achievement of each sales milestone event set forth in Table 6.3.4 (“</w:t>
      </w:r>
      <w:r>
        <w:rPr>
          <w:rFonts w:ascii="Arial" w:cs="Arial" w:eastAsia="Arial" w:hAnsi="Arial"/>
          <w:sz w:val="19"/>
          <w:szCs w:val="19"/>
          <w:b w:val="1"/>
          <w:bCs w:val="1"/>
          <w:color w:val="auto"/>
        </w:rPr>
        <w:t>Sales Milestone</w:t>
      </w:r>
      <w:r>
        <w:rPr>
          <w:rFonts w:ascii="Arial" w:cs="Arial" w:eastAsia="Arial" w:hAnsi="Arial"/>
          <w:sz w:val="19"/>
          <w:szCs w:val="19"/>
          <w:color w:val="auto"/>
        </w:rPr>
        <w:t>”)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Products directed against such Cardiomyopathy Milestone Target to achieve such event, pursuant to and in the amounts set forth in column (a), (b) or (c), depending upon whether such Cardiomyopathy Milestone Target is an Initial Cardiomyopathy Milestone Target (and, in such case, whether such Cardiomyopathy Milestone Target is the first Initial Cardiomyopathy Milestone Target to achieve the applicable Sales Milestone) or a Secondary Cardiomyopathy Milestone Target. MyoKardia will notify Fulcrum of the achievement of a Sales Milestone by MyoKardia, its Affiliates or its Licensees, in writing within (i) [**] after the achievement of Sales Milestone 1 (First Commercial Sale of a Product); and (ii) [**] after the end of the Calendar Year in which each remaining Sales Milestone is achieved. MyoKardia will pay Fulcrum the amount of the Sales Milestone Payment corresponding to such Sales Milestone within [**] following the receipt of a corresponding invoice from Fulcrum. For the avoidance of doubt, each Sales Milestone Payment will be payable only once with respect to a Cardiomyopathy Milestone Target, on the first achievement of the Sales Milestone by the applicable Product directed against such Cardiomyopathy Milestone Target (if at all), notwithstanding the number of times one or more Products directed against the same such Cardiomyopathy Milestone Target may achieve such Sales Milestone. For the further avoidance of doubt, in no event will the aggregate Sales Milestone Payments payable by MyoKardia under this </w:t>
      </w:r>
      <w:r>
        <w:rPr>
          <w:rFonts w:ascii="Arial" w:cs="Arial" w:eastAsia="Arial" w:hAnsi="Arial"/>
          <w:sz w:val="19"/>
          <w:szCs w:val="19"/>
          <w:u w:val="single" w:color="auto"/>
          <w:color w:val="auto"/>
        </w:rPr>
        <w:t>Section 6.3.4</w:t>
      </w:r>
      <w:r>
        <w:rPr>
          <w:rFonts w:ascii="Arial" w:cs="Arial" w:eastAsia="Arial" w:hAnsi="Arial"/>
          <w:sz w:val="19"/>
          <w:szCs w:val="19"/>
          <w:color w:val="auto"/>
        </w:rPr>
        <w:t xml:space="preserve"> (Cumulative Sales Milestones) exceed: (A) [**] with respect to the first achievement 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jc w:val="both"/>
        <w:ind w:left="880"/>
        <w:spacing w:after="0" w:line="249" w:lineRule="auto"/>
        <w:rPr>
          <w:sz w:val="20"/>
          <w:szCs w:val="20"/>
          <w:color w:val="auto"/>
        </w:rPr>
      </w:pPr>
      <w:r>
        <w:rPr>
          <w:rFonts w:ascii="Arial" w:cs="Arial" w:eastAsia="Arial" w:hAnsi="Arial"/>
          <w:sz w:val="21"/>
          <w:szCs w:val="21"/>
          <w:color w:val="auto"/>
        </w:rPr>
        <w:t>each Sales Milestone, collectively, by a Product directed against any Initial Cardiomyopathy Milestone Target, (B) except as set forth in the foregoing clause (i), on an Initial Cardiomyopathy Milestone Target-by-Initial Cardiomyopathy Milestone Target basis, [**] for Products directed against an Initial Cardiomyopathy Milestone Target; and (C) on a Secondary Cardiomyopathy Milestone Target-by-Secondary Cardiomyopathy Milestone Target basis, [**] for Products directed against a Secondary Cardiomyopathy Milestone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188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318897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6.3.4 – Sales Milestones and Sales Milestone Payments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00" w:type="dxa"/>
            <w:vAlign w:val="bottom"/>
            <w:tcBorders>
              <w:top w:val="single" w:sz="8" w:color="auto"/>
            </w:tcBorders>
          </w:tcPr>
          <w:p>
            <w:pPr>
              <w:spacing w:after="0"/>
              <w:rPr>
                <w:sz w:val="24"/>
                <w:szCs w:val="24"/>
                <w:color w:val="auto"/>
              </w:rPr>
            </w:pPr>
          </w:p>
        </w:tc>
        <w:tc>
          <w:tcPr>
            <w:tcW w:w="2760" w:type="dxa"/>
            <w:vAlign w:val="bottom"/>
            <w:tcBorders>
              <w:top w:val="single" w:sz="8" w:color="auto"/>
              <w:right w:val="single" w:sz="8" w:color="auto"/>
            </w:tcBorders>
          </w:tcPr>
          <w:p>
            <w:pPr>
              <w:spacing w:after="0"/>
              <w:rPr>
                <w:sz w:val="24"/>
                <w:szCs w:val="24"/>
                <w:color w:val="auto"/>
              </w:rPr>
            </w:pPr>
          </w:p>
        </w:tc>
        <w:tc>
          <w:tcPr>
            <w:tcW w:w="8180" w:type="dxa"/>
            <w:vAlign w:val="bottom"/>
            <w:tcBorders>
              <w:top w:val="single" w:sz="8" w:color="auto"/>
            </w:tcBorders>
            <w:gridSpan w:val="3"/>
          </w:tcPr>
          <w:p>
            <w:pPr>
              <w:ind w:left="1480"/>
              <w:spacing w:after="0"/>
              <w:rPr>
                <w:sz w:val="20"/>
                <w:szCs w:val="20"/>
                <w:color w:val="auto"/>
              </w:rPr>
            </w:pPr>
            <w:r>
              <w:rPr>
                <w:rFonts w:ascii="Arial" w:cs="Arial" w:eastAsia="Arial" w:hAnsi="Arial"/>
                <w:sz w:val="22"/>
                <w:szCs w:val="22"/>
                <w:b w:val="1"/>
                <w:bCs w:val="1"/>
                <w:color w:val="auto"/>
              </w:rPr>
              <w:t>Sales Milestone Payment for Products Directed Against:</w:t>
            </w:r>
          </w:p>
        </w:tc>
        <w:tc>
          <w:tcPr>
            <w:tcW w:w="0" w:type="dxa"/>
            <w:vAlign w:val="bottom"/>
          </w:tcPr>
          <w:p>
            <w:pPr>
              <w:spacing w:after="0"/>
              <w:rPr>
                <w:sz w:val="1"/>
                <w:szCs w:val="1"/>
                <w:color w:val="auto"/>
              </w:rPr>
            </w:pPr>
          </w:p>
        </w:tc>
      </w:tr>
      <w:tr>
        <w:trPr>
          <w:trHeight w:val="84"/>
        </w:trPr>
        <w:tc>
          <w:tcPr>
            <w:tcW w:w="300" w:type="dxa"/>
            <w:vAlign w:val="bottom"/>
          </w:tcPr>
          <w:p>
            <w:pPr>
              <w:spacing w:after="0"/>
              <w:rPr>
                <w:sz w:val="7"/>
                <w:szCs w:val="7"/>
                <w:color w:val="auto"/>
              </w:rPr>
            </w:pPr>
          </w:p>
        </w:tc>
        <w:tc>
          <w:tcPr>
            <w:tcW w:w="27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2"/>
                <w:szCs w:val="22"/>
                <w:b w:val="1"/>
                <w:bCs w:val="1"/>
                <w:color w:val="auto"/>
              </w:rPr>
              <w:t>Sales Milestone</w:t>
            </w:r>
          </w:p>
        </w:tc>
        <w:tc>
          <w:tcPr>
            <w:tcW w:w="280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2760" w:type="dxa"/>
            <w:vAlign w:val="bottom"/>
            <w:tcBorders>
              <w:right w:val="single" w:sz="8" w:color="auto"/>
            </w:tcBorders>
            <w:vMerge w:val="continue"/>
          </w:tcPr>
          <w:p>
            <w:pPr>
              <w:spacing w:after="0"/>
              <w:rPr>
                <w:sz w:val="18"/>
                <w:szCs w:val="18"/>
                <w:color w:val="auto"/>
              </w:rPr>
            </w:pPr>
          </w:p>
        </w:tc>
        <w:tc>
          <w:tcPr>
            <w:tcW w:w="28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i w:val="1"/>
                <w:iCs w:val="1"/>
                <w:color w:val="auto"/>
                <w:w w:val="90"/>
              </w:rPr>
              <w:t>(a) the first Initial</w:t>
            </w:r>
          </w:p>
        </w:tc>
        <w:tc>
          <w:tcPr>
            <w:tcW w:w="28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i w:val="1"/>
                <w:iCs w:val="1"/>
                <w:color w:val="auto"/>
                <w:w w:val="86"/>
              </w:rPr>
              <w:t>(b) a subsequent Initial</w:t>
            </w:r>
          </w:p>
        </w:tc>
        <w:tc>
          <w:tcPr>
            <w:tcW w:w="2580" w:type="dxa"/>
            <w:vAlign w:val="bottom"/>
          </w:tcPr>
          <w:p>
            <w:pPr>
              <w:jc w:val="center"/>
              <w:spacing w:after="0" w:line="216" w:lineRule="exact"/>
              <w:rPr>
                <w:sz w:val="20"/>
                <w:szCs w:val="20"/>
                <w:color w:val="auto"/>
              </w:rPr>
            </w:pPr>
            <w:r>
              <w:rPr>
                <w:rFonts w:ascii="Arial" w:cs="Arial" w:eastAsia="Arial" w:hAnsi="Arial"/>
                <w:sz w:val="22"/>
                <w:szCs w:val="22"/>
                <w:b w:val="1"/>
                <w:bCs w:val="1"/>
                <w:i w:val="1"/>
                <w:iCs w:val="1"/>
                <w:color w:val="auto"/>
                <w:w w:val="85"/>
              </w:rPr>
              <w:t>(c) a Secondary</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276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i w:val="1"/>
                <w:iCs w:val="1"/>
                <w:color w:val="auto"/>
                <w:w w:val="85"/>
              </w:rPr>
              <w:t>Cardiomyopathy Milestone</w:t>
            </w:r>
          </w:p>
        </w:tc>
        <w:tc>
          <w:tcPr>
            <w:tcW w:w="2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i w:val="1"/>
                <w:iCs w:val="1"/>
                <w:color w:val="auto"/>
                <w:w w:val="85"/>
              </w:rPr>
              <w:t>Cardiomyopathy Milestone</w:t>
            </w:r>
          </w:p>
        </w:tc>
        <w:tc>
          <w:tcPr>
            <w:tcW w:w="2580" w:type="dxa"/>
            <w:vAlign w:val="bottom"/>
          </w:tcPr>
          <w:p>
            <w:pPr>
              <w:jc w:val="center"/>
              <w:spacing w:after="0" w:line="243" w:lineRule="exact"/>
              <w:rPr>
                <w:sz w:val="20"/>
                <w:szCs w:val="20"/>
                <w:color w:val="auto"/>
              </w:rPr>
            </w:pPr>
            <w:r>
              <w:rPr>
                <w:rFonts w:ascii="Arial" w:cs="Arial" w:eastAsia="Arial" w:hAnsi="Arial"/>
                <w:sz w:val="22"/>
                <w:szCs w:val="22"/>
                <w:b w:val="1"/>
                <w:bCs w:val="1"/>
                <w:i w:val="1"/>
                <w:iCs w:val="1"/>
                <w:color w:val="auto"/>
                <w:w w:val="85"/>
              </w:rPr>
              <w:t>Cardiomyopathy Milestone</w:t>
            </w:r>
          </w:p>
        </w:tc>
        <w:tc>
          <w:tcPr>
            <w:tcW w:w="0" w:type="dxa"/>
            <w:vAlign w:val="bottom"/>
          </w:tcPr>
          <w:p>
            <w:pPr>
              <w:spacing w:after="0"/>
              <w:rPr>
                <w:sz w:val="1"/>
                <w:szCs w:val="1"/>
                <w:color w:val="auto"/>
              </w:rPr>
            </w:pPr>
          </w:p>
        </w:tc>
      </w:tr>
      <w:tr>
        <w:trPr>
          <w:trHeight w:val="264"/>
        </w:trPr>
        <w:tc>
          <w:tcPr>
            <w:tcW w:w="300" w:type="dxa"/>
            <w:vAlign w:val="bottom"/>
            <w:tcBorders>
              <w:bottom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3"/>
              </w:rPr>
              <w:t>Target</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3"/>
              </w:rPr>
              <w:t>Target</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3"/>
              </w:rPr>
              <w:t>Target</w:t>
            </w:r>
          </w:p>
        </w:tc>
        <w:tc>
          <w:tcPr>
            <w:tcW w:w="0" w:type="dxa"/>
            <w:vAlign w:val="bottom"/>
          </w:tcPr>
          <w:p>
            <w:pPr>
              <w:spacing w:after="0"/>
              <w:rPr>
                <w:sz w:val="1"/>
                <w:szCs w:val="1"/>
                <w:color w:val="auto"/>
              </w:rPr>
            </w:pPr>
          </w:p>
        </w:tc>
      </w:tr>
      <w:tr>
        <w:trPr>
          <w:trHeight w:val="264"/>
        </w:trPr>
        <w:tc>
          <w:tcPr>
            <w:tcW w:w="300" w:type="dxa"/>
            <w:vAlign w:val="bottom"/>
          </w:tcPr>
          <w:p>
            <w:pPr>
              <w:ind w:left="120"/>
              <w:spacing w:after="0"/>
              <w:rPr>
                <w:sz w:val="20"/>
                <w:szCs w:val="20"/>
                <w:color w:val="auto"/>
              </w:rPr>
            </w:pPr>
            <w:r>
              <w:rPr>
                <w:rFonts w:ascii="Arial" w:cs="Arial" w:eastAsia="Arial" w:hAnsi="Arial"/>
                <w:sz w:val="22"/>
                <w:szCs w:val="22"/>
                <w:color w:val="auto"/>
                <w:w w:val="86"/>
              </w:rPr>
              <w:t>1.</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58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64"/>
        </w:trPr>
        <w:tc>
          <w:tcPr>
            <w:tcW w:w="300" w:type="dxa"/>
            <w:vAlign w:val="bottom"/>
          </w:tcPr>
          <w:p>
            <w:pPr>
              <w:spacing w:after="0"/>
              <w:rPr>
                <w:sz w:val="5"/>
                <w:szCs w:val="5"/>
                <w:color w:val="auto"/>
              </w:rPr>
            </w:pPr>
          </w:p>
        </w:tc>
        <w:tc>
          <w:tcPr>
            <w:tcW w:w="2760" w:type="dxa"/>
            <w:vAlign w:val="bottom"/>
            <w:tcBorders>
              <w:right w:val="single" w:sz="8" w:color="auto"/>
            </w:tcBorders>
          </w:tcPr>
          <w:p>
            <w:pPr>
              <w:spacing w:after="0"/>
              <w:rPr>
                <w:sz w:val="5"/>
                <w:szCs w:val="5"/>
                <w:color w:val="auto"/>
              </w:rPr>
            </w:pPr>
          </w:p>
        </w:tc>
        <w:tc>
          <w:tcPr>
            <w:tcW w:w="2800" w:type="dxa"/>
            <w:vAlign w:val="bottom"/>
            <w:tcBorders>
              <w:right w:val="single" w:sz="8" w:color="auto"/>
            </w:tcBorders>
            <w:vMerge w:val="continue"/>
          </w:tcPr>
          <w:p>
            <w:pPr>
              <w:spacing w:after="0"/>
              <w:rPr>
                <w:sz w:val="5"/>
                <w:szCs w:val="5"/>
                <w:color w:val="auto"/>
              </w:rPr>
            </w:pPr>
          </w:p>
        </w:tc>
        <w:tc>
          <w:tcPr>
            <w:tcW w:w="2800" w:type="dxa"/>
            <w:vAlign w:val="bottom"/>
            <w:tcBorders>
              <w:right w:val="single" w:sz="8" w:color="auto"/>
            </w:tcBorders>
            <w:vMerge w:val="continue"/>
          </w:tcPr>
          <w:p>
            <w:pPr>
              <w:spacing w:after="0"/>
              <w:rPr>
                <w:sz w:val="5"/>
                <w:szCs w:val="5"/>
                <w:color w:val="auto"/>
              </w:rPr>
            </w:pPr>
          </w:p>
        </w:tc>
        <w:tc>
          <w:tcPr>
            <w:tcW w:w="2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300" w:type="dxa"/>
            <w:vAlign w:val="bottom"/>
            <w:tcBorders>
              <w:bottom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00" w:type="dxa"/>
            <w:vAlign w:val="bottom"/>
          </w:tcPr>
          <w:p>
            <w:pPr>
              <w:ind w:left="120"/>
              <w:spacing w:after="0" w:line="216" w:lineRule="exact"/>
              <w:rPr>
                <w:sz w:val="20"/>
                <w:szCs w:val="20"/>
                <w:color w:val="auto"/>
              </w:rPr>
            </w:pPr>
            <w:r>
              <w:rPr>
                <w:rFonts w:ascii="Arial" w:cs="Arial" w:eastAsia="Arial" w:hAnsi="Arial"/>
                <w:sz w:val="22"/>
                <w:szCs w:val="22"/>
                <w:color w:val="auto"/>
                <w:w w:val="86"/>
              </w:rPr>
              <w:t>2.</w:t>
            </w:r>
          </w:p>
        </w:tc>
        <w:tc>
          <w:tcPr>
            <w:tcW w:w="27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rPr>
              <w:t>Cumulative Net Sales of</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60" w:type="dxa"/>
            <w:vAlign w:val="bottom"/>
            <w:tcBorders>
              <w:right w:val="single" w:sz="8" w:color="auto"/>
            </w:tcBorders>
            <w:gridSpan w:val="2"/>
          </w:tcPr>
          <w:p>
            <w:pPr>
              <w:ind w:left="120"/>
              <w:spacing w:after="0" w:line="243" w:lineRule="exact"/>
              <w:rPr>
                <w:sz w:val="20"/>
                <w:szCs w:val="20"/>
                <w:color w:val="auto"/>
              </w:rPr>
            </w:pPr>
            <w:r>
              <w:rPr>
                <w:rFonts w:ascii="Arial" w:cs="Arial" w:eastAsia="Arial" w:hAnsi="Arial"/>
                <w:sz w:val="22"/>
                <w:szCs w:val="22"/>
                <w:color w:val="auto"/>
                <w:w w:val="92"/>
              </w:rPr>
              <w:t>Products are equal to or exceed</w:t>
            </w:r>
          </w:p>
        </w:tc>
        <w:tc>
          <w:tcPr>
            <w:tcW w:w="2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w:t>
            </w:r>
          </w:p>
        </w:tc>
        <w:tc>
          <w:tcPr>
            <w:tcW w:w="2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w:t>
            </w:r>
          </w:p>
        </w:tc>
        <w:tc>
          <w:tcPr>
            <w:tcW w:w="25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00" w:type="dxa"/>
            <w:vAlign w:val="bottom"/>
          </w:tcPr>
          <w:p>
            <w:pPr>
              <w:ind w:left="120"/>
              <w:spacing w:after="0" w:line="216" w:lineRule="exact"/>
              <w:rPr>
                <w:sz w:val="20"/>
                <w:szCs w:val="20"/>
                <w:color w:val="auto"/>
              </w:rPr>
            </w:pPr>
            <w:r>
              <w:rPr>
                <w:rFonts w:ascii="Arial" w:cs="Arial" w:eastAsia="Arial" w:hAnsi="Arial"/>
                <w:sz w:val="22"/>
                <w:szCs w:val="22"/>
                <w:color w:val="auto"/>
                <w:w w:val="86"/>
              </w:rPr>
              <w:t>3.</w:t>
            </w:r>
          </w:p>
        </w:tc>
        <w:tc>
          <w:tcPr>
            <w:tcW w:w="27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rPr>
              <w:t>Cumulative Net Sales of</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60" w:type="dxa"/>
            <w:vAlign w:val="bottom"/>
            <w:tcBorders>
              <w:right w:val="single" w:sz="8" w:color="auto"/>
            </w:tcBorders>
            <w:gridSpan w:val="2"/>
          </w:tcPr>
          <w:p>
            <w:pPr>
              <w:ind w:left="120"/>
              <w:spacing w:after="0" w:line="243" w:lineRule="exact"/>
              <w:rPr>
                <w:sz w:val="20"/>
                <w:szCs w:val="20"/>
                <w:color w:val="auto"/>
              </w:rPr>
            </w:pPr>
            <w:r>
              <w:rPr>
                <w:rFonts w:ascii="Arial" w:cs="Arial" w:eastAsia="Arial" w:hAnsi="Arial"/>
                <w:sz w:val="22"/>
                <w:szCs w:val="22"/>
                <w:color w:val="auto"/>
                <w:w w:val="92"/>
              </w:rPr>
              <w:t>Products are equal to or exceed</w:t>
            </w:r>
          </w:p>
        </w:tc>
        <w:tc>
          <w:tcPr>
            <w:tcW w:w="2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w:t>
            </w:r>
          </w:p>
        </w:tc>
        <w:tc>
          <w:tcPr>
            <w:tcW w:w="2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w:t>
            </w:r>
          </w:p>
        </w:tc>
        <w:tc>
          <w:tcPr>
            <w:tcW w:w="25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00" w:type="dxa"/>
            <w:vAlign w:val="bottom"/>
          </w:tcPr>
          <w:p>
            <w:pPr>
              <w:ind w:left="120"/>
              <w:spacing w:after="0" w:line="216" w:lineRule="exact"/>
              <w:rPr>
                <w:sz w:val="20"/>
                <w:szCs w:val="20"/>
                <w:color w:val="auto"/>
              </w:rPr>
            </w:pPr>
            <w:r>
              <w:rPr>
                <w:rFonts w:ascii="Arial" w:cs="Arial" w:eastAsia="Arial" w:hAnsi="Arial"/>
                <w:sz w:val="22"/>
                <w:szCs w:val="22"/>
                <w:color w:val="auto"/>
                <w:w w:val="86"/>
              </w:rPr>
              <w:t>4.</w:t>
            </w:r>
          </w:p>
        </w:tc>
        <w:tc>
          <w:tcPr>
            <w:tcW w:w="27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rPr>
              <w:t>Cumulative Net Sales of</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60" w:type="dxa"/>
            <w:vAlign w:val="bottom"/>
            <w:tcBorders>
              <w:right w:val="single" w:sz="8" w:color="auto"/>
            </w:tcBorders>
            <w:gridSpan w:val="2"/>
          </w:tcPr>
          <w:p>
            <w:pPr>
              <w:ind w:left="120"/>
              <w:spacing w:after="0" w:line="243" w:lineRule="exact"/>
              <w:rPr>
                <w:sz w:val="20"/>
                <w:szCs w:val="20"/>
                <w:color w:val="auto"/>
              </w:rPr>
            </w:pPr>
            <w:r>
              <w:rPr>
                <w:rFonts w:ascii="Arial" w:cs="Arial" w:eastAsia="Arial" w:hAnsi="Arial"/>
                <w:sz w:val="22"/>
                <w:szCs w:val="22"/>
                <w:color w:val="auto"/>
                <w:w w:val="92"/>
              </w:rPr>
              <w:t>Products are equal to or exceed</w:t>
            </w:r>
          </w:p>
        </w:tc>
        <w:tc>
          <w:tcPr>
            <w:tcW w:w="2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w:t>
            </w:r>
          </w:p>
        </w:tc>
        <w:tc>
          <w:tcPr>
            <w:tcW w:w="2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w:t>
            </w:r>
          </w:p>
        </w:tc>
        <w:tc>
          <w:tcPr>
            <w:tcW w:w="25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00" w:type="dxa"/>
            <w:vAlign w:val="bottom"/>
          </w:tcPr>
          <w:p>
            <w:pPr>
              <w:ind w:left="120"/>
              <w:spacing w:after="0" w:line="216" w:lineRule="exact"/>
              <w:rPr>
                <w:sz w:val="20"/>
                <w:szCs w:val="20"/>
                <w:color w:val="auto"/>
              </w:rPr>
            </w:pPr>
            <w:r>
              <w:rPr>
                <w:rFonts w:ascii="Arial" w:cs="Arial" w:eastAsia="Arial" w:hAnsi="Arial"/>
                <w:sz w:val="22"/>
                <w:szCs w:val="22"/>
                <w:color w:val="auto"/>
                <w:w w:val="86"/>
              </w:rPr>
              <w:t>5.</w:t>
            </w:r>
          </w:p>
        </w:tc>
        <w:tc>
          <w:tcPr>
            <w:tcW w:w="27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rPr>
              <w:t>Cumulative Net Sales of</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60" w:type="dxa"/>
            <w:vAlign w:val="bottom"/>
            <w:tcBorders>
              <w:right w:val="single" w:sz="8" w:color="auto"/>
            </w:tcBorders>
            <w:gridSpan w:val="2"/>
          </w:tcPr>
          <w:p>
            <w:pPr>
              <w:ind w:left="120"/>
              <w:spacing w:after="0" w:line="243" w:lineRule="exact"/>
              <w:rPr>
                <w:sz w:val="20"/>
                <w:szCs w:val="20"/>
                <w:color w:val="auto"/>
              </w:rPr>
            </w:pPr>
            <w:r>
              <w:rPr>
                <w:rFonts w:ascii="Arial" w:cs="Arial" w:eastAsia="Arial" w:hAnsi="Arial"/>
                <w:sz w:val="22"/>
                <w:szCs w:val="22"/>
                <w:color w:val="auto"/>
                <w:w w:val="92"/>
              </w:rPr>
              <w:t>Products are equal to or exceed</w:t>
            </w:r>
          </w:p>
        </w:tc>
        <w:tc>
          <w:tcPr>
            <w:tcW w:w="2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w:t>
            </w:r>
          </w:p>
        </w:tc>
        <w:tc>
          <w:tcPr>
            <w:tcW w:w="2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w:t>
            </w:r>
          </w:p>
        </w:tc>
        <w:tc>
          <w:tcPr>
            <w:tcW w:w="25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880" w:firstLine="797"/>
        <w:spacing w:after="0" w:line="256" w:lineRule="auto"/>
        <w:rPr>
          <w:sz w:val="20"/>
          <w:szCs w:val="20"/>
          <w:color w:val="auto"/>
        </w:rPr>
      </w:pPr>
      <w:r>
        <w:rPr>
          <w:rFonts w:ascii="Arial" w:cs="Arial" w:eastAsia="Arial" w:hAnsi="Arial"/>
          <w:sz w:val="22"/>
          <w:szCs w:val="22"/>
          <w:color w:val="auto"/>
        </w:rPr>
        <w:t xml:space="preserve">6.3.5. </w:t>
      </w:r>
      <w:r>
        <w:rPr>
          <w:rFonts w:ascii="Arial" w:cs="Arial" w:eastAsia="Arial" w:hAnsi="Arial"/>
          <w:sz w:val="22"/>
          <w:szCs w:val="22"/>
          <w:b w:val="1"/>
          <w:bCs w:val="1"/>
          <w:color w:val="auto"/>
        </w:rPr>
        <w:t>Additional Terms Applicable to Milestones.</w:t>
      </w:r>
      <w:r>
        <w:rPr>
          <w:rFonts w:ascii="Arial" w:cs="Arial" w:eastAsia="Arial" w:hAnsi="Arial"/>
          <w:sz w:val="22"/>
          <w:szCs w:val="22"/>
          <w:color w:val="auto"/>
        </w:rPr>
        <w:t xml:space="preserve"> The following additional terms apply to some or all of the Milestones and Milestone Payments.</w:t>
      </w:r>
    </w:p>
    <w:p>
      <w:pPr>
        <w:spacing w:after="0" w:line="168" w:lineRule="exact"/>
        <w:rPr>
          <w:sz w:val="20"/>
          <w:szCs w:val="20"/>
          <w:color w:val="auto"/>
        </w:rPr>
      </w:pPr>
    </w:p>
    <w:p>
      <w:pPr>
        <w:jc w:val="both"/>
        <w:ind w:left="1740" w:firstLine="726"/>
        <w:spacing w:after="0" w:line="244" w:lineRule="auto"/>
        <w:tabs>
          <w:tab w:leader="none" w:pos="3358"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Replacement Target</w:t>
      </w:r>
      <w:r>
        <w:rPr>
          <w:rFonts w:ascii="Arial" w:cs="Arial" w:eastAsia="Arial" w:hAnsi="Arial"/>
          <w:sz w:val="21"/>
          <w:szCs w:val="21"/>
          <w:color w:val="auto"/>
        </w:rPr>
        <w:t>. On a Cardiomyopathy Milestone Target-by-Cardiomyopathy</w:t>
      </w:r>
      <w:r>
        <w:rPr>
          <w:rFonts w:ascii="Arial" w:cs="Arial" w:eastAsia="Arial" w:hAnsi="Arial"/>
          <w:sz w:val="21"/>
          <w:szCs w:val="21"/>
          <w:i w:val="1"/>
          <w:iCs w:val="1"/>
          <w:color w:val="auto"/>
        </w:rPr>
        <w:t xml:space="preserve"> </w:t>
      </w:r>
      <w:r>
        <w:rPr>
          <w:rFonts w:ascii="Arial" w:cs="Arial" w:eastAsia="Arial" w:hAnsi="Arial"/>
          <w:sz w:val="21"/>
          <w:szCs w:val="21"/>
          <w:color w:val="auto"/>
        </w:rPr>
        <w:t>Milestone Target basis, if MyoKardia discontinues development of Products directed against such Cardiomyopathy Milestone Target, MyoKardia may select another Cardiomyopathy Target Candidate to replace the terminated Cardiomyopathy Milestone Target at any time during the Exclusivity Period by written notice to Fulcrum (such selected Cardiomyopathy Target Candidate, the “</w:t>
      </w:r>
      <w:r>
        <w:rPr>
          <w:rFonts w:ascii="Arial" w:cs="Arial" w:eastAsia="Arial" w:hAnsi="Arial"/>
          <w:sz w:val="21"/>
          <w:szCs w:val="21"/>
          <w:b w:val="1"/>
          <w:bCs w:val="1"/>
          <w:color w:val="auto"/>
        </w:rPr>
        <w:t>Replacement Target</w:t>
      </w:r>
      <w:r>
        <w:rPr>
          <w:rFonts w:ascii="Arial" w:cs="Arial" w:eastAsia="Arial" w:hAnsi="Arial"/>
          <w:sz w:val="21"/>
          <w:szCs w:val="21"/>
          <w:color w:val="auto"/>
        </w:rPr>
        <w:t>”). If any such Replacement Target is so selected after any Preclinical Milestone or Development Milestone has already been achieved with respect to a Product directed against the original Cardiomyopathy Milestone Target, then MyoKardia shall not pay any Milestone Payment upon achievement of the same Milestone by any Product directed against such Replacement Target for which Fulcrum already received a Preclinical Milestone Payment or Development Milestone Payment for a Product directed against the original Cardiomyopathy Milestone Target.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2" w:name="page123"/>
    <w:bookmarkEnd w:id="122"/>
    <w:p>
      <w:pPr>
        <w:jc w:val="both"/>
        <w:ind w:left="860" w:firstLine="726"/>
        <w:spacing w:after="0" w:line="274" w:lineRule="auto"/>
        <w:tabs>
          <w:tab w:leader="none" w:pos="2491" w:val="left"/>
        </w:tabs>
        <w:numPr>
          <w:ilvl w:val="0"/>
          <w:numId w:val="64"/>
        </w:numPr>
        <w:rPr>
          <w:rFonts w:ascii="Arial" w:cs="Arial" w:eastAsia="Arial" w:hAnsi="Arial"/>
          <w:sz w:val="19"/>
          <w:szCs w:val="19"/>
          <w:color w:val="auto"/>
        </w:rPr>
      </w:pPr>
      <w:r>
        <w:rPr>
          <w:rFonts w:ascii="Arial" w:cs="Arial" w:eastAsia="Arial" w:hAnsi="Arial"/>
          <w:sz w:val="19"/>
          <w:szCs w:val="19"/>
          <w:i w:val="1"/>
          <w:iCs w:val="1"/>
          <w:color w:val="auto"/>
        </w:rPr>
        <w:t>Skipped Milestones</w:t>
      </w:r>
      <w:r>
        <w:rPr>
          <w:rFonts w:ascii="Arial" w:cs="Arial" w:eastAsia="Arial" w:hAnsi="Arial"/>
          <w:sz w:val="19"/>
          <w:szCs w:val="19"/>
          <w:color w:val="auto"/>
        </w:rPr>
        <w:t>. Certain Development Milestones, together with the Preclinical</w:t>
      </w:r>
      <w:r>
        <w:rPr>
          <w:rFonts w:ascii="Arial" w:cs="Arial" w:eastAsia="Arial" w:hAnsi="Arial"/>
          <w:sz w:val="19"/>
          <w:szCs w:val="19"/>
          <w:i w:val="1"/>
          <w:iCs w:val="1"/>
          <w:color w:val="auto"/>
        </w:rPr>
        <w:t xml:space="preserve"> </w:t>
      </w:r>
      <w:r>
        <w:rPr>
          <w:rFonts w:ascii="Arial" w:cs="Arial" w:eastAsia="Arial" w:hAnsi="Arial"/>
          <w:sz w:val="19"/>
          <w:szCs w:val="19"/>
          <w:color w:val="auto"/>
        </w:rPr>
        <w:t>Milestones are intended to be successive, and on a Cardiomyopathy Milestone Target-by-Cardiomyopathy Milestone Target basis, if the first Molecule or Product directed against such Cardiomyopathy Milestone Target is not required to undergo the event associated with any such Development Milestone or Preclinical Milestone (or if MyoKardia acquires rights to the first Molecule or Product directed against such Cardiomyopathy Milestone Target from a Third Party, including by license or acquisition, which rights are acquired with respect to a Molecule or Product that is at any stage of development after a Preclinical Milestone or Development Milestone, an “</w:t>
      </w:r>
      <w:r>
        <w:rPr>
          <w:rFonts w:ascii="Arial" w:cs="Arial" w:eastAsia="Arial" w:hAnsi="Arial"/>
          <w:sz w:val="19"/>
          <w:szCs w:val="19"/>
          <w:b w:val="1"/>
          <w:bCs w:val="1"/>
          <w:color w:val="auto"/>
        </w:rPr>
        <w:t>Acquired Product</w:t>
      </w:r>
      <w:r>
        <w:rPr>
          <w:rFonts w:ascii="Arial" w:cs="Arial" w:eastAsia="Arial" w:hAnsi="Arial"/>
          <w:sz w:val="19"/>
          <w:szCs w:val="19"/>
          <w:color w:val="auto"/>
        </w:rPr>
        <w:t xml:space="preserve">”), such skipped milestone will be deemed to have been achieved upon the achievement by such Product of the next successive Milestone;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152" w:lineRule="exact"/>
        <w:rPr>
          <w:rFonts w:ascii="Arial" w:cs="Arial" w:eastAsia="Arial" w:hAnsi="Arial"/>
          <w:sz w:val="19"/>
          <w:szCs w:val="19"/>
          <w:color w:val="auto"/>
        </w:rPr>
      </w:pPr>
    </w:p>
    <w:p>
      <w:pPr>
        <w:jc w:val="both"/>
        <w:ind w:left="1720" w:firstLine="664"/>
        <w:spacing w:after="0" w:line="243" w:lineRule="auto"/>
        <w:tabs>
          <w:tab w:leader="none" w:pos="3236" w:val="left"/>
        </w:tabs>
        <w:numPr>
          <w:ilvl w:val="1"/>
          <w:numId w:val="64"/>
        </w:numPr>
        <w:rPr>
          <w:rFonts w:ascii="Arial" w:cs="Arial" w:eastAsia="Arial" w:hAnsi="Arial"/>
          <w:sz w:val="22"/>
          <w:szCs w:val="22"/>
          <w:color w:val="auto"/>
        </w:rPr>
      </w:pPr>
      <w:r>
        <w:rPr>
          <w:rFonts w:ascii="Arial" w:cs="Arial" w:eastAsia="Arial" w:hAnsi="Arial"/>
          <w:sz w:val="22"/>
          <w:szCs w:val="22"/>
          <w:color w:val="auto"/>
        </w:rPr>
        <w:t>with respect to Development Milestones 4, 5, and 6 the “</w:t>
      </w:r>
      <w:r>
        <w:rPr>
          <w:rFonts w:ascii="Arial" w:cs="Arial" w:eastAsia="Arial" w:hAnsi="Arial"/>
          <w:sz w:val="22"/>
          <w:szCs w:val="22"/>
          <w:b w:val="1"/>
          <w:bCs w:val="1"/>
          <w:color w:val="auto"/>
        </w:rPr>
        <w:t>Approval Milestones</w:t>
      </w:r>
      <w:r>
        <w:rPr>
          <w:rFonts w:ascii="Arial" w:cs="Arial" w:eastAsia="Arial" w:hAnsi="Arial"/>
          <w:sz w:val="22"/>
          <w:szCs w:val="22"/>
          <w:color w:val="auto"/>
        </w:rPr>
        <w:t>”), none of the Approval Milestones will be deemed to have been achieved upon the achievement of any other Approval Milestone; and</w:t>
      </w:r>
    </w:p>
    <w:p>
      <w:pPr>
        <w:spacing w:after="0" w:line="182" w:lineRule="exact"/>
        <w:rPr>
          <w:rFonts w:ascii="Arial" w:cs="Arial" w:eastAsia="Arial" w:hAnsi="Arial"/>
          <w:sz w:val="22"/>
          <w:szCs w:val="22"/>
          <w:color w:val="auto"/>
        </w:rPr>
      </w:pPr>
    </w:p>
    <w:p>
      <w:pPr>
        <w:ind w:left="1720" w:firstLine="664"/>
        <w:spacing w:after="0" w:line="250" w:lineRule="auto"/>
        <w:tabs>
          <w:tab w:leader="none" w:pos="3296"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achievement of Development Milestone 4 will result in the deemed achievement of Development Milestone 3 (if not previously achieved).</w:t>
      </w:r>
    </w:p>
    <w:p>
      <w:pPr>
        <w:spacing w:after="0" w:line="175" w:lineRule="exact"/>
        <w:rPr>
          <w:sz w:val="20"/>
          <w:szCs w:val="20"/>
          <w:color w:val="auto"/>
        </w:rPr>
      </w:pPr>
    </w:p>
    <w:p>
      <w:pPr>
        <w:jc w:val="both"/>
        <w:ind w:left="740"/>
        <w:spacing w:after="0" w:line="277" w:lineRule="auto"/>
        <w:rPr>
          <w:sz w:val="20"/>
          <w:szCs w:val="20"/>
          <w:color w:val="auto"/>
        </w:rPr>
      </w:pPr>
      <w:r>
        <w:rPr>
          <w:rFonts w:ascii="Arial" w:cs="Arial" w:eastAsia="Arial" w:hAnsi="Arial"/>
          <w:sz w:val="19"/>
          <w:szCs w:val="19"/>
          <w:color w:val="auto"/>
        </w:rPr>
        <w:t xml:space="preserve">Payment for any such skipped Development Milestones or Preclinical Milestones that is owed in accordance with the provisions of </w:t>
      </w:r>
      <w:r>
        <w:rPr>
          <w:rFonts w:ascii="Arial" w:cs="Arial" w:eastAsia="Arial" w:hAnsi="Arial"/>
          <w:sz w:val="19"/>
          <w:szCs w:val="19"/>
          <w:u w:val="single" w:color="auto"/>
          <w:color w:val="auto"/>
        </w:rPr>
        <w:t>Section 6.3.3</w:t>
      </w:r>
      <w:r>
        <w:rPr>
          <w:rFonts w:ascii="Arial" w:cs="Arial" w:eastAsia="Arial" w:hAnsi="Arial"/>
          <w:sz w:val="19"/>
          <w:szCs w:val="19"/>
          <w:color w:val="auto"/>
        </w:rPr>
        <w:t xml:space="preserve"> (Development Milestones) with respect to a given Product will be due concurrently with the payment for the next successive Development Milestone or Preclinical Milestone by such Product;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 Acquired Product, payment for any such skipped Development Milestones or Preclinical Milestones that is owed in accordance with the provisions of </w:t>
      </w:r>
      <w:r>
        <w:rPr>
          <w:rFonts w:ascii="Arial" w:cs="Arial" w:eastAsia="Arial" w:hAnsi="Arial"/>
          <w:sz w:val="19"/>
          <w:szCs w:val="19"/>
          <w:u w:val="single" w:color="auto"/>
          <w:color w:val="auto"/>
        </w:rPr>
        <w:t>Section 6.3.3</w:t>
      </w:r>
      <w:r>
        <w:rPr>
          <w:rFonts w:ascii="Arial" w:cs="Arial" w:eastAsia="Arial" w:hAnsi="Arial"/>
          <w:sz w:val="19"/>
          <w:szCs w:val="19"/>
          <w:color w:val="auto"/>
        </w:rPr>
        <w:t xml:space="preserve"> (Development Milestones) will be due and payable with respect to such Acquired Product [**] following achievement of the corresponding Preclinical Milestone or Development Milestone.</w:t>
      </w:r>
    </w:p>
    <w:p>
      <w:pPr>
        <w:spacing w:after="0" w:line="146"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b w:val="1"/>
          <w:bCs w:val="1"/>
          <w:u w:val="single" w:color="auto"/>
          <w:color w:val="auto"/>
        </w:rPr>
        <w:t>Royalties</w:t>
      </w:r>
      <w:r>
        <w:rPr>
          <w:rFonts w:ascii="Arial" w:cs="Arial" w:eastAsia="Arial" w:hAnsi="Arial"/>
          <w:sz w:val="19"/>
          <w:szCs w:val="19"/>
          <w:color w:val="auto"/>
        </w:rPr>
        <w:t>.</w:t>
      </w:r>
    </w:p>
    <w:p>
      <w:pPr>
        <w:spacing w:after="0" w:line="206" w:lineRule="exact"/>
        <w:rPr>
          <w:sz w:val="20"/>
          <w:szCs w:val="20"/>
          <w:color w:val="auto"/>
        </w:rPr>
      </w:pPr>
    </w:p>
    <w:p>
      <w:pPr>
        <w:ind w:firstLine="797"/>
        <w:spacing w:after="0" w:line="256" w:lineRule="auto"/>
        <w:rPr>
          <w:sz w:val="20"/>
          <w:szCs w:val="20"/>
          <w:color w:val="auto"/>
        </w:rPr>
      </w:pPr>
      <w:r>
        <w:rPr>
          <w:rFonts w:ascii="Arial" w:cs="Arial" w:eastAsia="Arial" w:hAnsi="Arial"/>
          <w:sz w:val="22"/>
          <w:szCs w:val="22"/>
          <w:color w:val="auto"/>
        </w:rPr>
        <w:t xml:space="preserve">6.4.1. </w:t>
      </w:r>
      <w:r>
        <w:rPr>
          <w:rFonts w:ascii="Arial" w:cs="Arial" w:eastAsia="Arial" w:hAnsi="Arial"/>
          <w:sz w:val="22"/>
          <w:szCs w:val="22"/>
          <w:b w:val="1"/>
          <w:bCs w:val="1"/>
          <w:color w:val="auto"/>
        </w:rPr>
        <w:t>Royalty Rate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6.4.4</w:t>
      </w:r>
      <w:r>
        <w:rPr>
          <w:rFonts w:ascii="Arial" w:cs="Arial" w:eastAsia="Arial" w:hAnsi="Arial"/>
          <w:sz w:val="22"/>
          <w:szCs w:val="22"/>
          <w:color w:val="auto"/>
        </w:rPr>
        <w:t xml:space="preserve"> (Royalty Reductions), on a Product-by-Product basis during the Royalty Term, MyoKardia will pay to Fulcrum royalties based</w:t>
      </w:r>
    </w:p>
    <w:p>
      <w:pPr>
        <w:spacing w:after="0" w:line="16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23" w:name="page124"/>
    <w:bookmarkEnd w:id="123"/>
    <w:p>
      <w:pPr>
        <w:jc w:val="both"/>
        <w:ind w:left="880" w:right="20"/>
        <w:spacing w:after="0" w:line="250" w:lineRule="auto"/>
        <w:rPr>
          <w:sz w:val="20"/>
          <w:szCs w:val="20"/>
          <w:color w:val="auto"/>
        </w:rPr>
      </w:pPr>
      <w:r>
        <w:rPr>
          <w:rFonts w:ascii="Arial" w:cs="Arial" w:eastAsia="Arial" w:hAnsi="Arial"/>
          <w:sz w:val="22"/>
          <w:szCs w:val="22"/>
          <w:color w:val="auto"/>
        </w:rPr>
        <w:t>on the Net Sales in any Calendar Year resulting from the sale of such Product in the Territory at the royalty rates set forth in Table 6.4.1 (the “</w:t>
      </w:r>
      <w:r>
        <w:rPr>
          <w:rFonts w:ascii="Arial" w:cs="Arial" w:eastAsia="Arial" w:hAnsi="Arial"/>
          <w:sz w:val="22"/>
          <w:szCs w:val="22"/>
          <w:b w:val="1"/>
          <w:bCs w:val="1"/>
          <w:color w:val="auto"/>
        </w:rPr>
        <w:t>Royalty Rates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399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3990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6.4.1 – Royalty Rates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8740" w:type="dxa"/>
            <w:vAlign w:val="bottom"/>
            <w:tcBorders>
              <w:top w:val="single" w:sz="8" w:color="auto"/>
              <w:right w:val="single" w:sz="8" w:color="auto"/>
            </w:tcBorders>
          </w:tcPr>
          <w:p>
            <w:pPr>
              <w:ind w:left="1920"/>
              <w:spacing w:after="0"/>
              <w:rPr>
                <w:sz w:val="20"/>
                <w:szCs w:val="20"/>
                <w:color w:val="auto"/>
              </w:rPr>
            </w:pPr>
            <w:r>
              <w:rPr>
                <w:rFonts w:ascii="Arial" w:cs="Arial" w:eastAsia="Arial" w:hAnsi="Arial"/>
                <w:sz w:val="22"/>
                <w:szCs w:val="22"/>
                <w:b w:val="1"/>
                <w:bCs w:val="1"/>
                <w:color w:val="auto"/>
              </w:rPr>
              <w:t>Calendar Year Net Sales of a Product in the Territory</w:t>
            </w: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Royalty Rate</w:t>
            </w:r>
          </w:p>
        </w:tc>
        <w:tc>
          <w:tcPr>
            <w:tcW w:w="0" w:type="dxa"/>
            <w:vAlign w:val="bottom"/>
          </w:tcPr>
          <w:p>
            <w:pPr>
              <w:spacing w:after="0"/>
              <w:rPr>
                <w:sz w:val="1"/>
                <w:szCs w:val="1"/>
                <w:color w:val="auto"/>
              </w:rPr>
            </w:pPr>
          </w:p>
        </w:tc>
      </w:tr>
      <w:tr>
        <w:trPr>
          <w:trHeight w:val="85"/>
        </w:trPr>
        <w:tc>
          <w:tcPr>
            <w:tcW w:w="874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874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w w:val="97"/>
              </w:rPr>
              <w:t>Portion of annual Net Sales of such Product in the Territory that is less than or equal to [**]</w:t>
            </w:r>
          </w:p>
        </w:tc>
        <w:tc>
          <w:tcPr>
            <w:tcW w:w="2500" w:type="dxa"/>
            <w:vAlign w:val="bottom"/>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84"/>
        </w:trPr>
        <w:tc>
          <w:tcPr>
            <w:tcW w:w="874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74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0"/>
              </w:rPr>
              <w:t>Portion of annual Net Sales of such Product in the Territory that is greater than [**], and less than</w:t>
            </w:r>
          </w:p>
        </w:tc>
        <w:tc>
          <w:tcPr>
            <w:tcW w:w="250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53"/>
        </w:trPr>
        <w:tc>
          <w:tcPr>
            <w:tcW w:w="8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color w:val="auto"/>
              </w:rPr>
              <w:t>or equal to [**]</w:t>
            </w: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874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874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0"/>
              </w:rPr>
              <w:t>Portion of annual Net Sales of such Product in the Territory that is greater than [**], and less than</w:t>
            </w:r>
          </w:p>
        </w:tc>
        <w:tc>
          <w:tcPr>
            <w:tcW w:w="250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53"/>
        </w:trPr>
        <w:tc>
          <w:tcPr>
            <w:tcW w:w="8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color w:val="auto"/>
              </w:rPr>
              <w:t>or equal to [**]</w:t>
            </w: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874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874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Portion of annual Net Sales of such Product in the Territory that is greater than [**]</w:t>
            </w:r>
          </w:p>
        </w:tc>
        <w:tc>
          <w:tcPr>
            <w:tcW w:w="2500" w:type="dxa"/>
            <w:vAlign w:val="bottom"/>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84"/>
        </w:trPr>
        <w:tc>
          <w:tcPr>
            <w:tcW w:w="874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880" w:firstLine="797"/>
        <w:spacing w:after="0" w:line="249" w:lineRule="auto"/>
        <w:rPr>
          <w:sz w:val="20"/>
          <w:szCs w:val="20"/>
          <w:color w:val="auto"/>
        </w:rPr>
      </w:pPr>
      <w:r>
        <w:rPr>
          <w:rFonts w:ascii="Arial" w:cs="Arial" w:eastAsia="Arial" w:hAnsi="Arial"/>
          <w:sz w:val="21"/>
          <w:szCs w:val="21"/>
          <w:color w:val="auto"/>
        </w:rPr>
        <w:t xml:space="preserve">6.4.2. </w:t>
      </w:r>
      <w:r>
        <w:rPr>
          <w:rFonts w:ascii="Arial" w:cs="Arial" w:eastAsia="Arial" w:hAnsi="Arial"/>
          <w:sz w:val="21"/>
          <w:szCs w:val="21"/>
          <w:b w:val="1"/>
          <w:bCs w:val="1"/>
          <w:color w:val="auto"/>
        </w:rPr>
        <w:t>Royalty Term</w:t>
      </w:r>
      <w:r>
        <w:rPr>
          <w:rFonts w:ascii="Arial" w:cs="Arial" w:eastAsia="Arial" w:hAnsi="Arial"/>
          <w:sz w:val="21"/>
          <w:szCs w:val="21"/>
          <w:color w:val="auto"/>
        </w:rPr>
        <w:t xml:space="preserve">. On a Product-by-Product and country-by-country basis, upon expiration of the Royalty Term for a Product in a country, (a) no further royalty payments will be payable by MyoKardia in respect of sales of such Product in such country, (b) no further Development Milestone Payments or Sales Milestone Payments will be payable by MyoKardia with respect of development or sales of such product in such country, and (c) the license granted to MyoKardia under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(License Grant to MyoKardia) with respect to such Product in such country will automatically become fully paid-up, perpetual, irrevocable, and royalty-free.</w:t>
      </w:r>
    </w:p>
    <w:p>
      <w:pPr>
        <w:spacing w:after="0" w:line="171" w:lineRule="exact"/>
        <w:rPr>
          <w:sz w:val="20"/>
          <w:szCs w:val="20"/>
          <w:color w:val="auto"/>
        </w:rPr>
      </w:pPr>
    </w:p>
    <w:p>
      <w:pPr>
        <w:jc w:val="both"/>
        <w:ind w:left="880" w:firstLine="797"/>
        <w:spacing w:after="0" w:line="300" w:lineRule="auto"/>
        <w:rPr>
          <w:sz w:val="20"/>
          <w:szCs w:val="20"/>
          <w:color w:val="auto"/>
        </w:rPr>
      </w:pPr>
      <w:r>
        <w:rPr>
          <w:rFonts w:ascii="Arial" w:cs="Arial" w:eastAsia="Arial" w:hAnsi="Arial"/>
          <w:sz w:val="19"/>
          <w:szCs w:val="19"/>
          <w:color w:val="auto"/>
        </w:rPr>
        <w:t xml:space="preserve">6.4.3. </w:t>
      </w:r>
      <w:r>
        <w:rPr>
          <w:rFonts w:ascii="Arial" w:cs="Arial" w:eastAsia="Arial" w:hAnsi="Arial"/>
          <w:sz w:val="19"/>
          <w:szCs w:val="19"/>
          <w:b w:val="1"/>
          <w:bCs w:val="1"/>
          <w:color w:val="auto"/>
        </w:rPr>
        <w:t>Only One Royalty</w:t>
      </w:r>
      <w:r>
        <w:rPr>
          <w:rFonts w:ascii="Arial" w:cs="Arial" w:eastAsia="Arial" w:hAnsi="Arial"/>
          <w:sz w:val="19"/>
          <w:szCs w:val="19"/>
          <w:color w:val="auto"/>
        </w:rPr>
        <w:t>. Only one royalty will be due with respect to the sale of the same unit of Product. Only one royalty will be due hereunder on the sale of a Product even if the manufacture, use, sale, offer for sale, importation or exportation of such Product infringes more than one Valid Claim of a Fulcrum Patent Right.</w:t>
      </w:r>
    </w:p>
    <w:p>
      <w:pPr>
        <w:spacing w:after="0" w:line="126" w:lineRule="exact"/>
        <w:rPr>
          <w:sz w:val="20"/>
          <w:szCs w:val="20"/>
          <w:color w:val="auto"/>
        </w:rPr>
      </w:pPr>
    </w:p>
    <w:p>
      <w:pPr>
        <w:ind w:left="1660"/>
        <w:spacing w:after="0"/>
        <w:tabs>
          <w:tab w:leader="none" w:pos="2780" w:val="left"/>
        </w:tabs>
        <w:rPr>
          <w:sz w:val="20"/>
          <w:szCs w:val="20"/>
          <w:color w:val="auto"/>
        </w:rPr>
      </w:pPr>
      <w:r>
        <w:rPr>
          <w:rFonts w:ascii="Arial" w:cs="Arial" w:eastAsia="Arial" w:hAnsi="Arial"/>
          <w:sz w:val="22"/>
          <w:szCs w:val="22"/>
          <w:color w:val="auto"/>
        </w:rPr>
        <w:t>6.4.4.</w:t>
      </w:r>
      <w:r>
        <w:rPr>
          <w:sz w:val="20"/>
          <w:szCs w:val="20"/>
          <w:color w:val="auto"/>
        </w:rPr>
        <w:tab/>
      </w:r>
      <w:r>
        <w:rPr>
          <w:rFonts w:ascii="Arial" w:cs="Arial" w:eastAsia="Arial" w:hAnsi="Arial"/>
          <w:sz w:val="19"/>
          <w:szCs w:val="19"/>
          <w:b w:val="1"/>
          <w:bCs w:val="1"/>
          <w:color w:val="auto"/>
        </w:rPr>
        <w:t>Royalty Reductions</w:t>
      </w:r>
      <w:r>
        <w:rPr>
          <w:rFonts w:ascii="Arial" w:cs="Arial" w:eastAsia="Arial" w:hAnsi="Arial"/>
          <w:sz w:val="19"/>
          <w:szCs w:val="19"/>
          <w:color w:val="auto"/>
        </w:rPr>
        <w:t>.</w:t>
      </w:r>
    </w:p>
    <w:p>
      <w:pPr>
        <w:spacing w:after="0" w:line="212" w:lineRule="exact"/>
        <w:rPr>
          <w:sz w:val="20"/>
          <w:szCs w:val="20"/>
          <w:color w:val="auto"/>
        </w:rPr>
      </w:pPr>
    </w:p>
    <w:p>
      <w:pPr>
        <w:jc w:val="both"/>
        <w:ind w:left="1740" w:firstLine="726"/>
        <w:spacing w:after="0" w:line="236" w:lineRule="auto"/>
        <w:tabs>
          <w:tab w:leader="none" w:pos="3358"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Valid Claim Adjustment</w:t>
      </w:r>
      <w:r>
        <w:rPr>
          <w:rFonts w:ascii="Arial" w:cs="Arial" w:eastAsia="Arial" w:hAnsi="Arial"/>
          <w:sz w:val="22"/>
          <w:szCs w:val="22"/>
          <w:color w:val="auto"/>
        </w:rPr>
        <w:t>. On a Product-by-Product and country-by-country basis, in the</w:t>
      </w:r>
      <w:r>
        <w:rPr>
          <w:rFonts w:ascii="Arial" w:cs="Arial" w:eastAsia="Arial" w:hAnsi="Arial"/>
          <w:sz w:val="22"/>
          <w:szCs w:val="22"/>
          <w:i w:val="1"/>
          <w:iCs w:val="1"/>
          <w:color w:val="auto"/>
        </w:rPr>
        <w:t xml:space="preserve"> </w:t>
      </w:r>
      <w:r>
        <w:rPr>
          <w:rFonts w:ascii="Arial" w:cs="Arial" w:eastAsia="Arial" w:hAnsi="Arial"/>
          <w:sz w:val="22"/>
          <w:szCs w:val="22"/>
          <w:color w:val="auto"/>
        </w:rPr>
        <w:t>event that during the Royalty Term there is no Valid Claim of a Fulcrum Patent Right Covering such Product in such country, then, commencing with the first Calendar Quarter there is no Valid Claim of a Fulcrum Patent Right Covering such Product in such country, the applicable Royalty Rate for such Product in such country will be reduced by [**].</w:t>
      </w:r>
    </w:p>
    <w:p>
      <w:pPr>
        <w:spacing w:after="0" w:line="187" w:lineRule="exact"/>
        <w:rPr>
          <w:rFonts w:ascii="Arial" w:cs="Arial" w:eastAsia="Arial" w:hAnsi="Arial"/>
          <w:sz w:val="22"/>
          <w:szCs w:val="22"/>
          <w:color w:val="auto"/>
        </w:rPr>
      </w:pPr>
    </w:p>
    <w:p>
      <w:pPr>
        <w:jc w:val="both"/>
        <w:ind w:left="1740" w:firstLine="726"/>
        <w:spacing w:after="0" w:line="248" w:lineRule="auto"/>
        <w:tabs>
          <w:tab w:leader="none" w:pos="3371" w:val="left"/>
        </w:tabs>
        <w:numPr>
          <w:ilvl w:val="0"/>
          <w:numId w:val="65"/>
        </w:numPr>
        <w:rPr>
          <w:rFonts w:ascii="Arial" w:cs="Arial" w:eastAsia="Arial" w:hAnsi="Arial"/>
          <w:sz w:val="21"/>
          <w:szCs w:val="21"/>
          <w:color w:val="auto"/>
        </w:rPr>
      </w:pPr>
      <w:r>
        <w:rPr>
          <w:rFonts w:ascii="Arial" w:cs="Arial" w:eastAsia="Arial" w:hAnsi="Arial"/>
          <w:sz w:val="21"/>
          <w:szCs w:val="21"/>
          <w:i w:val="1"/>
          <w:iCs w:val="1"/>
          <w:color w:val="auto"/>
        </w:rPr>
        <w:t>Reduction for Generic Competition</w:t>
      </w:r>
      <w:r>
        <w:rPr>
          <w:rFonts w:ascii="Arial" w:cs="Arial" w:eastAsia="Arial" w:hAnsi="Arial"/>
          <w:sz w:val="21"/>
          <w:szCs w:val="21"/>
          <w:color w:val="auto"/>
        </w:rPr>
        <w:t>. Subject to</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6.4.4(d)</w:t>
      </w:r>
      <w:r>
        <w:rPr>
          <w:rFonts w:ascii="Arial" w:cs="Arial" w:eastAsia="Arial" w:hAnsi="Arial"/>
          <w:sz w:val="21"/>
          <w:szCs w:val="21"/>
          <w:i w:val="1"/>
          <w:iCs w:val="1"/>
          <w:color w:val="auto"/>
        </w:rPr>
        <w:t xml:space="preserve"> </w:t>
      </w:r>
      <w:r>
        <w:rPr>
          <w:rFonts w:ascii="Arial" w:cs="Arial" w:eastAsia="Arial" w:hAnsi="Arial"/>
          <w:sz w:val="21"/>
          <w:szCs w:val="21"/>
          <w:color w:val="auto"/>
        </w:rPr>
        <w:t>(Cumulative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Adjustments), on a Product-by-Product basis, in the event of Loss of Market Exclusivity with respect to a Product in a country, as from the first Calendar Quarter this </w:t>
      </w:r>
      <w:r>
        <w:rPr>
          <w:rFonts w:ascii="Arial" w:cs="Arial" w:eastAsia="Arial" w:hAnsi="Arial"/>
          <w:sz w:val="21"/>
          <w:szCs w:val="21"/>
          <w:u w:val="single" w:color="auto"/>
          <w:color w:val="auto"/>
        </w:rPr>
        <w:t>Section 6.4.4(b)</w:t>
      </w:r>
      <w:r>
        <w:rPr>
          <w:rFonts w:ascii="Arial" w:cs="Arial" w:eastAsia="Arial" w:hAnsi="Arial"/>
          <w:sz w:val="21"/>
          <w:szCs w:val="21"/>
          <w:color w:val="auto"/>
        </w:rPr>
        <w:t xml:space="preserve"> (Reduction for Generic Competition) applies, the applicable Royalty Rate pursuant to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(Royalty Rate) for annual Net Sales of such Product otherwise due in such country will be reduced by [**] where there is a Loss of Market Exclusivity for such Product in such Calendar Quarter in such country.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4" w:name="page125"/>
    <w:bookmarkEnd w:id="124"/>
    <w:p>
      <w:pPr>
        <w:jc w:val="both"/>
        <w:ind w:left="1740" w:firstLine="726"/>
        <w:spacing w:after="0" w:line="275" w:lineRule="auto"/>
        <w:tabs>
          <w:tab w:leader="none" w:pos="3358"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Third Party Obligations</w:t>
      </w:r>
      <w:r>
        <w:rPr>
          <w:rFonts w:ascii="Arial" w:cs="Arial" w:eastAsia="Arial" w:hAnsi="Arial"/>
          <w:sz w:val="19"/>
          <w:szCs w:val="19"/>
          <w:color w:val="auto"/>
        </w:rPr>
        <w:t>. 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6.4.4(d)</w:t>
      </w:r>
      <w:r>
        <w:rPr>
          <w:rFonts w:ascii="Arial" w:cs="Arial" w:eastAsia="Arial" w:hAnsi="Arial"/>
          <w:sz w:val="19"/>
          <w:szCs w:val="19"/>
          <w:i w:val="1"/>
          <w:iCs w:val="1"/>
          <w:color w:val="auto"/>
        </w:rPr>
        <w:t xml:space="preserve"> </w:t>
      </w:r>
      <w:r>
        <w:rPr>
          <w:rFonts w:ascii="Arial" w:cs="Arial" w:eastAsia="Arial" w:hAnsi="Arial"/>
          <w:sz w:val="19"/>
          <w:szCs w:val="19"/>
          <w:color w:val="auto"/>
        </w:rPr>
        <w:t>(Cumulative Adjustments),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event that MyoKardia determines that patents owned or controlled by a Third Party would be necessary or useful for the development or commercialization of any Product under this Agreement, MyoKardia may deduct [**] of any royalties paid by MyoKardia to such Third Party for sales of such Product thereunder in a given Calendar Quarter in a particular country against the royalties due and payable by MyoKardia to Fulcrum on the Net Sales for such Product in such Calendar Quarter in such country. For clarity, such deduction would be on a Product-by-Product basis (i.e., Third Party royalties by MyoKardia paid with respect to a Product would be stackable only against royalties for the same Product).</w:t>
      </w:r>
    </w:p>
    <w:p>
      <w:pPr>
        <w:spacing w:after="0" w:line="157" w:lineRule="exact"/>
        <w:rPr>
          <w:rFonts w:ascii="Arial" w:cs="Arial" w:eastAsia="Arial" w:hAnsi="Arial"/>
          <w:sz w:val="19"/>
          <w:szCs w:val="19"/>
          <w:color w:val="auto"/>
        </w:rPr>
      </w:pPr>
    </w:p>
    <w:p>
      <w:pPr>
        <w:jc w:val="both"/>
        <w:ind w:left="1740" w:firstLine="726"/>
        <w:spacing w:after="0" w:line="274" w:lineRule="auto"/>
        <w:tabs>
          <w:tab w:leader="none" w:pos="3371"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Cumulative Adjustments</w:t>
      </w:r>
      <w:r>
        <w:rPr>
          <w:rFonts w:ascii="Arial" w:cs="Arial" w:eastAsia="Arial" w:hAnsi="Arial"/>
          <w:sz w:val="19"/>
          <w:szCs w:val="19"/>
          <w:color w:val="auto"/>
        </w:rPr>
        <w:t>. The provisions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6.4.4(a)</w:t>
      </w:r>
      <w:r>
        <w:rPr>
          <w:rFonts w:ascii="Arial" w:cs="Arial" w:eastAsia="Arial" w:hAnsi="Arial"/>
          <w:sz w:val="19"/>
          <w:szCs w:val="19"/>
          <w:i w:val="1"/>
          <w:iCs w:val="1"/>
          <w:color w:val="auto"/>
        </w:rPr>
        <w:t xml:space="preserve"> </w:t>
      </w:r>
      <w:r>
        <w:rPr>
          <w:rFonts w:ascii="Arial" w:cs="Arial" w:eastAsia="Arial" w:hAnsi="Arial"/>
          <w:sz w:val="19"/>
          <w:szCs w:val="19"/>
          <w:color w:val="auto"/>
        </w:rPr>
        <w:t>(Valid Claim Adjustment),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6.4.4(b)</w:t>
      </w:r>
      <w:r>
        <w:rPr>
          <w:rFonts w:ascii="Arial" w:cs="Arial" w:eastAsia="Arial" w:hAnsi="Arial"/>
          <w:sz w:val="19"/>
          <w:szCs w:val="19"/>
          <w:color w:val="auto"/>
        </w:rPr>
        <w:t xml:space="preserve"> (Reduction for Generic Competition), and </w:t>
      </w:r>
      <w:r>
        <w:rPr>
          <w:rFonts w:ascii="Arial" w:cs="Arial" w:eastAsia="Arial" w:hAnsi="Arial"/>
          <w:sz w:val="19"/>
          <w:szCs w:val="19"/>
          <w:u w:val="single" w:color="auto"/>
          <w:color w:val="auto"/>
        </w:rPr>
        <w:t>6.4.4(c)</w:t>
      </w:r>
      <w:r>
        <w:rPr>
          <w:rFonts w:ascii="Arial" w:cs="Arial" w:eastAsia="Arial" w:hAnsi="Arial"/>
          <w:sz w:val="19"/>
          <w:szCs w:val="19"/>
          <w:color w:val="auto"/>
        </w:rPr>
        <w:t xml:space="preserve"> (Third Party Obligations) are cumulative;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on a country-by-country and Product-by-Product basis, in no event will the royalty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reductions for a Product permitted under </w:t>
      </w:r>
      <w:r>
        <w:rPr>
          <w:rFonts w:ascii="Arial" w:cs="Arial" w:eastAsia="Arial" w:hAnsi="Arial"/>
          <w:sz w:val="19"/>
          <w:szCs w:val="19"/>
          <w:u w:val="single" w:color="auto"/>
          <w:color w:val="auto"/>
        </w:rPr>
        <w:t>Sections 6.4.4(a)</w:t>
      </w:r>
      <w:r>
        <w:rPr>
          <w:rFonts w:ascii="Arial" w:cs="Arial" w:eastAsia="Arial" w:hAnsi="Arial"/>
          <w:sz w:val="19"/>
          <w:szCs w:val="19"/>
          <w:color w:val="auto"/>
        </w:rPr>
        <w:t xml:space="preserve"> (Valid Claim Adjustment), </w:t>
      </w:r>
      <w:r>
        <w:rPr>
          <w:rFonts w:ascii="Arial" w:cs="Arial" w:eastAsia="Arial" w:hAnsi="Arial"/>
          <w:sz w:val="19"/>
          <w:szCs w:val="19"/>
          <w:u w:val="single" w:color="auto"/>
          <w:color w:val="auto"/>
        </w:rPr>
        <w:t>6.4.4(b)</w:t>
      </w:r>
      <w:r>
        <w:rPr>
          <w:rFonts w:ascii="Arial" w:cs="Arial" w:eastAsia="Arial" w:hAnsi="Arial"/>
          <w:sz w:val="19"/>
          <w:szCs w:val="19"/>
          <w:color w:val="auto"/>
        </w:rPr>
        <w:t xml:space="preserve"> (Reduction for Generic Competition), or </w:t>
      </w:r>
      <w:r>
        <w:rPr>
          <w:rFonts w:ascii="Arial" w:cs="Arial" w:eastAsia="Arial" w:hAnsi="Arial"/>
          <w:sz w:val="19"/>
          <w:szCs w:val="19"/>
          <w:u w:val="single" w:color="auto"/>
          <w:color w:val="auto"/>
        </w:rPr>
        <w:t>6.4.4(c)</w:t>
      </w:r>
      <w:r>
        <w:rPr>
          <w:rFonts w:ascii="Arial" w:cs="Arial" w:eastAsia="Arial" w:hAnsi="Arial"/>
          <w:sz w:val="19"/>
          <w:szCs w:val="19"/>
          <w:color w:val="auto"/>
        </w:rPr>
        <w:t xml:space="preserve"> (Third Party Obligations), alone or together, reduce the royalties due to Fulcrum for such Product pursuant to </w:t>
      </w:r>
      <w:r>
        <w:rPr>
          <w:rFonts w:ascii="Arial" w:cs="Arial" w:eastAsia="Arial" w:hAnsi="Arial"/>
          <w:sz w:val="19"/>
          <w:szCs w:val="19"/>
          <w:u w:val="single" w:color="auto"/>
          <w:color w:val="auto"/>
        </w:rPr>
        <w:t>Section 6.4.1</w:t>
      </w:r>
      <w:r>
        <w:rPr>
          <w:rFonts w:ascii="Arial" w:cs="Arial" w:eastAsia="Arial" w:hAnsi="Arial"/>
          <w:sz w:val="19"/>
          <w:szCs w:val="19"/>
          <w:color w:val="auto"/>
        </w:rPr>
        <w:t xml:space="preserve"> (Royalty Rates) in a country in a given Calendar Quarter by more than (i) if such Product is not a New Modality, [**] of the applicable royalties that would otherwise be owed on the Net Sales of such Product or (ii) if such Product is a New Modality, [**] of the applicable royalties that would otherwise be owed on the Net Sales of such Product.</w:t>
      </w:r>
    </w:p>
    <w:p>
      <w:pPr>
        <w:spacing w:after="0" w:line="158" w:lineRule="exact"/>
        <w:rPr>
          <w:sz w:val="20"/>
          <w:szCs w:val="20"/>
          <w:color w:val="auto"/>
        </w:rPr>
      </w:pPr>
    </w:p>
    <w:p>
      <w:pPr>
        <w:ind w:left="1660"/>
        <w:spacing w:after="0"/>
        <w:tabs>
          <w:tab w:leader="none" w:pos="2780" w:val="left"/>
        </w:tabs>
        <w:rPr>
          <w:sz w:val="20"/>
          <w:szCs w:val="20"/>
          <w:color w:val="auto"/>
        </w:rPr>
      </w:pPr>
      <w:r>
        <w:rPr>
          <w:rFonts w:ascii="Arial" w:cs="Arial" w:eastAsia="Arial" w:hAnsi="Arial"/>
          <w:sz w:val="22"/>
          <w:szCs w:val="22"/>
          <w:color w:val="auto"/>
        </w:rPr>
        <w:t>6.4.5.</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jc w:val="both"/>
        <w:ind w:left="880" w:firstLine="797"/>
        <w:spacing w:after="0" w:line="273" w:lineRule="auto"/>
        <w:rPr>
          <w:sz w:val="20"/>
          <w:szCs w:val="20"/>
          <w:color w:val="auto"/>
        </w:rPr>
      </w:pPr>
      <w:r>
        <w:rPr>
          <w:rFonts w:ascii="Arial" w:cs="Arial" w:eastAsia="Arial" w:hAnsi="Arial"/>
          <w:sz w:val="19"/>
          <w:szCs w:val="19"/>
          <w:color w:val="auto"/>
        </w:rPr>
        <w:t xml:space="preserve">6.4.6. </w:t>
      </w:r>
      <w:r>
        <w:rPr>
          <w:rFonts w:ascii="Arial" w:cs="Arial" w:eastAsia="Arial" w:hAnsi="Arial"/>
          <w:sz w:val="19"/>
          <w:szCs w:val="19"/>
          <w:b w:val="1"/>
          <w:bCs w:val="1"/>
          <w:color w:val="auto"/>
        </w:rPr>
        <w:t>Royalty Reports</w:t>
      </w:r>
      <w:r>
        <w:rPr>
          <w:rFonts w:ascii="Arial" w:cs="Arial" w:eastAsia="Arial" w:hAnsi="Arial"/>
          <w:sz w:val="19"/>
          <w:szCs w:val="19"/>
          <w:color w:val="auto"/>
        </w:rPr>
        <w:t>. Following the first sale of a Product giving rise to Net Sales and continuing for the remainder of the Royalty Term, (a) within [**] after the end of each Calendar Quarter, MyoKardia will deliver a report to Fulcrum specifying on a Product-by-Product and country-by-country basis, MyoKardia’s preliminary, non-binding, good faith estimates of the royalties payable to Fulcrum on Net Sales of such Products in such countries, and</w:t>
      </w:r>
    </w:p>
    <w:p>
      <w:pPr>
        <w:spacing w:after="0" w:line="2" w:lineRule="exact"/>
        <w:rPr>
          <w:sz w:val="20"/>
          <w:szCs w:val="20"/>
          <w:color w:val="auto"/>
        </w:rPr>
      </w:pPr>
    </w:p>
    <w:p>
      <w:pPr>
        <w:jc w:val="both"/>
        <w:ind w:left="880" w:hanging="8"/>
        <w:spacing w:after="0" w:line="272" w:lineRule="auto"/>
        <w:tabs>
          <w:tab w:leader="none" w:pos="1211"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within [**] after the end of each Calendar Quarter, MyoKardia will deliver a report to Fulcrum specifying on a Product-by-Product and country-by-country basis: (i) Net Sales in the relevant Calendar Quarter; (ii) to the extent such Net Sales include sales not denoted in Dollars, a summary of the then-current exchange rate methodology then in use by MyoKardia; (iii) a calculation of any adjustments to such royalties under </w:t>
      </w:r>
      <w:r>
        <w:rPr>
          <w:rFonts w:ascii="Arial" w:cs="Arial" w:eastAsia="Arial" w:hAnsi="Arial"/>
          <w:sz w:val="19"/>
          <w:szCs w:val="19"/>
          <w:u w:val="single" w:color="auto"/>
          <w:color w:val="auto"/>
        </w:rPr>
        <w:t>Section 6.4.4(a)</w:t>
      </w:r>
      <w:r>
        <w:rPr>
          <w:rFonts w:ascii="Arial" w:cs="Arial" w:eastAsia="Arial" w:hAnsi="Arial"/>
          <w:sz w:val="19"/>
          <w:szCs w:val="19"/>
          <w:color w:val="auto"/>
        </w:rPr>
        <w:t xml:space="preserve"> (Valid Claim Adjustment); (iv) the applicable Cardiomyopathy Milestone Target(s) directed against such Product and the applicable Royalty Rate(s) under this Agreement for such Net Sales; and (v) a calculation of the final royalties payable on such Net Sales. All royalty payments due under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(Royalties) for each Calendar Quarter will be due and payable within [**] after the end of each Calendar Quarter. MyoKardia’s reports delivered to Fulcrum under this </w:t>
      </w:r>
      <w:r>
        <w:rPr>
          <w:rFonts w:ascii="Arial" w:cs="Arial" w:eastAsia="Arial" w:hAnsi="Arial"/>
          <w:sz w:val="19"/>
          <w:szCs w:val="19"/>
          <w:u w:val="single" w:color="auto"/>
          <w:color w:val="auto"/>
        </w:rPr>
        <w:t>Section 6.4.6</w:t>
      </w:r>
      <w:r>
        <w:rPr>
          <w:rFonts w:ascii="Arial" w:cs="Arial" w:eastAsia="Arial" w:hAnsi="Arial"/>
          <w:sz w:val="19"/>
          <w:szCs w:val="19"/>
          <w:color w:val="auto"/>
        </w:rPr>
        <w:t xml:space="preserve"> (Royalty Reports) will be MyoKardia’s Confidential Information under this Agreement.</w:t>
      </w:r>
    </w:p>
    <w:p>
      <w:pPr>
        <w:spacing w:after="0" w:line="150"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u w:val="single" w:color="auto"/>
          <w:color w:val="auto"/>
        </w:rPr>
        <w:t>Payment Terms; Blocked Payments</w:t>
      </w:r>
      <w:r>
        <w:rPr>
          <w:rFonts w:ascii="Arial" w:cs="Arial" w:eastAsia="Arial" w:hAnsi="Arial"/>
          <w:sz w:val="22"/>
          <w:szCs w:val="22"/>
          <w:color w:val="auto"/>
        </w:rPr>
        <w:t>. All payments under this Agreement will be paid in Dollars, by wire transfer to an account designated by Fulcrum (which account Fulcrum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5" w:name="page126"/>
    <w:bookmarkEnd w:id="125"/>
    <w:p>
      <w:pPr>
        <w:jc w:val="both"/>
        <w:spacing w:after="0" w:line="248" w:lineRule="auto"/>
        <w:rPr>
          <w:sz w:val="20"/>
          <w:szCs w:val="20"/>
          <w:color w:val="auto"/>
        </w:rPr>
      </w:pPr>
      <w:r>
        <w:rPr>
          <w:rFonts w:ascii="Arial" w:cs="Arial" w:eastAsia="Arial" w:hAnsi="Arial"/>
          <w:sz w:val="21"/>
          <w:szCs w:val="21"/>
          <w:color w:val="auto"/>
        </w:rPr>
        <w:t>may update from time to time in writing). In the case of Net Sales made by MyoKardia and its Affiliates or Licensees in currencies other than Dollars, the rate of exchange to be used in computing the amount of Dollars due for royalty payments will be the rate of exchange utilized by MyoKardia in its worldwide accounting system and calculated in accordance with GAAP. If, by reason of Applicable Laws or regulations in any country, it becomes impossible or illegal for MyoKardia to transfer, or have transferred on its behalf, royalties or other payments to Fulcrum, such payments will be made in any such country in local currency in such country by deposit in a local bank designated by Fulcrum.</w:t>
      </w:r>
    </w:p>
    <w:p>
      <w:pPr>
        <w:spacing w:after="0" w:line="171"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b w:val="1"/>
          <w:bCs w:val="1"/>
          <w:u w:val="single" w:color="auto"/>
          <w:color w:val="auto"/>
        </w:rPr>
        <w:t>Withholding Taxes</w:t>
      </w:r>
      <w:r>
        <w:rPr>
          <w:rFonts w:ascii="Arial" w:cs="Arial" w:eastAsia="Arial" w:hAnsi="Arial"/>
          <w:sz w:val="22"/>
          <w:szCs w:val="22"/>
          <w:color w:val="auto"/>
        </w:rPr>
        <w:t>. If MyoKardia concludes Withholding Taxes are required under the laws of any country within the Territory with respect to payments to Fulcrum, MyoKardia will withhold the required amount and pay it to the appropriate Governmental Authority. In any such case, MyoKardia will promptly provide Fulcrum with original receipts or other evidence and cooperation as reasonably desirable and sufficient to allow Fulcrum to document such Withholding Taxes for purposes of claiming foreign tax credits and similar benefits.</w:t>
      </w:r>
    </w:p>
    <w:p>
      <w:pPr>
        <w:spacing w:after="0" w:line="18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b w:val="1"/>
          <w:bCs w:val="1"/>
          <w:u w:val="single" w:color="auto"/>
          <w:color w:val="auto"/>
        </w:rPr>
        <w:t>Records; Audits</w:t>
      </w:r>
      <w:r>
        <w:rPr>
          <w:rFonts w:ascii="Arial" w:cs="Arial" w:eastAsia="Arial" w:hAnsi="Arial"/>
          <w:sz w:val="19"/>
          <w:szCs w:val="19"/>
          <w:color w:val="auto"/>
        </w:rPr>
        <w:t xml:space="preserve">. The Parties will (and will cause their respective Affiliates and sublicensees to) at all times keep and maintain accurate and complete records regarding, in the case of MyoKardia, Net Sales during [**], and in the case of Fulcrum, any costs for Fulcrum FTEs or Out-of-Pocket Expenses covered by the initial prepaid research funding or reimbursed by MyoKardia pursuant to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(Research Funding). Upon [**] prior written notice from the auditing Party, the non-auditing Party will (and will cause its Affiliates and sublicensees to) permit an independent certified public accounting firm of internationally recognized standing, selected by the auditing Party and reasonably acceptable to the non-auditing Party, to examine the relevant books and records of the non-auditing Party, its Affiliates, and sublicensees, as may be reasonably necessary to verify, in the case of MyoKardia, the royalty reports submitted by MyoKardia in accordance with </w:t>
      </w:r>
      <w:r>
        <w:rPr>
          <w:rFonts w:ascii="Arial" w:cs="Arial" w:eastAsia="Arial" w:hAnsi="Arial"/>
          <w:sz w:val="19"/>
          <w:szCs w:val="19"/>
          <w:u w:val="single" w:color="auto"/>
          <w:color w:val="auto"/>
        </w:rPr>
        <w:t>Section 6.4.6</w:t>
      </w:r>
      <w:r>
        <w:rPr>
          <w:rFonts w:ascii="Arial" w:cs="Arial" w:eastAsia="Arial" w:hAnsi="Arial"/>
          <w:sz w:val="19"/>
          <w:szCs w:val="19"/>
          <w:color w:val="auto"/>
        </w:rPr>
        <w:t xml:space="preserve"> (Royalty Reports), and in the case of Fulcrum, the invoices submitted by Fulcrum in accordance with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(Research Funding). An examination by either Party under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(Records; Audits) will occur not more than once in any Calendar Year and will be limited to the pertinent books and records for any Calendar Year ending not more than [**] before the date of the request. Further, a Party’s (or its Affiliates’ or sublicensees’) books of records for any Calendar Year may be examined [**]. The accounting firm will be provided access to such books and records at the facility or facilities where such books and records are normally kept and such examination will be conducted during normal business hours. The non-auditing Party (or any Affiliate or sublicensee) may require the accounting firm to sign a customary non-disclosure agreement before providing the accounting firm access to its facilities or records. Upon completion of the audit, the accounting firm will provide both Fulcrum and MyoKardia a written report disclosing whether, in the case of MyoKardia, the reports submitted by MyoKardia, or in the case of Fulcrum, the invoices submitted by Fulcrum, are correct or incorrect and the specific details concerning any discrepancies. If any report submitted by MyoKardia or invoice submitted by Fulcrum results in an underpayment or overpayment, the Party owing the underpaid or overpaid amount will promptly pay such amount to the other Party with interest calculated in accordance with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(Late Payment). The costs and fees of any audit conducted by a Party under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(Records; Audits) will be borne by the auditing Party, unless, in the case of an audit conducted by Fulcrum, such audit reveals an underpayment of amounts owed to Fulcrum of more than [**] of the amount that was owed by MyoKardia, or in the case of an audit conducted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6" w:name="page127"/>
    <w:bookmarkEnd w:id="126"/>
    <w:p>
      <w:pPr>
        <w:jc w:val="both"/>
        <w:spacing w:after="0" w:line="238" w:lineRule="auto"/>
        <w:rPr>
          <w:sz w:val="20"/>
          <w:szCs w:val="20"/>
          <w:color w:val="auto"/>
        </w:rPr>
      </w:pPr>
      <w:r>
        <w:rPr>
          <w:rFonts w:ascii="Arial" w:cs="Arial" w:eastAsia="Arial" w:hAnsi="Arial"/>
          <w:sz w:val="22"/>
          <w:szCs w:val="22"/>
          <w:color w:val="auto"/>
        </w:rPr>
        <w:t xml:space="preserve">by MyoKardia, such audit reveals an overpayment of amounts owed to Fulcrum of more than [**] of the amount that was properly payable by MyoKardia in accordance with </w:t>
      </w:r>
      <w:r>
        <w:rPr>
          <w:rFonts w:ascii="Arial" w:cs="Arial" w:eastAsia="Arial" w:hAnsi="Arial"/>
          <w:sz w:val="22"/>
          <w:szCs w:val="22"/>
          <w:u w:val="single" w:color="auto"/>
          <w:color w:val="auto"/>
        </w:rPr>
        <w:t>Section 3.8</w:t>
      </w:r>
      <w:r>
        <w:rPr>
          <w:rFonts w:ascii="Arial" w:cs="Arial" w:eastAsia="Arial" w:hAnsi="Arial"/>
          <w:sz w:val="22"/>
          <w:szCs w:val="22"/>
          <w:color w:val="auto"/>
        </w:rPr>
        <w:t xml:space="preserve"> (Research Funding), </w:t>
      </w:r>
      <w:r>
        <w:rPr>
          <w:rFonts w:ascii="Arial" w:cs="Arial" w:eastAsia="Arial" w:hAnsi="Arial"/>
          <w:sz w:val="22"/>
          <w:szCs w:val="22"/>
          <w:u w:val="single" w:color="auto"/>
          <w:color w:val="auto"/>
        </w:rPr>
        <w:t>in either case</w:t>
      </w:r>
      <w:r>
        <w:rPr>
          <w:rFonts w:ascii="Arial" w:cs="Arial" w:eastAsia="Arial" w:hAnsi="Arial"/>
          <w:sz w:val="22"/>
          <w:szCs w:val="22"/>
          <w:color w:val="auto"/>
        </w:rPr>
        <w:t>, with respect to the relevant Calendar Year, in which case, the non-auditing Party will reimburse the auditing Party for the reasonable expense incurred by the auditing Party in connection with the audit.</w:t>
      </w:r>
    </w:p>
    <w:p>
      <w:pPr>
        <w:spacing w:after="0" w:line="179"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b w:val="1"/>
          <w:bCs w:val="1"/>
          <w:u w:val="single" w:color="auto"/>
          <w:color w:val="auto"/>
        </w:rPr>
        <w:t>Late Payment</w:t>
      </w:r>
      <w:r>
        <w:rPr>
          <w:rFonts w:ascii="Arial" w:cs="Arial" w:eastAsia="Arial" w:hAnsi="Arial"/>
          <w:sz w:val="22"/>
          <w:szCs w:val="22"/>
          <w:color w:val="auto"/>
        </w:rPr>
        <w:t>. Any undisputed payments or portions thereof due hereunder that are not paid when due will accrue interest from the date due until paid at [**] above the Prime Rate of interest as reported in the Wall Street Journal (or if the Wall Street Journal no longer quotes such rate, as reported in another source mutually agreed by the Parties) on the date payment is due, compounded daily, but not to exceed the maximum permitted by Applicable Law. Any such overdue payment when made will be accompanied by all interest so accrued.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18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u w:val="single" w:color="auto"/>
          <w:color w:val="auto"/>
        </w:rPr>
        <w:t>Ownership of Technology</w:t>
      </w:r>
      <w:r>
        <w:rPr>
          <w:rFonts w:ascii="Arial" w:cs="Arial" w:eastAsia="Arial" w:hAnsi="Arial"/>
          <w:sz w:val="22"/>
          <w:szCs w:val="22"/>
          <w:color w:val="auto"/>
        </w:rPr>
        <w:t>. Notwithstanding any provision of this Agreement to the contrary, as between the Parties:</w:t>
      </w:r>
    </w:p>
    <w:p>
      <w:pPr>
        <w:spacing w:after="0" w:line="168" w:lineRule="exact"/>
        <w:rPr>
          <w:sz w:val="20"/>
          <w:szCs w:val="20"/>
          <w:color w:val="auto"/>
        </w:rPr>
      </w:pPr>
    </w:p>
    <w:p>
      <w:pPr>
        <w:jc w:val="both"/>
        <w:ind w:left="880" w:firstLine="797"/>
        <w:spacing w:after="0" w:line="234" w:lineRule="auto"/>
        <w:rPr>
          <w:sz w:val="20"/>
          <w:szCs w:val="20"/>
          <w:color w:val="auto"/>
        </w:rPr>
      </w:pPr>
      <w:r>
        <w:rPr>
          <w:rFonts w:ascii="Arial" w:cs="Arial" w:eastAsia="Arial" w:hAnsi="Arial"/>
          <w:sz w:val="22"/>
          <w:szCs w:val="22"/>
          <w:color w:val="auto"/>
        </w:rPr>
        <w:t>7.1.1. the Parties will jointly own (and may, subject to the licenses granted and other terms and conditions hereunder, exploit without a duty to account to the other Party and without an obligation to seek permission to grant licenses thereunder) all Know-How invented or created solely or jointly by the Parties, their Affiliates or Third Parties acting on their behalf, in the performance of activities under the Research Plan [**], including any such Know-How related to a Target (“</w:t>
      </w:r>
      <w:r>
        <w:rPr>
          <w:rFonts w:ascii="Arial" w:cs="Arial" w:eastAsia="Arial" w:hAnsi="Arial"/>
          <w:sz w:val="22"/>
          <w:szCs w:val="22"/>
          <w:b w:val="1"/>
          <w:bCs w:val="1"/>
          <w:color w:val="auto"/>
        </w:rPr>
        <w:t>Target Know-How</w:t>
      </w:r>
      <w:r>
        <w:rPr>
          <w:rFonts w:ascii="Arial" w:cs="Arial" w:eastAsia="Arial" w:hAnsi="Arial"/>
          <w:sz w:val="22"/>
          <w:szCs w:val="22"/>
          <w:color w:val="auto"/>
        </w:rPr>
        <w:t>”), and any Patent Right that claims or discloses any Target Know-How (“</w:t>
      </w:r>
      <w:r>
        <w:rPr>
          <w:rFonts w:ascii="Arial" w:cs="Arial" w:eastAsia="Arial" w:hAnsi="Arial"/>
          <w:sz w:val="22"/>
          <w:szCs w:val="22"/>
          <w:b w:val="1"/>
          <w:bCs w:val="1"/>
          <w:color w:val="auto"/>
        </w:rPr>
        <w:t>Target Patent Rights</w:t>
      </w:r>
      <w:r>
        <w:rPr>
          <w:rFonts w:ascii="Arial" w:cs="Arial" w:eastAsia="Arial" w:hAnsi="Arial"/>
          <w:sz w:val="22"/>
          <w:szCs w:val="22"/>
          <w:color w:val="auto"/>
        </w:rPr>
        <w:t xml:space="preserve">”), except for any Know-How and Patent Rights solely and exclusively owned by MyoKardia in accordance with </w:t>
      </w:r>
      <w:r>
        <w:rPr>
          <w:rFonts w:ascii="Arial" w:cs="Arial" w:eastAsia="Arial" w:hAnsi="Arial"/>
          <w:sz w:val="22"/>
          <w:szCs w:val="22"/>
          <w:u w:val="single" w:color="auto"/>
          <w:color w:val="auto"/>
        </w:rPr>
        <w:t>Section 7.1.2</w:t>
      </w:r>
      <w:r>
        <w:rPr>
          <w:rFonts w:ascii="Arial" w:cs="Arial" w:eastAsia="Arial" w:hAnsi="Arial"/>
          <w:sz w:val="22"/>
          <w:szCs w:val="22"/>
          <w:color w:val="auto"/>
        </w:rPr>
        <w:t>;</w:t>
      </w:r>
    </w:p>
    <w:p>
      <w:pPr>
        <w:spacing w:after="0" w:line="191" w:lineRule="exact"/>
        <w:rPr>
          <w:sz w:val="20"/>
          <w:szCs w:val="20"/>
          <w:color w:val="auto"/>
        </w:rPr>
      </w:pPr>
    </w:p>
    <w:p>
      <w:pPr>
        <w:jc w:val="both"/>
        <w:ind w:left="880" w:firstLine="797"/>
        <w:spacing w:after="0" w:line="238" w:lineRule="auto"/>
        <w:rPr>
          <w:sz w:val="20"/>
          <w:szCs w:val="20"/>
          <w:color w:val="auto"/>
        </w:rPr>
      </w:pPr>
      <w:r>
        <w:rPr>
          <w:rFonts w:ascii="Arial" w:cs="Arial" w:eastAsia="Arial" w:hAnsi="Arial"/>
          <w:sz w:val="22"/>
          <w:szCs w:val="22"/>
          <w:color w:val="auto"/>
        </w:rPr>
        <w:t>7.1.2. MyoKardia will solely and exclusively own (a) all Know-How invented or created solely or jointly by the Parties, their Affiliates or Third Parties acting on their behalf, in the performance of activities under this Agreement to the extent relating to [**], and (b) any Patent Right that claims or discloses any Know-How described in clause (a);</w:t>
      </w:r>
    </w:p>
    <w:p>
      <w:pPr>
        <w:spacing w:after="0" w:line="185" w:lineRule="exact"/>
        <w:rPr>
          <w:sz w:val="20"/>
          <w:szCs w:val="20"/>
          <w:color w:val="auto"/>
        </w:rPr>
      </w:pPr>
    </w:p>
    <w:p>
      <w:pPr>
        <w:jc w:val="both"/>
        <w:ind w:left="880" w:firstLine="797"/>
        <w:spacing w:after="0" w:line="252" w:lineRule="auto"/>
        <w:rPr>
          <w:sz w:val="20"/>
          <w:szCs w:val="20"/>
          <w:color w:val="auto"/>
        </w:rPr>
      </w:pPr>
      <w:r>
        <w:rPr>
          <w:rFonts w:ascii="Arial" w:cs="Arial" w:eastAsia="Arial" w:hAnsi="Arial"/>
          <w:sz w:val="21"/>
          <w:szCs w:val="21"/>
          <w:color w:val="auto"/>
        </w:rPr>
        <w:t>7.1.3. Fulcrum will solely and exclusively own (a) all Know-How invented or created solely or jointly by the Parties, their Affiliates or Third Parties acting on their behalf, in the performance of activities under this Agreement solely to the extent such Know-How relates to the Fulcrum Platform and (b) any Patent Right that claims or discloses any Know-How described in clause (a) (the “</w:t>
      </w:r>
      <w:r>
        <w:rPr>
          <w:rFonts w:ascii="Arial" w:cs="Arial" w:eastAsia="Arial" w:hAnsi="Arial"/>
          <w:sz w:val="21"/>
          <w:szCs w:val="21"/>
          <w:b w:val="1"/>
          <w:bCs w:val="1"/>
          <w:color w:val="auto"/>
        </w:rPr>
        <w:t>Platform Patent Rights</w:t>
      </w:r>
      <w:r>
        <w:rPr>
          <w:rFonts w:ascii="Arial" w:cs="Arial" w:eastAsia="Arial" w:hAnsi="Arial"/>
          <w:sz w:val="21"/>
          <w:szCs w:val="21"/>
          <w:color w:val="auto"/>
        </w:rPr>
        <w:t>”); and</w:t>
      </w:r>
    </w:p>
    <w:p>
      <w:pPr>
        <w:spacing w:after="0" w:line="174" w:lineRule="exact"/>
        <w:rPr>
          <w:sz w:val="20"/>
          <w:szCs w:val="20"/>
          <w:color w:val="auto"/>
        </w:rPr>
      </w:pPr>
    </w:p>
    <w:p>
      <w:pPr>
        <w:jc w:val="both"/>
        <w:ind w:left="880" w:firstLine="797"/>
        <w:spacing w:after="0" w:line="235" w:lineRule="auto"/>
        <w:rPr>
          <w:sz w:val="20"/>
          <w:szCs w:val="20"/>
          <w:color w:val="auto"/>
        </w:rPr>
      </w:pPr>
      <w:r>
        <w:rPr>
          <w:rFonts w:ascii="Arial" w:cs="Arial" w:eastAsia="Arial" w:hAnsi="Arial"/>
          <w:sz w:val="22"/>
          <w:szCs w:val="22"/>
          <w:color w:val="auto"/>
        </w:rPr>
        <w:t xml:space="preserve">7.1.4. except as set forth in </w:t>
      </w:r>
      <w:r>
        <w:rPr>
          <w:rFonts w:ascii="Arial" w:cs="Arial" w:eastAsia="Arial" w:hAnsi="Arial"/>
          <w:sz w:val="22"/>
          <w:szCs w:val="22"/>
          <w:u w:val="single" w:color="auto"/>
          <w:color w:val="auto"/>
        </w:rPr>
        <w:t>Sections 7.1.1</w:t>
      </w:r>
      <w:r>
        <w:rPr>
          <w:rFonts w:ascii="Arial" w:cs="Arial" w:eastAsia="Arial" w:hAnsi="Arial"/>
          <w:sz w:val="22"/>
          <w:szCs w:val="22"/>
          <w:color w:val="auto"/>
        </w:rPr>
        <w:t xml:space="preserve">, </w:t>
      </w:r>
      <w:r>
        <w:rPr>
          <w:rFonts w:ascii="Arial" w:cs="Arial" w:eastAsia="Arial" w:hAnsi="Arial"/>
          <w:sz w:val="22"/>
          <w:szCs w:val="22"/>
          <w:u w:val="single" w:color="auto"/>
          <w:color w:val="auto"/>
        </w:rPr>
        <w:t>7.1.2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7.1.3</w:t>
      </w:r>
      <w:r>
        <w:rPr>
          <w:rFonts w:ascii="Arial" w:cs="Arial" w:eastAsia="Arial" w:hAnsi="Arial"/>
          <w:sz w:val="22"/>
          <w:szCs w:val="22"/>
          <w:color w:val="auto"/>
        </w:rPr>
        <w:t>, (a) each Party will solely own (i) all Know-How invented or created solely by such Party, its Affiliates or Third Parties acting on its or their behalf in the performance of activities under this Agreement and (ii) any Patent Right that claims any Know-How described in clause (a)(i), and (b) the Parties will jointly own (and may, subject to the licenses granted hereunder, exploit without a duty to account to the other Party and without an obligation to seek permission to grant licenses thereunder) any (i) Know-How jointly invented or created 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7" w:name="page128"/>
    <w:bookmarkEnd w:id="127"/>
    <w:p>
      <w:pPr>
        <w:ind w:left="880"/>
        <w:spacing w:after="0" w:line="250" w:lineRule="auto"/>
        <w:rPr>
          <w:sz w:val="20"/>
          <w:szCs w:val="20"/>
          <w:color w:val="auto"/>
        </w:rPr>
      </w:pPr>
      <w:r>
        <w:rPr>
          <w:rFonts w:ascii="Arial" w:cs="Arial" w:eastAsia="Arial" w:hAnsi="Arial"/>
          <w:sz w:val="22"/>
          <w:szCs w:val="22"/>
          <w:color w:val="auto"/>
        </w:rPr>
        <w:t>the Parties, their Affiliates or Third Parties acting on their behalf, in the performance of activities under this Agreement and (ii) Patent Right that claims Know-How described in clause (b)(i).</w:t>
      </w:r>
    </w:p>
    <w:p>
      <w:pPr>
        <w:spacing w:after="0" w:line="16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u w:val="single" w:color="auto"/>
          <w:color w:val="auto"/>
        </w:rPr>
        <w:t>Cooperation</w:t>
      </w:r>
      <w:r>
        <w:rPr>
          <w:rFonts w:ascii="Arial" w:cs="Arial" w:eastAsia="Arial" w:hAnsi="Arial"/>
          <w:sz w:val="22"/>
          <w:szCs w:val="22"/>
          <w:color w:val="auto"/>
        </w:rPr>
        <w:t xml:space="preserve">. Each Party will, and does hereby, assign, and will cause its Affiliates to, and use good faith efforts to cause its and their Representatives to, so assign, to the other Party, without additional compensation, such rights, title and interests in and to any Know-How or Patent Rights as are necessary to fully effect, as applicable, the allocation of ownership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(Ownership of Technology).</w:t>
      </w:r>
    </w:p>
    <w:p>
      <w:pPr>
        <w:spacing w:after="0" w:line="18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b w:val="1"/>
          <w:bCs w:val="1"/>
          <w:u w:val="single" w:color="auto"/>
          <w:color w:val="auto"/>
        </w:rPr>
        <w:t>Inventorship</w:t>
      </w:r>
      <w:r>
        <w:rPr>
          <w:rFonts w:ascii="Arial" w:cs="Arial" w:eastAsia="Arial" w:hAnsi="Arial"/>
          <w:sz w:val="22"/>
          <w:szCs w:val="22"/>
          <w:color w:val="auto"/>
        </w:rPr>
        <w:t>. Inventorship of any inventions conceived or reduced to practice in the course of performance of activities pursuant to this Agreement shall be determined in accordance with U.S. patent laws (regardless of where the applicable activities occurred). In the case of unpatentable Know-How, inventorship will be determined under such U.S. patent law principles by treating such Know-How as if it were patentable.</w:t>
      </w:r>
    </w:p>
    <w:p>
      <w:pPr>
        <w:spacing w:after="0" w:line="180"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b w:val="1"/>
          <w:bCs w:val="1"/>
          <w:u w:val="single" w:color="auto"/>
          <w:color w:val="auto"/>
        </w:rPr>
        <w:t>Prosecution and Maintenance of Patent Rights</w:t>
      </w:r>
      <w:r>
        <w:rPr>
          <w:rFonts w:ascii="Arial" w:cs="Arial" w:eastAsia="Arial" w:hAnsi="Arial"/>
          <w:sz w:val="19"/>
          <w:szCs w:val="19"/>
          <w:color w:val="auto"/>
        </w:rPr>
        <w:t>.</w:t>
      </w:r>
    </w:p>
    <w:p>
      <w:pPr>
        <w:spacing w:after="0" w:line="206" w:lineRule="exact"/>
        <w:rPr>
          <w:sz w:val="20"/>
          <w:szCs w:val="20"/>
          <w:color w:val="auto"/>
        </w:rPr>
      </w:pPr>
    </w:p>
    <w:p>
      <w:pPr>
        <w:jc w:val="both"/>
        <w:ind w:left="880" w:right="20" w:firstLine="797"/>
        <w:spacing w:after="0" w:line="243" w:lineRule="auto"/>
        <w:rPr>
          <w:sz w:val="20"/>
          <w:szCs w:val="20"/>
          <w:color w:val="auto"/>
        </w:rPr>
      </w:pPr>
      <w:r>
        <w:rPr>
          <w:rFonts w:ascii="Arial" w:cs="Arial" w:eastAsia="Arial" w:hAnsi="Arial"/>
          <w:sz w:val="22"/>
          <w:szCs w:val="22"/>
          <w:color w:val="auto"/>
        </w:rPr>
        <w:t xml:space="preserve">7.4.1. </w:t>
      </w:r>
      <w:r>
        <w:rPr>
          <w:rFonts w:ascii="Arial" w:cs="Arial" w:eastAsia="Arial" w:hAnsi="Arial"/>
          <w:sz w:val="22"/>
          <w:szCs w:val="22"/>
          <w:b w:val="1"/>
          <w:bCs w:val="1"/>
          <w:color w:val="auto"/>
        </w:rPr>
        <w:t>MyoKardia’s Sole Right</w:t>
      </w:r>
      <w:r>
        <w:rPr>
          <w:rFonts w:ascii="Arial" w:cs="Arial" w:eastAsia="Arial" w:hAnsi="Arial"/>
          <w:sz w:val="22"/>
          <w:szCs w:val="22"/>
          <w:color w:val="auto"/>
        </w:rPr>
        <w:t>. As between the Parties, MyoKardia will have the sole right, but not the obligation, at MyoKardia’s expense, to control the preparation, filing, prosecution, maintenance and defense of the MyoKardia Patent Rights (other than the Joint Patent Rights).</w:t>
      </w:r>
    </w:p>
    <w:p>
      <w:pPr>
        <w:spacing w:after="0" w:line="177" w:lineRule="exact"/>
        <w:rPr>
          <w:sz w:val="20"/>
          <w:szCs w:val="20"/>
          <w:color w:val="auto"/>
        </w:rPr>
      </w:pPr>
    </w:p>
    <w:p>
      <w:pPr>
        <w:jc w:val="both"/>
        <w:ind w:left="880" w:firstLine="797"/>
        <w:spacing w:after="0" w:line="243" w:lineRule="auto"/>
        <w:rPr>
          <w:sz w:val="20"/>
          <w:szCs w:val="20"/>
          <w:color w:val="auto"/>
        </w:rPr>
      </w:pPr>
      <w:r>
        <w:rPr>
          <w:rFonts w:ascii="Arial" w:cs="Arial" w:eastAsia="Arial" w:hAnsi="Arial"/>
          <w:sz w:val="22"/>
          <w:szCs w:val="22"/>
          <w:color w:val="auto"/>
        </w:rPr>
        <w:t xml:space="preserve">7.4.2. </w:t>
      </w:r>
      <w:r>
        <w:rPr>
          <w:rFonts w:ascii="Arial" w:cs="Arial" w:eastAsia="Arial" w:hAnsi="Arial"/>
          <w:sz w:val="22"/>
          <w:szCs w:val="22"/>
          <w:b w:val="1"/>
          <w:bCs w:val="1"/>
          <w:color w:val="auto"/>
        </w:rPr>
        <w:t>Fulcrum’s First Right</w:t>
      </w:r>
      <w:r>
        <w:rPr>
          <w:rFonts w:ascii="Arial" w:cs="Arial" w:eastAsia="Arial" w:hAnsi="Arial"/>
          <w:sz w:val="22"/>
          <w:szCs w:val="22"/>
          <w:color w:val="auto"/>
        </w:rPr>
        <w:t>. As between the Parties, Fulcrum will have the first right, but not the obligation, at Fulcrum’s expense, to control the preparation, filing, prosecution, maintenance and defense of the Fulcrum Patent Rights (other than the Joint Patent Rights).</w:t>
      </w:r>
    </w:p>
    <w:p>
      <w:pPr>
        <w:spacing w:after="0" w:line="177" w:lineRule="exact"/>
        <w:rPr>
          <w:sz w:val="20"/>
          <w:szCs w:val="20"/>
          <w:color w:val="auto"/>
        </w:rPr>
      </w:pPr>
    </w:p>
    <w:p>
      <w:pPr>
        <w:jc w:val="both"/>
        <w:ind w:left="880" w:firstLine="797"/>
        <w:spacing w:after="0" w:line="271" w:lineRule="auto"/>
        <w:rPr>
          <w:sz w:val="20"/>
          <w:szCs w:val="20"/>
          <w:color w:val="auto"/>
        </w:rPr>
      </w:pPr>
      <w:r>
        <w:rPr>
          <w:rFonts w:ascii="Arial" w:cs="Arial" w:eastAsia="Arial" w:hAnsi="Arial"/>
          <w:sz w:val="19"/>
          <w:szCs w:val="19"/>
          <w:color w:val="auto"/>
        </w:rPr>
        <w:t xml:space="preserve">7.4.3. </w:t>
      </w:r>
      <w:r>
        <w:rPr>
          <w:rFonts w:ascii="Arial" w:cs="Arial" w:eastAsia="Arial" w:hAnsi="Arial"/>
          <w:sz w:val="19"/>
          <w:szCs w:val="19"/>
          <w:b w:val="1"/>
          <w:bCs w:val="1"/>
          <w:color w:val="auto"/>
        </w:rPr>
        <w:t>Joint Patent Rights</w:t>
      </w:r>
      <w:r>
        <w:rPr>
          <w:rFonts w:ascii="Arial" w:cs="Arial" w:eastAsia="Arial" w:hAnsi="Arial"/>
          <w:sz w:val="19"/>
          <w:szCs w:val="19"/>
          <w:color w:val="auto"/>
        </w:rPr>
        <w:t>. As between the Parties, MyoKardia shall have the right to control the preparation, filing, prosecution, maintenance and defense of any Joint Patent Right relating to a Target at its sole expense and discretion. Otherwise, the Parties shall mutually agree as to which Party shall have the right to control the preparation, filing, prosecution, maintenance and defense of any other Joint Patent Right, and the Parties shall share the costs of such activities (“</w:t>
      </w:r>
      <w:r>
        <w:rPr>
          <w:rFonts w:ascii="Arial" w:cs="Arial" w:eastAsia="Arial" w:hAnsi="Arial"/>
          <w:sz w:val="19"/>
          <w:szCs w:val="19"/>
          <w:b w:val="1"/>
          <w:bCs w:val="1"/>
          <w:color w:val="auto"/>
        </w:rPr>
        <w:t>Jointly Controlled Patent Rights</w:t>
      </w:r>
      <w:r>
        <w:rPr>
          <w:rFonts w:ascii="Arial" w:cs="Arial" w:eastAsia="Arial" w:hAnsi="Arial"/>
          <w:sz w:val="19"/>
          <w:szCs w:val="19"/>
          <w:color w:val="auto"/>
        </w:rPr>
        <w:t xml:space="preserve">”). If MyoKardia no longer wishes to file or maintain any Joint Patent Right, then MyoKardia shall so notify Fulcrum and such Joint Patent Right shall become a Jointly Controlled Patent Right. Immediately upon such notice to Fulcrum, or within [**] before an official action is due or deemed required to the applicable Governmental Authority with respect to such Jointly Controlled Patent Right, Fulcrum will have the second right, but not the obligation, to assume the preparation, filing, prosecution, maintenance and defense of such Jointly Controlled Patent Right upon written notice to MyoKardia and, upon such written notice to MyoKardia, MyoKardia’s exclusive license to Fulcrum’s rights under such Jointly Controlled Patent Right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(License Grant to MyoKardia) shall terminate. If either Party decides not to share in the cost of filing or maintaining any Joint Patent Right (an “</w:t>
      </w:r>
      <w:r>
        <w:rPr>
          <w:rFonts w:ascii="Arial" w:cs="Arial" w:eastAsia="Arial" w:hAnsi="Arial"/>
          <w:sz w:val="19"/>
          <w:szCs w:val="19"/>
          <w:b w:val="1"/>
          <w:bCs w:val="1"/>
          <w:color w:val="auto"/>
        </w:rPr>
        <w:t>Abandoned Patent Right</w:t>
      </w:r>
      <w:r>
        <w:rPr>
          <w:rFonts w:ascii="Arial" w:cs="Arial" w:eastAsia="Arial" w:hAnsi="Arial"/>
          <w:sz w:val="19"/>
          <w:szCs w:val="19"/>
          <w:color w:val="auto"/>
        </w:rPr>
        <w:t>”) and the other Party decides to continue prosecution or maintenance of the Joint Patent Right, then the continuing Party shall have sole discretion (and expense) regarding the prosecution and maintenance of the Abandoned Patent Right.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8" w:name="page129"/>
    <w:bookmarkEnd w:id="128"/>
    <w:p>
      <w:pPr>
        <w:ind w:left="880" w:firstLine="797"/>
        <w:spacing w:after="0" w:line="280" w:lineRule="auto"/>
        <w:rPr>
          <w:sz w:val="20"/>
          <w:szCs w:val="20"/>
          <w:color w:val="auto"/>
        </w:rPr>
      </w:pPr>
      <w:r>
        <w:rPr>
          <w:rFonts w:ascii="Arial" w:cs="Arial" w:eastAsia="Arial" w:hAnsi="Arial"/>
          <w:sz w:val="19"/>
          <w:szCs w:val="19"/>
          <w:color w:val="auto"/>
        </w:rPr>
        <w:t xml:space="preserve">7.4.4. </w:t>
      </w:r>
      <w:r>
        <w:rPr>
          <w:rFonts w:ascii="Arial" w:cs="Arial" w:eastAsia="Arial" w:hAnsi="Arial"/>
          <w:sz w:val="19"/>
          <w:szCs w:val="19"/>
          <w:b w:val="1"/>
          <w:bCs w:val="1"/>
          <w:color w:val="auto"/>
        </w:rPr>
        <w:t>MyoKardia’s Second Right</w:t>
      </w:r>
      <w:r>
        <w:rPr>
          <w:rFonts w:ascii="Arial" w:cs="Arial" w:eastAsia="Arial" w:hAnsi="Arial"/>
          <w:sz w:val="19"/>
          <w:szCs w:val="19"/>
          <w:color w:val="auto"/>
        </w:rPr>
        <w:t>. If Fulcrum fails or declines to file or maintain any Fulcrum Patent Right (other than Platform Patent Rights) that solely Covers a Product (each, a “</w:t>
      </w:r>
      <w:r>
        <w:rPr>
          <w:rFonts w:ascii="Arial" w:cs="Arial" w:eastAsia="Arial" w:hAnsi="Arial"/>
          <w:sz w:val="19"/>
          <w:szCs w:val="19"/>
          <w:b w:val="1"/>
          <w:bCs w:val="1"/>
          <w:color w:val="auto"/>
        </w:rPr>
        <w:t>Product Patent Right</w:t>
      </w:r>
      <w:r>
        <w:rPr>
          <w:rFonts w:ascii="Arial" w:cs="Arial" w:eastAsia="Arial" w:hAnsi="Arial"/>
          <w:sz w:val="19"/>
          <w:szCs w:val="19"/>
          <w:color w:val="auto"/>
        </w:rPr>
        <w:t>”), then within</w:t>
      </w:r>
    </w:p>
    <w:p>
      <w:pPr>
        <w:jc w:val="both"/>
        <w:ind w:left="880" w:hanging="8"/>
        <w:spacing w:after="0" w:line="287" w:lineRule="auto"/>
        <w:tabs>
          <w:tab w:leader="none" w:pos="1325" w:val="left"/>
        </w:tabs>
        <w:numPr>
          <w:ilvl w:val="0"/>
          <w:numId w:val="68"/>
        </w:numPr>
        <w:rPr>
          <w:rFonts w:ascii="Arial" w:cs="Arial" w:eastAsia="Arial" w:hAnsi="Arial"/>
          <w:sz w:val="19"/>
          <w:szCs w:val="19"/>
          <w:color w:val="auto"/>
        </w:rPr>
      </w:pPr>
      <w:r>
        <w:rPr>
          <w:rFonts w:ascii="Arial" w:cs="Arial" w:eastAsia="Arial" w:hAnsi="Arial"/>
          <w:sz w:val="19"/>
          <w:szCs w:val="19"/>
          <w:color w:val="auto"/>
        </w:rPr>
        <w:t>before a response is due to the applicable Governmental Authority with respect to such Product Patent Right, MyoKardia will have the second right, but not the obligation, at MyoKardia’s expense, to assume the preparation, filing, prosecution, maintenance and defense of such Product Patent Right upon written notice to Fulcrum.</w:t>
      </w:r>
    </w:p>
    <w:p>
      <w:pPr>
        <w:spacing w:after="0" w:line="137" w:lineRule="exact"/>
        <w:rPr>
          <w:sz w:val="20"/>
          <w:szCs w:val="20"/>
          <w:color w:val="auto"/>
        </w:rPr>
      </w:pPr>
    </w:p>
    <w:p>
      <w:pPr>
        <w:jc w:val="both"/>
        <w:ind w:left="880" w:firstLine="797"/>
        <w:spacing w:after="0" w:line="270" w:lineRule="auto"/>
        <w:rPr>
          <w:sz w:val="20"/>
          <w:szCs w:val="20"/>
          <w:color w:val="auto"/>
        </w:rPr>
      </w:pPr>
      <w:r>
        <w:rPr>
          <w:rFonts w:ascii="Arial" w:cs="Arial" w:eastAsia="Arial" w:hAnsi="Arial"/>
          <w:sz w:val="19"/>
          <w:szCs w:val="19"/>
          <w:color w:val="auto"/>
        </w:rPr>
        <w:t xml:space="preserve">7.4.5. </w:t>
      </w:r>
      <w:r>
        <w:rPr>
          <w:rFonts w:ascii="Arial" w:cs="Arial" w:eastAsia="Arial" w:hAnsi="Arial"/>
          <w:sz w:val="19"/>
          <w:szCs w:val="19"/>
          <w:b w:val="1"/>
          <w:bCs w:val="1"/>
          <w:color w:val="auto"/>
        </w:rPr>
        <w:t>Cooperation</w:t>
      </w:r>
      <w:r>
        <w:rPr>
          <w:rFonts w:ascii="Arial" w:cs="Arial" w:eastAsia="Arial" w:hAnsi="Arial"/>
          <w:sz w:val="19"/>
          <w:szCs w:val="19"/>
          <w:color w:val="auto"/>
        </w:rPr>
        <w:t>. Each Party will cooperate with the other Party to the extent reasonably necessary for a Party to prosecute the Product Patent Rights or the Joint Patent Rights, at the non-prosecuting Party’s cost and expense, including by providing access to relevant records and documents (including laboratory notebooks) and other evidence, and making its employees available during reasonable business hours, executing all such documents and instruments and performing such acts (and causing its relevant Representatives to execute such documents and instruments and to perform such acts) as the prosecuting Party may reasonably request. The prosecuting Party with respect to any of the Product Patent Rights or the Joint Patent Rights in the Territory will give the non-prosecuting Party an opportunity to review any application with respect to such Patent Rights before filing, will consult with the non-prosecuting Party with respect thereto, and will consider any reasonable comments of the non-prosecuting Party with respect thereto. The prosecuting Party will supply the non-prosecuting Party with a copy of the application as filed, together with notice of its filing date and serial number. The prosecuting Party will keep the non-prosecuting Party reasonably informed of the status of the actual and prospective patent filings (including the grant of any such Patent Rights), and will provide advance copies of any official correspondence related to the filing, prosecution and maintenance of such patent filings including (i) all United States and non-United States patent office actions involving the Product Patent Rights or the Joint Patent Rights, (ii) the issuance of each patent included within the Product Patent Rights or the Joint Patent Rights, giving the date of issue and patent number for each such patent, and (iii) each notice pertaining to any patent included within the Product Patent Rights or the Joint Patent Rights which it receives pursuant to the Drug Price Competition and Patent Term Restoration Act of 1984 (the “</w:t>
      </w:r>
      <w:r>
        <w:rPr>
          <w:rFonts w:ascii="Arial" w:cs="Arial" w:eastAsia="Arial" w:hAnsi="Arial"/>
          <w:sz w:val="19"/>
          <w:szCs w:val="19"/>
          <w:b w:val="1"/>
          <w:bCs w:val="1"/>
          <w:color w:val="auto"/>
        </w:rPr>
        <w:t>Act</w:t>
      </w:r>
      <w:r>
        <w:rPr>
          <w:rFonts w:ascii="Arial" w:cs="Arial" w:eastAsia="Arial" w:hAnsi="Arial"/>
          <w:sz w:val="19"/>
          <w:szCs w:val="19"/>
          <w:color w:val="auto"/>
        </w:rPr>
        <w:t>”). As between the Parties, MyoKardia will have the sole right, but not the obligation, at MyoKardia’s expense, to control any application for patent term extensions or supplementary protection certificates where applicable, with respect to the Product Patent Rights. Fulcrum will cooperate with MyoKardia in applying for any such patent term extensions. MyoKardia will notify Fulcrum of each filing for patent term restoration under the Act and all awards of patent term restoration (extensions) with respect to the Product Patent Rights.</w:t>
      </w:r>
    </w:p>
    <w:p>
      <w:pPr>
        <w:spacing w:after="0" w:line="397"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b w:val="1"/>
          <w:bCs w:val="1"/>
          <w:u w:val="single" w:color="auto"/>
          <w:color w:val="auto"/>
        </w:rPr>
        <w:t>Defense of Claims Brought by Third Parties</w:t>
      </w:r>
      <w:r>
        <w:rPr>
          <w:rFonts w:ascii="Arial" w:cs="Arial" w:eastAsia="Arial" w:hAnsi="Arial"/>
          <w:sz w:val="22"/>
          <w:szCs w:val="22"/>
          <w:color w:val="auto"/>
        </w:rPr>
        <w:t xml:space="preserve">. If any Third Party brings a claim or otherwise asserts that a Product manufactured, used or sold by MyoKardia, its Affiliates or Licensees infringes such Third Party’s Patent Rights or misappropriates such Third Party’s Know-How, the Party first having notice of the claim or assertion will promptly notify, but in any event no later than [**] after the receipt of notice of an action, the other Party in writing. Each Party will have the sole right to take action to defend any such claim brought against it by a Third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neither Party will enter into any settlement of any claim described in this </w:t>
      </w:r>
      <w:r>
        <w:rPr>
          <w:rFonts w:ascii="Arial" w:cs="Arial" w:eastAsia="Arial" w:hAnsi="Arial"/>
          <w:sz w:val="22"/>
          <w:szCs w:val="22"/>
          <w:u w:val="single" w:color="auto"/>
          <w:color w:val="auto"/>
        </w:rPr>
        <w:t>Section 7.5</w:t>
      </w:r>
      <w:r>
        <w:rPr>
          <w:rFonts w:ascii="Arial" w:cs="Arial" w:eastAsia="Arial" w:hAnsi="Arial"/>
          <w:sz w:val="22"/>
          <w:szCs w:val="22"/>
          <w:color w:val="auto"/>
        </w:rPr>
        <w:t xml:space="preserve"> (Defense of Claims Brought by Third Parties) that materially and adversely affects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9" w:name="page130"/>
    <w:bookmarkEnd w:id="129"/>
    <w:p>
      <w:pPr>
        <w:jc w:val="both"/>
        <w:spacing w:after="0"/>
        <w:rPr>
          <w:sz w:val="20"/>
          <w:szCs w:val="20"/>
          <w:color w:val="auto"/>
        </w:rPr>
      </w:pPr>
      <w:r>
        <w:rPr>
          <w:rFonts w:ascii="Arial" w:cs="Arial" w:eastAsia="Arial" w:hAnsi="Arial"/>
          <w:sz w:val="22"/>
          <w:szCs w:val="22"/>
          <w:color w:val="auto"/>
        </w:rPr>
        <w:t xml:space="preserve">other Party’s rights or interests without first obtaining such Party’s written consent. Nothing in this </w:t>
      </w:r>
      <w:r>
        <w:rPr>
          <w:rFonts w:ascii="Arial" w:cs="Arial" w:eastAsia="Arial" w:hAnsi="Arial"/>
          <w:sz w:val="22"/>
          <w:szCs w:val="22"/>
          <w:u w:val="single" w:color="auto"/>
          <w:color w:val="auto"/>
        </w:rPr>
        <w:t>Section 7.5</w:t>
      </w:r>
      <w:r>
        <w:rPr>
          <w:rFonts w:ascii="Arial" w:cs="Arial" w:eastAsia="Arial" w:hAnsi="Arial"/>
          <w:sz w:val="22"/>
          <w:szCs w:val="22"/>
          <w:color w:val="auto"/>
        </w:rPr>
        <w:t xml:space="preserve"> (Defense of Claims Brought by Third Parties) will be deemed to relieve either Party of its rights or obligations under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(Indemnification; Insurance).</w:t>
      </w:r>
    </w:p>
    <w:p>
      <w:pPr>
        <w:spacing w:after="0" w:line="180"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b w:val="1"/>
          <w:bCs w:val="1"/>
          <w:u w:val="single" w:color="auto"/>
          <w:color w:val="auto"/>
        </w:rPr>
        <w:t>Enforcement of Patent Rights</w:t>
      </w:r>
      <w:r>
        <w:rPr>
          <w:rFonts w:ascii="Arial" w:cs="Arial" w:eastAsia="Arial" w:hAnsi="Arial"/>
          <w:sz w:val="19"/>
          <w:szCs w:val="19"/>
          <w:color w:val="auto"/>
        </w:rPr>
        <w:t>.</w:t>
      </w:r>
    </w:p>
    <w:p>
      <w:pPr>
        <w:spacing w:after="0" w:line="206" w:lineRule="exact"/>
        <w:rPr>
          <w:sz w:val="20"/>
          <w:szCs w:val="20"/>
          <w:color w:val="auto"/>
        </w:rPr>
      </w:pPr>
    </w:p>
    <w:p>
      <w:pPr>
        <w:jc w:val="both"/>
        <w:ind w:left="880" w:firstLine="797"/>
        <w:spacing w:after="0" w:line="239" w:lineRule="auto"/>
        <w:rPr>
          <w:sz w:val="20"/>
          <w:szCs w:val="20"/>
          <w:color w:val="auto"/>
        </w:rPr>
      </w:pPr>
      <w:r>
        <w:rPr>
          <w:rFonts w:ascii="Arial" w:cs="Arial" w:eastAsia="Arial" w:hAnsi="Arial"/>
          <w:sz w:val="22"/>
          <w:szCs w:val="22"/>
          <w:color w:val="auto"/>
        </w:rPr>
        <w:t xml:space="preserve">7.6.1. </w:t>
      </w:r>
      <w:r>
        <w:rPr>
          <w:rFonts w:ascii="Arial" w:cs="Arial" w:eastAsia="Arial" w:hAnsi="Arial"/>
          <w:sz w:val="22"/>
          <w:szCs w:val="22"/>
          <w:b w:val="1"/>
          <w:bCs w:val="1"/>
          <w:color w:val="auto"/>
        </w:rPr>
        <w:t>Notice of Competitive Infringement</w:t>
      </w:r>
      <w:r>
        <w:rPr>
          <w:rFonts w:ascii="Arial" w:cs="Arial" w:eastAsia="Arial" w:hAnsi="Arial"/>
          <w:sz w:val="22"/>
          <w:szCs w:val="22"/>
          <w:color w:val="auto"/>
        </w:rPr>
        <w:t>. Each Party will provide to the other Party written notice within [**] after becoming aware of any infringement, unauthorized use, misappropriation or threatened infringement of the Product Patent Rights, by a Third Party that is actually or potentially exploiting a product that is or would be competitive with a Product (a “</w:t>
      </w:r>
      <w:r>
        <w:rPr>
          <w:rFonts w:ascii="Arial" w:cs="Arial" w:eastAsia="Arial" w:hAnsi="Arial"/>
          <w:sz w:val="22"/>
          <w:szCs w:val="22"/>
          <w:b w:val="1"/>
          <w:bCs w:val="1"/>
          <w:color w:val="auto"/>
        </w:rPr>
        <w:t>Competitive Infringement</w:t>
      </w:r>
      <w:r>
        <w:rPr>
          <w:rFonts w:ascii="Arial" w:cs="Arial" w:eastAsia="Arial" w:hAnsi="Arial"/>
          <w:sz w:val="22"/>
          <w:szCs w:val="22"/>
          <w:color w:val="auto"/>
        </w:rPr>
        <w:t>”).</w:t>
      </w:r>
    </w:p>
    <w:p>
      <w:pPr>
        <w:spacing w:after="0" w:line="180" w:lineRule="exact"/>
        <w:rPr>
          <w:sz w:val="20"/>
          <w:szCs w:val="20"/>
          <w:color w:val="auto"/>
        </w:rPr>
      </w:pPr>
    </w:p>
    <w:p>
      <w:pPr>
        <w:jc w:val="both"/>
        <w:ind w:left="880" w:firstLine="797"/>
        <w:spacing w:after="0" w:line="249" w:lineRule="auto"/>
        <w:rPr>
          <w:sz w:val="20"/>
          <w:szCs w:val="20"/>
          <w:color w:val="auto"/>
        </w:rPr>
      </w:pPr>
      <w:r>
        <w:rPr>
          <w:rFonts w:ascii="Arial" w:cs="Arial" w:eastAsia="Arial" w:hAnsi="Arial"/>
          <w:sz w:val="21"/>
          <w:szCs w:val="21"/>
          <w:color w:val="auto"/>
        </w:rPr>
        <w:t xml:space="preserve">7.6.2. </w:t>
      </w:r>
      <w:r>
        <w:rPr>
          <w:rFonts w:ascii="Arial" w:cs="Arial" w:eastAsia="Arial" w:hAnsi="Arial"/>
          <w:sz w:val="21"/>
          <w:szCs w:val="21"/>
          <w:b w:val="1"/>
          <w:bCs w:val="1"/>
          <w:color w:val="auto"/>
        </w:rPr>
        <w:t>MyoKardia’s First Right</w:t>
      </w:r>
      <w:r>
        <w:rPr>
          <w:rFonts w:ascii="Arial" w:cs="Arial" w:eastAsia="Arial" w:hAnsi="Arial"/>
          <w:sz w:val="21"/>
          <w:szCs w:val="21"/>
          <w:color w:val="auto"/>
        </w:rPr>
        <w:t>. As between the Parties, MyoKardia will have the (a) sole right, but not the obligation, to enforce MyoKardia Patent Rights (other than the Joint Patent Rights) against any infringement, unauthorized use, misappropriation or threatened infringement by counsel of its own choice, at its own expense, and (b) the first right, but not the obligation, to enforce the Product Patent Rights and the Joint Patent Rights, against any Competitive Infringement by counsel of its own choice, at its own expense. For the avoidance of doubt, MyoKardia shall not have the right to enforce any Platform Patent Rights.</w:t>
      </w:r>
    </w:p>
    <w:p>
      <w:pPr>
        <w:spacing w:after="0" w:line="171" w:lineRule="exact"/>
        <w:rPr>
          <w:sz w:val="20"/>
          <w:szCs w:val="20"/>
          <w:color w:val="auto"/>
        </w:rPr>
      </w:pPr>
    </w:p>
    <w:p>
      <w:pPr>
        <w:jc w:val="both"/>
        <w:ind w:left="880" w:firstLine="797"/>
        <w:spacing w:after="0" w:line="237" w:lineRule="auto"/>
        <w:rPr>
          <w:sz w:val="20"/>
          <w:szCs w:val="20"/>
          <w:color w:val="auto"/>
        </w:rPr>
      </w:pPr>
      <w:r>
        <w:rPr>
          <w:rFonts w:ascii="Arial" w:cs="Arial" w:eastAsia="Arial" w:hAnsi="Arial"/>
          <w:sz w:val="22"/>
          <w:szCs w:val="22"/>
          <w:color w:val="auto"/>
        </w:rPr>
        <w:t xml:space="preserve">7.6.3. </w:t>
      </w:r>
      <w:r>
        <w:rPr>
          <w:rFonts w:ascii="Arial" w:cs="Arial" w:eastAsia="Arial" w:hAnsi="Arial"/>
          <w:sz w:val="22"/>
          <w:szCs w:val="22"/>
          <w:b w:val="1"/>
          <w:bCs w:val="1"/>
          <w:color w:val="auto"/>
        </w:rPr>
        <w:t>Fulcrum’s Second Right</w:t>
      </w:r>
      <w:r>
        <w:rPr>
          <w:rFonts w:ascii="Arial" w:cs="Arial" w:eastAsia="Arial" w:hAnsi="Arial"/>
          <w:sz w:val="22"/>
          <w:szCs w:val="22"/>
          <w:color w:val="auto"/>
        </w:rPr>
        <w:t>. If, within [**] after receipt of notice of any Competitive Infringement, MyoKardia has not enforced the Product Patent Rights or the Joint Patent Rights, against such Competitive Infringement, then Fulcrum will have the second right, but not the obligation, at Fulcrum’s expense, to enforce such Product Patent Rights or Joint Patent Rights against such Competitive Infringement, by counsel of its own choice, at its own expense, upon written notice to MyoKardia.</w:t>
      </w:r>
    </w:p>
    <w:p>
      <w:pPr>
        <w:spacing w:after="0" w:line="182" w:lineRule="exact"/>
        <w:rPr>
          <w:sz w:val="20"/>
          <w:szCs w:val="20"/>
          <w:color w:val="auto"/>
        </w:rPr>
      </w:pPr>
    </w:p>
    <w:p>
      <w:pPr>
        <w:jc w:val="both"/>
        <w:ind w:left="880" w:firstLine="797"/>
        <w:spacing w:after="0" w:line="237" w:lineRule="auto"/>
        <w:rPr>
          <w:sz w:val="20"/>
          <w:szCs w:val="20"/>
          <w:color w:val="auto"/>
        </w:rPr>
      </w:pPr>
      <w:r>
        <w:rPr>
          <w:rFonts w:ascii="Arial" w:cs="Arial" w:eastAsia="Arial" w:hAnsi="Arial"/>
          <w:sz w:val="22"/>
          <w:szCs w:val="22"/>
          <w:color w:val="auto"/>
        </w:rPr>
        <w:t xml:space="preserve">7.6.4. </w:t>
      </w:r>
      <w:r>
        <w:rPr>
          <w:rFonts w:ascii="Arial" w:cs="Arial" w:eastAsia="Arial" w:hAnsi="Arial"/>
          <w:sz w:val="22"/>
          <w:szCs w:val="22"/>
          <w:b w:val="1"/>
          <w:bCs w:val="1"/>
          <w:color w:val="auto"/>
        </w:rPr>
        <w:t>Other Enforcement Actions</w:t>
      </w:r>
      <w:r>
        <w:rPr>
          <w:rFonts w:ascii="Arial" w:cs="Arial" w:eastAsia="Arial" w:hAnsi="Arial"/>
          <w:sz w:val="22"/>
          <w:szCs w:val="22"/>
          <w:color w:val="auto"/>
        </w:rPr>
        <w:t>. As between the Parties, each Party will have the right, but not the obligation, to enforce the Joint Patent Rights against the unauthorized use, misappropriation or threatened infringement of the Joint Patent Rights by a Third Party that is actually or potentially exploiting a product that is or would be competitive with each Party’s other product(s) (each, an “</w:t>
      </w:r>
      <w:r>
        <w:rPr>
          <w:rFonts w:ascii="Arial" w:cs="Arial" w:eastAsia="Arial" w:hAnsi="Arial"/>
          <w:sz w:val="22"/>
          <w:szCs w:val="22"/>
          <w:b w:val="1"/>
          <w:bCs w:val="1"/>
          <w:color w:val="auto"/>
        </w:rPr>
        <w:t>Other Enforcement Action</w:t>
      </w:r>
      <w:r>
        <w:rPr>
          <w:rFonts w:ascii="Arial" w:cs="Arial" w:eastAsia="Arial" w:hAnsi="Arial"/>
          <w:sz w:val="22"/>
          <w:szCs w:val="22"/>
          <w:color w:val="auto"/>
        </w:rPr>
        <w:t>”), without the consent of the other Party.</w:t>
      </w:r>
    </w:p>
    <w:p>
      <w:pPr>
        <w:spacing w:after="0" w:line="182" w:lineRule="exact"/>
        <w:rPr>
          <w:sz w:val="20"/>
          <w:szCs w:val="20"/>
          <w:color w:val="auto"/>
        </w:rPr>
      </w:pPr>
    </w:p>
    <w:p>
      <w:pPr>
        <w:jc w:val="both"/>
        <w:ind w:left="880" w:firstLine="797"/>
        <w:spacing w:after="0" w:line="245" w:lineRule="auto"/>
        <w:rPr>
          <w:sz w:val="20"/>
          <w:szCs w:val="20"/>
          <w:color w:val="auto"/>
        </w:rPr>
      </w:pPr>
      <w:r>
        <w:rPr>
          <w:rFonts w:ascii="Arial" w:cs="Arial" w:eastAsia="Arial" w:hAnsi="Arial"/>
          <w:sz w:val="21"/>
          <w:szCs w:val="21"/>
          <w:color w:val="auto"/>
        </w:rPr>
        <w:t xml:space="preserve">7.6.5. </w:t>
      </w:r>
      <w:r>
        <w:rPr>
          <w:rFonts w:ascii="Arial" w:cs="Arial" w:eastAsia="Arial" w:hAnsi="Arial"/>
          <w:sz w:val="21"/>
          <w:szCs w:val="21"/>
          <w:b w:val="1"/>
          <w:bCs w:val="1"/>
          <w:color w:val="auto"/>
        </w:rPr>
        <w:t>Cooperation</w:t>
      </w:r>
      <w:r>
        <w:rPr>
          <w:rFonts w:ascii="Arial" w:cs="Arial" w:eastAsia="Arial" w:hAnsi="Arial"/>
          <w:sz w:val="21"/>
          <w:szCs w:val="21"/>
          <w:color w:val="auto"/>
        </w:rPr>
        <w:t xml:space="preserve">. Each Party will cooperate with the other Party to the extent reasonably necessary for a Party to bring any enforcement action pursuant to </w:t>
      </w:r>
      <w:r>
        <w:rPr>
          <w:rFonts w:ascii="Arial" w:cs="Arial" w:eastAsia="Arial" w:hAnsi="Arial"/>
          <w:sz w:val="21"/>
          <w:szCs w:val="21"/>
          <w:u w:val="single" w:color="auto"/>
          <w:color w:val="auto"/>
        </w:rPr>
        <w:t>Section 7.6.2</w:t>
      </w:r>
      <w:r>
        <w:rPr>
          <w:rFonts w:ascii="Arial" w:cs="Arial" w:eastAsia="Arial" w:hAnsi="Arial"/>
          <w:sz w:val="21"/>
          <w:szCs w:val="21"/>
          <w:color w:val="auto"/>
        </w:rPr>
        <w:t xml:space="preserve"> (MyoKardia’s First Right), </w:t>
      </w:r>
      <w:r>
        <w:rPr>
          <w:rFonts w:ascii="Arial" w:cs="Arial" w:eastAsia="Arial" w:hAnsi="Arial"/>
          <w:sz w:val="21"/>
          <w:szCs w:val="21"/>
          <w:u w:val="single" w:color="auto"/>
          <w:color w:val="auto"/>
        </w:rPr>
        <w:t>Section 7.6.3</w:t>
      </w:r>
      <w:r>
        <w:rPr>
          <w:rFonts w:ascii="Arial" w:cs="Arial" w:eastAsia="Arial" w:hAnsi="Arial"/>
          <w:sz w:val="21"/>
          <w:szCs w:val="21"/>
          <w:color w:val="auto"/>
        </w:rPr>
        <w:t xml:space="preserve"> (Fulcrum’s Second Right) or </w:t>
      </w:r>
      <w:r>
        <w:rPr>
          <w:rFonts w:ascii="Arial" w:cs="Arial" w:eastAsia="Arial" w:hAnsi="Arial"/>
          <w:sz w:val="21"/>
          <w:szCs w:val="21"/>
          <w:u w:val="single" w:color="auto"/>
          <w:color w:val="auto"/>
        </w:rPr>
        <w:t>Section 7.6.4</w:t>
      </w:r>
      <w:r>
        <w:rPr>
          <w:rFonts w:ascii="Arial" w:cs="Arial" w:eastAsia="Arial" w:hAnsi="Arial"/>
          <w:sz w:val="21"/>
          <w:szCs w:val="21"/>
          <w:color w:val="auto"/>
        </w:rPr>
        <w:t xml:space="preserve"> (Other Enforcement Actions), as applicable, at the non-enforcing Party’s cost and expense, including by providing access to relevant records and documents (including laboratory notebooks) and other evidence, making its employees available during reasonable business hours, and executing all such documents and instruments and performing such acts (and causing its relevant Representatives to execute such documents and instruments and to perform such acts) as the prosecuting Party may reasonably request. The non-enforcing Party will, and will cause its Affiliates to, assist and cooperate with the enforcing Party, as the enforcing Party may reasonably request from time to time, in connection with any enforcement action under this </w:t>
      </w:r>
      <w:r>
        <w:rPr>
          <w:rFonts w:ascii="Arial" w:cs="Arial" w:eastAsia="Arial" w:hAnsi="Arial"/>
          <w:sz w:val="21"/>
          <w:szCs w:val="21"/>
          <w:u w:val="single" w:color="auto"/>
          <w:color w:val="auto"/>
        </w:rPr>
        <w:t>Section 7.6</w:t>
      </w:r>
      <w:r>
        <w:rPr>
          <w:rFonts w:ascii="Arial" w:cs="Arial" w:eastAsia="Arial" w:hAnsi="Arial"/>
          <w:sz w:val="21"/>
          <w:szCs w:val="21"/>
          <w:color w:val="auto"/>
        </w:rPr>
        <w:t xml:space="preserve"> (Enforcement of Patent Rights), including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0" w:name="page131"/>
    <w:bookmarkEnd w:id="130"/>
    <w:p>
      <w:pPr>
        <w:jc w:val="both"/>
        <w:ind w:left="880"/>
        <w:spacing w:after="0" w:line="244" w:lineRule="auto"/>
        <w:rPr>
          <w:sz w:val="20"/>
          <w:szCs w:val="20"/>
          <w:color w:val="auto"/>
        </w:rPr>
      </w:pPr>
      <w:r>
        <w:rPr>
          <w:rFonts w:ascii="Arial" w:cs="Arial" w:eastAsia="Arial" w:hAnsi="Arial"/>
          <w:sz w:val="21"/>
          <w:szCs w:val="21"/>
          <w:color w:val="auto"/>
        </w:rPr>
        <w:t xml:space="preserve">joining in, or being named as a necessary party to, any such enforcement action and executing any settlement agreement as reasonably requested by the enforcing 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enforcing Party will reimburse the non-enforcing Party for its reasonable and verifiable out-of-pocket costs and expenses incurred in connection with its cooperation pursuant to this sentence. Unless otherwise set forth herein, the enforcing Party will have the right to settle all claims arising from any such enforcement 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neither Party will have the right to settle any litigation or claim under this </w:t>
      </w:r>
      <w:r>
        <w:rPr>
          <w:rFonts w:ascii="Arial" w:cs="Arial" w:eastAsia="Arial" w:hAnsi="Arial"/>
          <w:sz w:val="21"/>
          <w:szCs w:val="21"/>
          <w:u w:val="single" w:color="auto"/>
          <w:color w:val="auto"/>
        </w:rPr>
        <w:t>Section 7.6</w:t>
      </w:r>
      <w:r>
        <w:rPr>
          <w:rFonts w:ascii="Arial" w:cs="Arial" w:eastAsia="Arial" w:hAnsi="Arial"/>
          <w:sz w:val="21"/>
          <w:szCs w:val="21"/>
          <w:color w:val="auto"/>
        </w:rPr>
        <w:t xml:space="preserve"> (Enforcement of Patent Rights) in a manner that (a) imposes any costs or liability on the other Party or its Affiliates or its or their licensees, (b) involves any admission of wrongdoing, fault, or liability by the other Party or its Affiliates or its or their licensees, (c) admits the invalidity or unenforceability (in whole or in part) of intellectual property Controlled by the other Party or its Affiliates or its or their licensees, or (d) imposes restrictions or obligations on the other Party or its Affiliates or licensees not otherwise permitted under this Agreement, in each case ((a) through (d)), without the express written consent of such other Party, which will not be unreasonably withheld, conditioned, or delayed.</w:t>
      </w:r>
    </w:p>
    <w:p>
      <w:pPr>
        <w:spacing w:after="0" w:line="180" w:lineRule="exact"/>
        <w:rPr>
          <w:sz w:val="20"/>
          <w:szCs w:val="20"/>
          <w:color w:val="auto"/>
        </w:rPr>
      </w:pPr>
    </w:p>
    <w:p>
      <w:pPr>
        <w:jc w:val="both"/>
        <w:ind w:left="880" w:right="20" w:firstLine="797"/>
        <w:spacing w:after="0" w:line="237" w:lineRule="auto"/>
        <w:rPr>
          <w:sz w:val="20"/>
          <w:szCs w:val="20"/>
          <w:color w:val="auto"/>
        </w:rPr>
      </w:pPr>
      <w:r>
        <w:rPr>
          <w:rFonts w:ascii="Arial" w:cs="Arial" w:eastAsia="Arial" w:hAnsi="Arial"/>
          <w:sz w:val="22"/>
          <w:szCs w:val="22"/>
          <w:color w:val="auto"/>
        </w:rPr>
        <w:t xml:space="preserve">7.6.6. </w:t>
      </w:r>
      <w:r>
        <w:rPr>
          <w:rFonts w:ascii="Arial" w:cs="Arial" w:eastAsia="Arial" w:hAnsi="Arial"/>
          <w:sz w:val="22"/>
          <w:szCs w:val="22"/>
          <w:b w:val="1"/>
          <w:bCs w:val="1"/>
          <w:color w:val="auto"/>
        </w:rPr>
        <w:t>Recovery of Damages</w:t>
      </w:r>
      <w:r>
        <w:rPr>
          <w:rFonts w:ascii="Arial" w:cs="Arial" w:eastAsia="Arial" w:hAnsi="Arial"/>
          <w:sz w:val="22"/>
          <w:szCs w:val="22"/>
          <w:color w:val="auto"/>
        </w:rPr>
        <w:t xml:space="preserve">. Unless otherwise agreed by the Parties in writing, any damages or monetary awards recovered with respect to a proceeding under this </w:t>
      </w:r>
      <w:r>
        <w:rPr>
          <w:rFonts w:ascii="Arial" w:cs="Arial" w:eastAsia="Arial" w:hAnsi="Arial"/>
          <w:sz w:val="22"/>
          <w:szCs w:val="22"/>
          <w:u w:val="single" w:color="auto"/>
          <w:color w:val="auto"/>
        </w:rPr>
        <w:t>Section 7.6</w:t>
      </w:r>
      <w:r>
        <w:rPr>
          <w:rFonts w:ascii="Arial" w:cs="Arial" w:eastAsia="Arial" w:hAnsi="Arial"/>
          <w:sz w:val="22"/>
          <w:szCs w:val="22"/>
          <w:color w:val="auto"/>
        </w:rPr>
        <w:t xml:space="preserve"> (Enforcement of Patent Rights) will be first allocated to reimburse the Parties for their costs and expenses incurred in connection with such proceeding (which amounts shall be allocated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if insufficient to cover the totality of such costs and expenses), and the remainder, if any, shall be [**].</w:t>
      </w:r>
    </w:p>
    <w:p>
      <w:pPr>
        <w:spacing w:after="0" w:line="182"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b w:val="1"/>
          <w:bCs w:val="1"/>
          <w:u w:val="single" w:color="auto"/>
          <w:color w:val="auto"/>
        </w:rPr>
        <w:t>Trademarks; Copyrights</w:t>
      </w:r>
      <w:r>
        <w:rPr>
          <w:rFonts w:ascii="Arial" w:cs="Arial" w:eastAsia="Arial" w:hAnsi="Arial"/>
          <w:sz w:val="22"/>
          <w:szCs w:val="22"/>
          <w:color w:val="auto"/>
        </w:rPr>
        <w:t>. MyoKardia will have the sole discretion to select, prosecute, maintain, and enforce all trademarks, trade dress, and copyrights related to the Product(s).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182"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u w:val="single" w:color="auto"/>
          <w:color w:val="auto"/>
        </w:rPr>
        <w:t>Mutual Representations and Warranties</w:t>
      </w:r>
      <w:r>
        <w:rPr>
          <w:rFonts w:ascii="Arial" w:cs="Arial" w:eastAsia="Arial" w:hAnsi="Arial"/>
          <w:sz w:val="19"/>
          <w:szCs w:val="19"/>
          <w:color w:val="auto"/>
        </w:rPr>
        <w:t>. Each of the Parties hereby represents and warrants to the other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Party that, as of the Effective Date:</w:t>
      </w:r>
    </w:p>
    <w:p>
      <w:pPr>
        <w:spacing w:after="0" w:line="188" w:lineRule="exact"/>
        <w:rPr>
          <w:sz w:val="20"/>
          <w:szCs w:val="20"/>
          <w:color w:val="auto"/>
        </w:rPr>
      </w:pPr>
    </w:p>
    <w:p>
      <w:pPr>
        <w:jc w:val="both"/>
        <w:ind w:left="880" w:right="20" w:firstLine="797"/>
        <w:spacing w:after="0" w:line="250" w:lineRule="auto"/>
        <w:rPr>
          <w:sz w:val="20"/>
          <w:szCs w:val="20"/>
          <w:color w:val="auto"/>
        </w:rPr>
      </w:pPr>
      <w:r>
        <w:rPr>
          <w:rFonts w:ascii="Arial" w:cs="Arial" w:eastAsia="Arial" w:hAnsi="Arial"/>
          <w:sz w:val="22"/>
          <w:szCs w:val="22"/>
          <w:color w:val="auto"/>
        </w:rPr>
        <w:t>8.1.1. it is duly organized, validly existing and in good standing under the laws of the jurisdiction of its organization;</w:t>
      </w:r>
    </w:p>
    <w:p>
      <w:pPr>
        <w:spacing w:after="0" w:line="175" w:lineRule="exact"/>
        <w:rPr>
          <w:sz w:val="20"/>
          <w:szCs w:val="20"/>
          <w:color w:val="auto"/>
        </w:rPr>
      </w:pPr>
    </w:p>
    <w:p>
      <w:pPr>
        <w:jc w:val="both"/>
        <w:ind w:left="880" w:firstLine="797"/>
        <w:spacing w:after="0" w:line="238" w:lineRule="auto"/>
        <w:rPr>
          <w:sz w:val="20"/>
          <w:szCs w:val="20"/>
          <w:color w:val="auto"/>
        </w:rPr>
      </w:pPr>
      <w:r>
        <w:rPr>
          <w:rFonts w:ascii="Arial" w:cs="Arial" w:eastAsia="Arial" w:hAnsi="Arial"/>
          <w:sz w:val="22"/>
          <w:szCs w:val="22"/>
          <w:color w:val="auto"/>
        </w:rPr>
        <w:t>8.1.2. the execution, delivery and performance of this Agreement by such Party has been duly authorized by all requisite action under the provisions of its charter, bylaws and other organizational documents, and does not require any action or approval by any of its shareholders or other holders of its voting securities or voting interests;</w:t>
      </w:r>
    </w:p>
    <w:p>
      <w:pPr>
        <w:spacing w:after="0" w:line="185"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2"/>
          <w:szCs w:val="22"/>
          <w:color w:val="auto"/>
        </w:rPr>
        <w:t>8.1.3. it has the power and authority to execute and deliver this Agreement and to perform its obligations hereunder;</w:t>
      </w:r>
    </w:p>
    <w:p>
      <w:pPr>
        <w:spacing w:after="0" w:line="175"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2"/>
          <w:szCs w:val="22"/>
          <w:color w:val="auto"/>
        </w:rPr>
        <w:t>8.1.4. this Agreement has been duly executed and is a legal, valid and binding obligation on each Party, enforceable against such Party in accordance with its terms;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1" w:name="page132"/>
    <w:bookmarkEnd w:id="131"/>
    <w:p>
      <w:pPr>
        <w:jc w:val="both"/>
        <w:ind w:left="880" w:right="20" w:firstLine="797"/>
        <w:spacing w:after="0" w:line="238" w:lineRule="auto"/>
        <w:rPr>
          <w:sz w:val="20"/>
          <w:szCs w:val="20"/>
          <w:color w:val="auto"/>
        </w:rPr>
      </w:pPr>
      <w:r>
        <w:rPr>
          <w:rFonts w:ascii="Arial" w:cs="Arial" w:eastAsia="Arial" w:hAnsi="Arial"/>
          <w:sz w:val="22"/>
          <w:szCs w:val="22"/>
          <w:color w:val="auto"/>
        </w:rPr>
        <w:t>8.1.5. the execution, delivery, and performance by such Party of this Agreement (including such Party’s respective Research Activities) and its compliance with the terms and provisions hereof does not and will not conflict with or result in a breach of or default under any agreement with a Third Party, order, judgment, agreement or instrument to which it is a party.</w:t>
      </w:r>
    </w:p>
    <w:p>
      <w:pPr>
        <w:spacing w:after="0" w:line="179"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u w:val="single" w:color="auto"/>
          <w:color w:val="auto"/>
        </w:rPr>
        <w:t>Representations and Warranties of Fulcrum</w:t>
      </w:r>
      <w:r>
        <w:rPr>
          <w:rFonts w:ascii="Arial" w:cs="Arial" w:eastAsia="Arial" w:hAnsi="Arial"/>
          <w:sz w:val="22"/>
          <w:szCs w:val="22"/>
          <w:color w:val="auto"/>
        </w:rPr>
        <w:t>. Fulcrum hereby represents and warrants to MyoKardia that, as of the Effective Date:</w:t>
      </w:r>
    </w:p>
    <w:p>
      <w:pPr>
        <w:spacing w:after="0" w:line="168" w:lineRule="exact"/>
        <w:rPr>
          <w:sz w:val="20"/>
          <w:szCs w:val="20"/>
          <w:color w:val="auto"/>
        </w:rPr>
      </w:pPr>
    </w:p>
    <w:p>
      <w:pPr>
        <w:jc w:val="both"/>
        <w:ind w:left="880" w:firstLine="797"/>
        <w:spacing w:after="0" w:line="238" w:lineRule="auto"/>
        <w:rPr>
          <w:sz w:val="20"/>
          <w:szCs w:val="20"/>
          <w:color w:val="auto"/>
        </w:rPr>
      </w:pPr>
      <w:r>
        <w:rPr>
          <w:rFonts w:ascii="Arial" w:cs="Arial" w:eastAsia="Arial" w:hAnsi="Arial"/>
          <w:sz w:val="22"/>
          <w:szCs w:val="22"/>
          <w:color w:val="auto"/>
        </w:rPr>
        <w:t>8.2.1. to its knowledge, the practice of the Fulcrum Technology existing as of the Effective Date and the Platform Patent Rights existing as of the Effective Date (the “</w:t>
      </w:r>
      <w:r>
        <w:rPr>
          <w:rFonts w:ascii="Arial" w:cs="Arial" w:eastAsia="Arial" w:hAnsi="Arial"/>
          <w:sz w:val="22"/>
          <w:szCs w:val="22"/>
          <w:b w:val="1"/>
          <w:bCs w:val="1"/>
          <w:color w:val="auto"/>
        </w:rPr>
        <w:t>Existing Platform Patent Rights</w:t>
      </w:r>
      <w:r>
        <w:rPr>
          <w:rFonts w:ascii="Arial" w:cs="Arial" w:eastAsia="Arial" w:hAnsi="Arial"/>
          <w:sz w:val="22"/>
          <w:szCs w:val="22"/>
          <w:color w:val="auto"/>
        </w:rPr>
        <w:t>”) in the conduct of the Fulcrum Research Activities will not infringe any Patent Right or misappropriate any Know-How of any Third Party;</w:t>
      </w:r>
    </w:p>
    <w:p>
      <w:pPr>
        <w:spacing w:after="0" w:line="185" w:lineRule="exact"/>
        <w:rPr>
          <w:sz w:val="20"/>
          <w:szCs w:val="20"/>
          <w:color w:val="auto"/>
        </w:rPr>
      </w:pPr>
    </w:p>
    <w:p>
      <w:pPr>
        <w:jc w:val="both"/>
        <w:ind w:left="880" w:firstLine="797"/>
        <w:spacing w:after="0"/>
        <w:rPr>
          <w:sz w:val="20"/>
          <w:szCs w:val="20"/>
          <w:color w:val="auto"/>
        </w:rPr>
      </w:pPr>
      <w:r>
        <w:rPr>
          <w:rFonts w:ascii="Arial" w:cs="Arial" w:eastAsia="Arial" w:hAnsi="Arial"/>
          <w:sz w:val="22"/>
          <w:szCs w:val="22"/>
          <w:color w:val="auto"/>
        </w:rPr>
        <w:t>8.2.2. the Fulcrum Technology existing as of the Effective Date and Existing Platform Patent Rights are solely owned by Fulcrum or one of its Affiliates, free of any encumbrance, lien, or claim of ownership by any Third Party;</w:t>
      </w:r>
    </w:p>
    <w:p>
      <w:pPr>
        <w:spacing w:after="0" w:line="186" w:lineRule="exact"/>
        <w:rPr>
          <w:sz w:val="20"/>
          <w:szCs w:val="20"/>
          <w:color w:val="auto"/>
        </w:rPr>
      </w:pPr>
    </w:p>
    <w:p>
      <w:pPr>
        <w:jc w:val="both"/>
        <w:ind w:left="880" w:firstLine="797"/>
        <w:spacing w:after="0" w:line="248" w:lineRule="auto"/>
        <w:rPr>
          <w:sz w:val="20"/>
          <w:szCs w:val="20"/>
          <w:color w:val="auto"/>
        </w:rPr>
      </w:pPr>
      <w:r>
        <w:rPr>
          <w:rFonts w:ascii="Arial" w:cs="Arial" w:eastAsia="Arial" w:hAnsi="Arial"/>
          <w:sz w:val="21"/>
          <w:szCs w:val="21"/>
          <w:color w:val="auto"/>
        </w:rPr>
        <w:t>8.2.3. all current and former Fulcrum Representatives who have contributed to the creation or development of any Fulcrum Technology existing as of the Effective Date and Existing Platform Patent Rights have executed and delivered to Fulcrum or one of its Affiliates an agreement regarding the protection of proprietary information (including Confidential Information and Know-How) and the assignment to Fulcrum or such Affiliate of any intellectual property that arises from such Representatives’ activities for Fulcrum or any of its Affiliates, and, to its knowledge, no current or former Representative is in violation of any such agreement;</w:t>
      </w:r>
    </w:p>
    <w:p>
      <w:pPr>
        <w:spacing w:after="0" w:line="177" w:lineRule="exact"/>
        <w:rPr>
          <w:sz w:val="20"/>
          <w:szCs w:val="20"/>
          <w:color w:val="auto"/>
        </w:rPr>
      </w:pPr>
    </w:p>
    <w:p>
      <w:pPr>
        <w:jc w:val="both"/>
        <w:ind w:left="880" w:firstLine="797"/>
        <w:spacing w:after="0" w:line="234" w:lineRule="auto"/>
        <w:rPr>
          <w:sz w:val="20"/>
          <w:szCs w:val="20"/>
          <w:color w:val="auto"/>
        </w:rPr>
      </w:pPr>
      <w:r>
        <w:rPr>
          <w:rFonts w:ascii="Arial" w:cs="Arial" w:eastAsia="Arial" w:hAnsi="Arial"/>
          <w:sz w:val="22"/>
          <w:szCs w:val="22"/>
          <w:color w:val="auto"/>
        </w:rPr>
        <w:t>8.2.4. it has not granted any right or license to any Affiliate or Third Party that would be inconsistent with or conflict with MyoKardia’s rights hereunder, and there are no agreements or arrangements to which Fulcrum or any of its Affiliates is a party relating to Fulcrum Technology, Platform Patent Rights or the Fulcrum Platform that would (a) limit the rights granted to MyoKardia under this Agreement or (b) restrict or result in a restriction in MyoKardia’s ability to research, develop, make, have made, use, have used, sell, have sold, offer for sale, have offered for sale, import, have imported, export, have exported, distribute, have distributed, market, have marketed, promote, have promoted, or otherwise exploit the Molecules or Products in the Field in the Territory in accordance with this Agreement;</w:t>
      </w:r>
    </w:p>
    <w:p>
      <w:pPr>
        <w:spacing w:after="0" w:line="187" w:lineRule="exact"/>
        <w:rPr>
          <w:sz w:val="20"/>
          <w:szCs w:val="20"/>
          <w:color w:val="auto"/>
        </w:rPr>
      </w:pPr>
    </w:p>
    <w:p>
      <w:pPr>
        <w:jc w:val="both"/>
        <w:ind w:left="880" w:firstLine="797"/>
        <w:spacing w:after="0" w:line="236" w:lineRule="auto"/>
        <w:rPr>
          <w:sz w:val="20"/>
          <w:szCs w:val="20"/>
          <w:color w:val="auto"/>
        </w:rPr>
      </w:pPr>
      <w:r>
        <w:rPr>
          <w:rFonts w:ascii="Arial" w:cs="Arial" w:eastAsia="Arial" w:hAnsi="Arial"/>
          <w:sz w:val="22"/>
          <w:szCs w:val="22"/>
          <w:color w:val="auto"/>
        </w:rPr>
        <w:t>8.2.5. there is no action, claim, demand, suit, proceeding, arbitration, grievance, citation, summons, subpoena, inquiry or investigation of any nature, civil, criminal, regulatory or otherwise, in law or in equity, pending or, to its knowledge after reasonable inquiry, threatened against Fulcrum or any of its Affiliates, in each case relating to the activities or transactions contemplated by this Agreement or that would impair Fulcrum’s ability to perform its obligations under this Agreement;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2" w:name="page133"/>
    <w:bookmarkEnd w:id="132"/>
    <w:p>
      <w:pPr>
        <w:jc w:val="both"/>
        <w:ind w:firstLine="797"/>
        <w:spacing w:after="0"/>
        <w:rPr>
          <w:sz w:val="20"/>
          <w:szCs w:val="20"/>
          <w:color w:val="auto"/>
        </w:rPr>
      </w:pPr>
      <w:r>
        <w:rPr>
          <w:rFonts w:ascii="Arial" w:cs="Arial" w:eastAsia="Arial" w:hAnsi="Arial"/>
          <w:sz w:val="22"/>
          <w:szCs w:val="22"/>
          <w:color w:val="auto"/>
        </w:rPr>
        <w:t xml:space="preserve">8.2.6. (a) all targets that meet the definition of “Excluded Targets” as of the Effective Date are listed on </w:t>
      </w:r>
      <w:r>
        <w:rPr>
          <w:rFonts w:ascii="Arial" w:cs="Arial" w:eastAsia="Arial" w:hAnsi="Arial"/>
          <w:sz w:val="22"/>
          <w:szCs w:val="22"/>
          <w:u w:val="single" w:color="auto"/>
          <w:color w:val="auto"/>
        </w:rPr>
        <w:t>Schedule 1.62(a)</w:t>
      </w:r>
      <w:r>
        <w:rPr>
          <w:rFonts w:ascii="Arial" w:cs="Arial" w:eastAsia="Arial" w:hAnsi="Arial"/>
          <w:sz w:val="22"/>
          <w:szCs w:val="22"/>
          <w:color w:val="auto"/>
        </w:rPr>
        <w:t xml:space="preserve"> and (b) there are no targets listed on </w:t>
      </w:r>
      <w:r>
        <w:rPr>
          <w:rFonts w:ascii="Arial" w:cs="Arial" w:eastAsia="Arial" w:hAnsi="Arial"/>
          <w:sz w:val="22"/>
          <w:szCs w:val="22"/>
          <w:u w:val="single" w:color="auto"/>
          <w:color w:val="auto"/>
        </w:rPr>
        <w:t>Schedule 1.62(a)</w:t>
      </w:r>
      <w:r>
        <w:rPr>
          <w:rFonts w:ascii="Arial" w:cs="Arial" w:eastAsia="Arial" w:hAnsi="Arial"/>
          <w:sz w:val="22"/>
          <w:szCs w:val="22"/>
          <w:color w:val="auto"/>
        </w:rPr>
        <w:t xml:space="preserve"> that do not meet the definition of “Excluded Targets” as of the Effective Date.</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b w:val="1"/>
          <w:bCs w:val="1"/>
          <w:u w:val="single" w:color="auto"/>
          <w:color w:val="auto"/>
        </w:rPr>
        <w:t>Mutual Covenants</w:t>
      </w:r>
      <w:r>
        <w:rPr>
          <w:rFonts w:ascii="Arial" w:cs="Arial" w:eastAsia="Arial" w:hAnsi="Arial"/>
          <w:sz w:val="19"/>
          <w:szCs w:val="19"/>
          <w:color w:val="auto"/>
        </w:rPr>
        <w:t>. During the Term, each Party covenants to the other Party that such Party:</w:t>
      </w:r>
    </w:p>
    <w:p>
      <w:pPr>
        <w:spacing w:after="0" w:line="212" w:lineRule="exact"/>
        <w:rPr>
          <w:sz w:val="20"/>
          <w:szCs w:val="20"/>
          <w:color w:val="auto"/>
        </w:rPr>
      </w:pPr>
    </w:p>
    <w:p>
      <w:pPr>
        <w:jc w:val="both"/>
        <w:ind w:firstLine="797"/>
        <w:spacing w:after="0" w:line="250" w:lineRule="auto"/>
        <w:rPr>
          <w:sz w:val="20"/>
          <w:szCs w:val="20"/>
          <w:color w:val="auto"/>
        </w:rPr>
      </w:pPr>
      <w:r>
        <w:rPr>
          <w:rFonts w:ascii="Arial" w:cs="Arial" w:eastAsia="Arial" w:hAnsi="Arial"/>
          <w:sz w:val="22"/>
          <w:szCs w:val="22"/>
          <w:color w:val="auto"/>
        </w:rPr>
        <w:t>8.3.1. will comply with Applicable Law in the performance of its respective obligations under this Agreement;</w:t>
      </w:r>
    </w:p>
    <w:p>
      <w:pPr>
        <w:spacing w:after="0" w:line="175" w:lineRule="exact"/>
        <w:rPr>
          <w:sz w:val="20"/>
          <w:szCs w:val="20"/>
          <w:color w:val="auto"/>
        </w:rPr>
      </w:pPr>
    </w:p>
    <w:p>
      <w:pPr>
        <w:jc w:val="both"/>
        <w:ind w:firstLine="797"/>
        <w:spacing w:after="0" w:line="297" w:lineRule="auto"/>
        <w:rPr>
          <w:sz w:val="20"/>
          <w:szCs w:val="20"/>
          <w:color w:val="auto"/>
        </w:rPr>
      </w:pPr>
      <w:r>
        <w:rPr>
          <w:rFonts w:ascii="Arial" w:cs="Arial" w:eastAsia="Arial" w:hAnsi="Arial"/>
          <w:sz w:val="19"/>
          <w:szCs w:val="19"/>
          <w:color w:val="auto"/>
        </w:rPr>
        <w:t>8.3.2. will not, and will cause its Affiliates not to, grant any right or license to any Third Party that would be inconsistent with or in conflict with, or take any action that would materially conflict with, (a) the rights it granted to the other Party under this Agreement or (b) its obligations to the other Party under this Agreement; and</w:t>
      </w:r>
    </w:p>
    <w:p>
      <w:pPr>
        <w:spacing w:after="0" w:line="134" w:lineRule="exact"/>
        <w:rPr>
          <w:sz w:val="20"/>
          <w:szCs w:val="20"/>
          <w:color w:val="auto"/>
        </w:rPr>
      </w:pPr>
    </w:p>
    <w:p>
      <w:pPr>
        <w:jc w:val="both"/>
        <w:ind w:firstLine="797"/>
        <w:spacing w:after="0" w:line="246" w:lineRule="auto"/>
        <w:rPr>
          <w:sz w:val="20"/>
          <w:szCs w:val="20"/>
          <w:color w:val="auto"/>
        </w:rPr>
      </w:pPr>
      <w:r>
        <w:rPr>
          <w:rFonts w:ascii="Arial" w:cs="Arial" w:eastAsia="Arial" w:hAnsi="Arial"/>
          <w:sz w:val="21"/>
          <w:szCs w:val="21"/>
          <w:color w:val="auto"/>
        </w:rPr>
        <w:t>8.3.3. will not knowingly engage directly, in any material capacity in connection with this Agreement, any Person who either has been debarred by the FDA, is the subject of a conviction described in Section 306 of the FD&amp;C Act or is subject to any such similar sanction of the EMA or another Regulatory Authority; and will inform the other Party in writing promptly if it or any Person engaged by such Party or any of its Affiliates who is performing material activities under this Agreement is debarred or is the subject of a conviction described in Section 306 of the FD&amp;C Act, or if any action, suit, claim, investigation or legal or administrative proceeding is pending or, to such Party’s knowledge, is threatened, relating to the debarment or conviction of such Party, any of its Affiliates or any such Person performing services hereunder or thereunder.</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b w:val="1"/>
          <w:bCs w:val="1"/>
          <w:u w:val="single" w:color="auto"/>
          <w:color w:val="auto"/>
        </w:rPr>
        <w:t>Covenants of Fulcrum</w:t>
      </w:r>
      <w:r>
        <w:rPr>
          <w:rFonts w:ascii="Arial" w:cs="Arial" w:eastAsia="Arial" w:hAnsi="Arial"/>
          <w:sz w:val="19"/>
          <w:szCs w:val="19"/>
          <w:color w:val="auto"/>
        </w:rPr>
        <w:t>. During the Term, Fulcrum covenants to MyoKardia that:</w:t>
      </w:r>
    </w:p>
    <w:p>
      <w:pPr>
        <w:spacing w:after="0" w:line="212" w:lineRule="exact"/>
        <w:rPr>
          <w:sz w:val="20"/>
          <w:szCs w:val="20"/>
          <w:color w:val="auto"/>
        </w:rPr>
      </w:pPr>
    </w:p>
    <w:p>
      <w:pPr>
        <w:jc w:val="both"/>
        <w:ind w:firstLine="797"/>
        <w:spacing w:after="0" w:line="297" w:lineRule="auto"/>
        <w:rPr>
          <w:sz w:val="20"/>
          <w:szCs w:val="20"/>
          <w:color w:val="auto"/>
        </w:rPr>
      </w:pPr>
      <w:r>
        <w:rPr>
          <w:rFonts w:ascii="Arial" w:cs="Arial" w:eastAsia="Arial" w:hAnsi="Arial"/>
          <w:sz w:val="19"/>
          <w:szCs w:val="19"/>
          <w:color w:val="auto"/>
        </w:rPr>
        <w:t>8.4.1. Fulcrum will promptly notify MyoKardia in writing if it receives written notice that the practice of the Fulcrum Technology or the Fulcrum Platform (to the extent the Fulcrum Platform is or was used in the Research Activities) infringes or will infringe any Patent Right or misappropriate any Know-How of any Third Party;</w:t>
      </w:r>
    </w:p>
    <w:p>
      <w:pPr>
        <w:spacing w:after="0" w:line="134" w:lineRule="exact"/>
        <w:rPr>
          <w:sz w:val="20"/>
          <w:szCs w:val="20"/>
          <w:color w:val="auto"/>
        </w:rPr>
      </w:pPr>
    </w:p>
    <w:p>
      <w:pPr>
        <w:jc w:val="both"/>
        <w:ind w:firstLine="797"/>
        <w:spacing w:after="0"/>
        <w:rPr>
          <w:sz w:val="20"/>
          <w:szCs w:val="20"/>
          <w:color w:val="auto"/>
        </w:rPr>
      </w:pPr>
      <w:r>
        <w:rPr>
          <w:rFonts w:ascii="Arial" w:cs="Arial" w:eastAsia="Arial" w:hAnsi="Arial"/>
          <w:sz w:val="22"/>
          <w:szCs w:val="22"/>
          <w:color w:val="auto"/>
        </w:rPr>
        <w:t>8.4.2. Fulcrum will maintain Control of all Fulcrum Technology that is or becomes such on the Effective Date or during the Term, and will not take any action during the Term that would materially adversely affect the rights to the Fulcrum Technology granted to MyoKardia in this Agreement;</w:t>
      </w:r>
    </w:p>
    <w:p>
      <w:pPr>
        <w:spacing w:after="0" w:line="186" w:lineRule="exact"/>
        <w:rPr>
          <w:sz w:val="20"/>
          <w:szCs w:val="20"/>
          <w:color w:val="auto"/>
        </w:rPr>
      </w:pPr>
    </w:p>
    <w:p>
      <w:pPr>
        <w:jc w:val="both"/>
        <w:ind w:firstLine="797"/>
        <w:spacing w:after="0" w:line="236" w:lineRule="auto"/>
        <w:rPr>
          <w:sz w:val="20"/>
          <w:szCs w:val="20"/>
          <w:color w:val="auto"/>
        </w:rPr>
      </w:pPr>
      <w:r>
        <w:rPr>
          <w:rFonts w:ascii="Arial" w:cs="Arial" w:eastAsia="Arial" w:hAnsi="Arial"/>
          <w:sz w:val="22"/>
          <w:szCs w:val="22"/>
          <w:color w:val="auto"/>
        </w:rPr>
        <w:t xml:space="preserve">8.4.3. Fulcrum will provide to MyoKardia all data from the performance of the Fulcrum Research Activities which data is related to any biological target against which any compound in the Fulcrum Platform has activity, except Excluded Targets, which, for the avoidance of doubt, will not include the identity of any biological target discovered in the course of the Research Activities except as provided in accordance with </w:t>
      </w:r>
      <w:r>
        <w:rPr>
          <w:rFonts w:ascii="Arial" w:cs="Arial" w:eastAsia="Arial" w:hAnsi="Arial"/>
          <w:sz w:val="22"/>
          <w:szCs w:val="22"/>
          <w:u w:val="single" w:color="auto"/>
          <w:color w:val="auto"/>
        </w:rPr>
        <w:t>Section 3.6.2</w:t>
      </w:r>
      <w:r>
        <w:rPr>
          <w:rFonts w:ascii="Arial" w:cs="Arial" w:eastAsia="Arial" w:hAnsi="Arial"/>
          <w:sz w:val="22"/>
          <w:szCs w:val="22"/>
          <w:color w:val="auto"/>
        </w:rPr>
        <w:t xml:space="preserve"> (Part 1 Validation).</w:t>
      </w:r>
    </w:p>
    <w:p>
      <w:pPr>
        <w:spacing w:after="0" w:line="187" w:lineRule="exact"/>
        <w:rPr>
          <w:sz w:val="20"/>
          <w:szCs w:val="20"/>
          <w:color w:val="auto"/>
        </w:rPr>
      </w:pPr>
    </w:p>
    <w:p>
      <w:pPr>
        <w:jc w:val="both"/>
        <w:ind w:right="20" w:firstLine="797"/>
        <w:spacing w:after="0"/>
        <w:rPr>
          <w:sz w:val="20"/>
          <w:szCs w:val="20"/>
          <w:color w:val="auto"/>
        </w:rPr>
      </w:pPr>
      <w:r>
        <w:rPr>
          <w:rFonts w:ascii="Arial" w:cs="Arial" w:eastAsia="Arial" w:hAnsi="Arial"/>
          <w:sz w:val="22"/>
          <w:szCs w:val="22"/>
          <w:color w:val="auto"/>
        </w:rPr>
        <w:t xml:space="preserve">8.4.4. if, during the Term, Fulcrum controls any Person (with control being determined for this purpose in accordance with </w:t>
      </w:r>
      <w:r>
        <w:rPr>
          <w:rFonts w:ascii="Arial" w:cs="Arial" w:eastAsia="Arial" w:hAnsi="Arial"/>
          <w:sz w:val="22"/>
          <w:szCs w:val="22"/>
          <w:u w:val="single" w:color="auto"/>
          <w:color w:val="auto"/>
        </w:rPr>
        <w:t>Section 1.10</w:t>
      </w:r>
      <w:r>
        <w:rPr>
          <w:rFonts w:ascii="Arial" w:cs="Arial" w:eastAsia="Arial" w:hAnsi="Arial"/>
          <w:sz w:val="22"/>
          <w:szCs w:val="22"/>
          <w:color w:val="auto"/>
        </w:rPr>
        <w:t xml:space="preserve"> (Affiliates)), then Fulcrum and any such Person will, at all times during which such relationship exists, be party to an</w:t>
      </w:r>
    </w:p>
    <w:p>
      <w:pPr>
        <w:spacing w:after="0" w:line="186"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33" w:name="page134"/>
    <w:bookmarkEnd w:id="133"/>
    <w:p>
      <w:pPr>
        <w:jc w:val="both"/>
        <w:ind w:left="880"/>
        <w:spacing w:after="0" w:line="274" w:lineRule="auto"/>
        <w:rPr>
          <w:sz w:val="20"/>
          <w:szCs w:val="20"/>
          <w:color w:val="auto"/>
        </w:rPr>
      </w:pPr>
      <w:r>
        <w:rPr>
          <w:rFonts w:ascii="Arial" w:cs="Arial" w:eastAsia="Arial" w:hAnsi="Arial"/>
          <w:sz w:val="21"/>
          <w:szCs w:val="21"/>
          <w:color w:val="auto"/>
        </w:rPr>
        <w:t>intercompany license agreement pursuant to which Fulcrum Controls all intellectual property owned or licensed to such Person that would otherwise be included in Fulcrum Technology if owned by Fulcrum; and</w:t>
      </w:r>
    </w:p>
    <w:p>
      <w:pPr>
        <w:spacing w:after="0" w:line="151" w:lineRule="exact"/>
        <w:rPr>
          <w:sz w:val="20"/>
          <w:szCs w:val="20"/>
          <w:color w:val="auto"/>
        </w:rPr>
      </w:pPr>
    </w:p>
    <w:p>
      <w:pPr>
        <w:jc w:val="both"/>
        <w:ind w:left="880" w:firstLine="797"/>
        <w:spacing w:after="0" w:line="236" w:lineRule="auto"/>
        <w:rPr>
          <w:sz w:val="20"/>
          <w:szCs w:val="20"/>
          <w:color w:val="auto"/>
        </w:rPr>
      </w:pPr>
      <w:r>
        <w:rPr>
          <w:rFonts w:ascii="Arial" w:cs="Arial" w:eastAsia="Arial" w:hAnsi="Arial"/>
          <w:sz w:val="22"/>
          <w:szCs w:val="22"/>
          <w:color w:val="auto"/>
        </w:rPr>
        <w:t>8.4.5. all Fulcrum Representatives that are in a position to contribute to the creation or development of any Fulcrum Technology have executed or will execute and deliver to Fulcrum or one of its Affiliates an agreement regarding the protection of proprietary information (including Confidential Information and Know-How) and the assignment to Fulcrum or such Affiliate of any intellectual property that arises from such Representatives’ activities for Fulcrum or any of its Affiliates.</w:t>
      </w:r>
    </w:p>
    <w:p>
      <w:pPr>
        <w:spacing w:after="0" w:line="181"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b w:val="1"/>
          <w:bCs w:val="1"/>
          <w:u w:val="single" w:color="auto"/>
          <w:color w:val="auto"/>
        </w:rPr>
        <w:t>Disclaimer</w:t>
      </w:r>
      <w:r>
        <w:rPr>
          <w:rFonts w:ascii="Arial" w:cs="Arial" w:eastAsia="Arial" w:hAnsi="Arial"/>
          <w:sz w:val="22"/>
          <w:szCs w:val="22"/>
          <w:color w:val="auto"/>
        </w:rPr>
        <w:t xml:space="preserve">. EXCEPT AS OTHERWISE EXPRESSLY SET FORTH IN THIS AGREEMENT, NEITHER PARTY NOR ITS AFFILIATES MAKES ANY REPRESENTATION OR EXTENDS ANY WARRANTY OF ANY KIND, EITHER EXPRESS, IMPLIED OR OTHERWISE, TO THE OTHER PARTY, INCLUDING ANY WARRANTY OF MERCHANTABILITY, NON-INFRINGEMENT OR FITNESS FOR A PARTICULAR PURPOSE. WITHOUT LIMITING THE GENERALITY OF THE FOREGOING AND WITHOUT LIMITING MYOKARDIA’S OBLIGATIONS UNDER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(DILIGENCE REQUIREMENTS), MYOKARDIA MAKES NO REPRESENTATION OR WARRANTY REGRADING WHETHER ANY MOLECULE OR PRODUCT WILL BE DEVELOPED OR COMMERCIALIZED SUCCESSFULLY OR WHETHER ANY PARTICULAR LEVEL OF SALES WILL BE ACHIEVED WITH REGARD TO ANY PRODUCT. WITHOUT LIMITING THE GENERALITY OF THE FOREGOING, FULCRUM MAKES NO REPRESENTATION OR WARRANTY REGARDING THE OUTCOME OF THE RESEARCH ACTIVITIES, INCLUDING THAT THE RESEARCH ACTIVITIES WILL BE SUCCESSFUL.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INSURANCE</w:t>
      </w:r>
    </w:p>
    <w:p>
      <w:pPr>
        <w:spacing w:after="0" w:line="182"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w:t>
      </w:r>
    </w:p>
    <w:p>
      <w:pPr>
        <w:spacing w:after="0" w:line="206" w:lineRule="exact"/>
        <w:rPr>
          <w:sz w:val="20"/>
          <w:szCs w:val="20"/>
          <w:color w:val="auto"/>
        </w:rPr>
      </w:pPr>
    </w:p>
    <w:p>
      <w:pPr>
        <w:jc w:val="both"/>
        <w:ind w:left="880" w:firstLine="797"/>
        <w:spacing w:after="0" w:line="237"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b w:val="1"/>
          <w:bCs w:val="1"/>
          <w:color w:val="auto"/>
        </w:rPr>
        <w:t>Indemnification by MyoKardia</w:t>
      </w:r>
      <w:r>
        <w:rPr>
          <w:rFonts w:ascii="Arial" w:cs="Arial" w:eastAsia="Arial" w:hAnsi="Arial"/>
          <w:sz w:val="22"/>
          <w:szCs w:val="22"/>
          <w:color w:val="auto"/>
        </w:rPr>
        <w:t>. MyoKardia will indemnify Fulcrum and its Representatives (each, a “</w:t>
      </w:r>
      <w:r>
        <w:rPr>
          <w:rFonts w:ascii="Arial" w:cs="Arial" w:eastAsia="Arial" w:hAnsi="Arial"/>
          <w:sz w:val="22"/>
          <w:szCs w:val="22"/>
          <w:b w:val="1"/>
          <w:bCs w:val="1"/>
          <w:color w:val="auto"/>
        </w:rPr>
        <w:t>Fulcrum Indemnified Party</w:t>
      </w:r>
      <w:r>
        <w:rPr>
          <w:rFonts w:ascii="Arial" w:cs="Arial" w:eastAsia="Arial" w:hAnsi="Arial"/>
          <w:sz w:val="22"/>
          <w:szCs w:val="22"/>
          <w:color w:val="auto"/>
        </w:rPr>
        <w:t>”) from and against any liability, loss, damage or expense (including reasonable attorneys’ fees and expenses) (collectively, “</w:t>
      </w:r>
      <w:r>
        <w:rPr>
          <w:rFonts w:ascii="Arial" w:cs="Arial" w:eastAsia="Arial" w:hAnsi="Arial"/>
          <w:sz w:val="22"/>
          <w:szCs w:val="22"/>
          <w:b w:val="1"/>
          <w:bCs w:val="1"/>
          <w:color w:val="auto"/>
        </w:rPr>
        <w:t>Liability</w:t>
      </w:r>
      <w:r>
        <w:rPr>
          <w:rFonts w:ascii="Arial" w:cs="Arial" w:eastAsia="Arial" w:hAnsi="Arial"/>
          <w:sz w:val="22"/>
          <w:szCs w:val="22"/>
          <w:color w:val="auto"/>
        </w:rPr>
        <w:t>”) that the Fulcrum Indemnified Party may incur or otherwise be required to pay to one or more Third Parties in connection with any Third Party suit, investigation, claim or demand resulting from or arising out of:</w:t>
      </w:r>
    </w:p>
    <w:p>
      <w:pPr>
        <w:spacing w:after="0" w:line="188" w:lineRule="exact"/>
        <w:rPr>
          <w:sz w:val="20"/>
          <w:szCs w:val="20"/>
          <w:color w:val="auto"/>
        </w:rPr>
      </w:pPr>
    </w:p>
    <w:p>
      <w:pPr>
        <w:jc w:val="both"/>
        <w:ind w:left="1740" w:firstLine="726"/>
        <w:spacing w:after="0"/>
        <w:tabs>
          <w:tab w:leader="none" w:pos="3358"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claims arising out of the research, development, manufacture, commercialization or use of any Product by, on behalf of, or under the authority of, MyoKardia, including all claims involving death or bodily injury;</w:t>
      </w:r>
    </w:p>
    <w:p>
      <w:pPr>
        <w:spacing w:after="0" w:line="186" w:lineRule="exact"/>
        <w:rPr>
          <w:rFonts w:ascii="Arial" w:cs="Arial" w:eastAsia="Arial" w:hAnsi="Arial"/>
          <w:sz w:val="22"/>
          <w:szCs w:val="22"/>
          <w:color w:val="auto"/>
        </w:rPr>
      </w:pPr>
    </w:p>
    <w:p>
      <w:pPr>
        <w:ind w:left="3360" w:hanging="894"/>
        <w:spacing w:after="0"/>
        <w:tabs>
          <w:tab w:leader="none" w:pos="33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conduct of the MyoKardia Research Activities;</w:t>
      </w:r>
    </w:p>
    <w:p>
      <w:pPr>
        <w:spacing w:after="0" w:line="206" w:lineRule="exact"/>
        <w:rPr>
          <w:rFonts w:ascii="Arial" w:cs="Arial" w:eastAsia="Arial" w:hAnsi="Arial"/>
          <w:sz w:val="22"/>
          <w:szCs w:val="22"/>
          <w:color w:val="auto"/>
        </w:rPr>
      </w:pPr>
    </w:p>
    <w:p>
      <w:pPr>
        <w:ind w:left="3360" w:hanging="894"/>
        <w:spacing w:after="0"/>
        <w:tabs>
          <w:tab w:leader="none" w:pos="33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claims arising out of the use of the Research Data by or on behalf of MyoKardia;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4" w:name="page135"/>
    <w:bookmarkEnd w:id="134"/>
    <w:p>
      <w:pPr>
        <w:ind w:left="3360" w:hanging="894"/>
        <w:spacing w:after="0"/>
        <w:tabs>
          <w:tab w:leader="none" w:pos="33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breach by MyoKardia of any of its representations, warranties or covenants set forth in</w:t>
      </w:r>
    </w:p>
    <w:p>
      <w:pPr>
        <w:spacing w:after="0" w:line="4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this Agreement; or</w:t>
      </w:r>
    </w:p>
    <w:p>
      <w:pPr>
        <w:spacing w:after="0" w:line="188" w:lineRule="exact"/>
        <w:rPr>
          <w:rFonts w:ascii="Arial" w:cs="Arial" w:eastAsia="Arial" w:hAnsi="Arial"/>
          <w:sz w:val="19"/>
          <w:szCs w:val="19"/>
          <w:color w:val="auto"/>
        </w:rPr>
      </w:pPr>
    </w:p>
    <w:p>
      <w:pPr>
        <w:ind w:left="3360" w:hanging="894"/>
        <w:spacing w:after="0"/>
        <w:tabs>
          <w:tab w:leader="none" w:pos="33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negligence or willful misconduct of an MyoKardia Indemnified Party.</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and except, in each case, to the extent such claims fall within the scope of Fulcrum’s indemnification obligations under </w:t>
      </w:r>
      <w:r>
        <w:rPr>
          <w:rFonts w:ascii="Arial" w:cs="Arial" w:eastAsia="Arial" w:hAnsi="Arial"/>
          <w:sz w:val="22"/>
          <w:szCs w:val="22"/>
          <w:u w:val="single" w:color="auto"/>
          <w:color w:val="auto"/>
        </w:rPr>
        <w:t>Section 9.1.2</w:t>
      </w:r>
      <w:r>
        <w:rPr>
          <w:rFonts w:ascii="Arial" w:cs="Arial" w:eastAsia="Arial" w:hAnsi="Arial"/>
          <w:sz w:val="22"/>
          <w:szCs w:val="22"/>
          <w:color w:val="auto"/>
        </w:rPr>
        <w:t xml:space="preserve"> (Indemnification by Fulcrum).</w:t>
      </w:r>
    </w:p>
    <w:p>
      <w:pPr>
        <w:spacing w:after="0" w:line="169" w:lineRule="exact"/>
        <w:rPr>
          <w:sz w:val="20"/>
          <w:szCs w:val="20"/>
          <w:color w:val="auto"/>
        </w:rPr>
      </w:pPr>
    </w:p>
    <w:p>
      <w:pPr>
        <w:jc w:val="both"/>
        <w:ind w:left="880" w:firstLine="797"/>
        <w:spacing w:after="0" w:line="239"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b w:val="1"/>
          <w:bCs w:val="1"/>
          <w:color w:val="auto"/>
        </w:rPr>
        <w:t>Indemnification by Fulcrum</w:t>
      </w:r>
      <w:r>
        <w:rPr>
          <w:rFonts w:ascii="Arial" w:cs="Arial" w:eastAsia="Arial" w:hAnsi="Arial"/>
          <w:sz w:val="22"/>
          <w:szCs w:val="22"/>
          <w:color w:val="auto"/>
        </w:rPr>
        <w:t>. Fulcrum will indemnify MyoKardia and its Representatives (each, a “</w:t>
      </w:r>
      <w:r>
        <w:rPr>
          <w:rFonts w:ascii="Arial" w:cs="Arial" w:eastAsia="Arial" w:hAnsi="Arial"/>
          <w:sz w:val="22"/>
          <w:szCs w:val="22"/>
          <w:b w:val="1"/>
          <w:bCs w:val="1"/>
          <w:color w:val="auto"/>
        </w:rPr>
        <w:t>MyoKardia Indemnified Party</w:t>
      </w:r>
      <w:r>
        <w:rPr>
          <w:rFonts w:ascii="Arial" w:cs="Arial" w:eastAsia="Arial" w:hAnsi="Arial"/>
          <w:sz w:val="22"/>
          <w:szCs w:val="22"/>
          <w:color w:val="auto"/>
        </w:rPr>
        <w:t>”) from and against any Liability that the MyoKardia Indemnified Party may incur or otherwise be required to pay to one or more Third Parties in connection with any Third Party suit, investigation, claim or demand resulting from or arising out of:</w:t>
      </w:r>
    </w:p>
    <w:p>
      <w:pPr>
        <w:spacing w:after="0" w:line="186" w:lineRule="exact"/>
        <w:rPr>
          <w:sz w:val="20"/>
          <w:szCs w:val="20"/>
          <w:color w:val="auto"/>
        </w:rPr>
      </w:pPr>
    </w:p>
    <w:p>
      <w:pPr>
        <w:jc w:val="both"/>
        <w:ind w:left="1740" w:firstLine="726"/>
        <w:spacing w:after="0" w:line="236" w:lineRule="auto"/>
        <w:tabs>
          <w:tab w:leader="none" w:pos="3358"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the conduct of the Fulcrum Research Activities (other than any Fulcrum Research Activities solely to the extent included in the Research Plan through an amendment to the Research Plan that is approved solely by MyoKardia, over Fulcrum’s objection, by MyoKardia’s Executive Officer in the exercise of MyoKardia’s right to determine decisions of the JSC pursuant to </w:t>
      </w:r>
      <w:r>
        <w:rPr>
          <w:rFonts w:ascii="Arial" w:cs="Arial" w:eastAsia="Arial" w:hAnsi="Arial"/>
          <w:sz w:val="22"/>
          <w:szCs w:val="22"/>
          <w:u w:val="single" w:color="auto"/>
          <w:color w:val="auto"/>
        </w:rPr>
        <w:t>Section 2.7.3</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2.7.4</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3360" w:hanging="894"/>
        <w:spacing w:after="0"/>
        <w:tabs>
          <w:tab w:leader="none" w:pos="33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claims arising out of the use of the Research Data by or on behalf of Fulcrum;</w:t>
      </w:r>
    </w:p>
    <w:p>
      <w:pPr>
        <w:spacing w:after="0" w:line="217" w:lineRule="exact"/>
        <w:rPr>
          <w:rFonts w:ascii="Arial" w:cs="Arial" w:eastAsia="Arial" w:hAnsi="Arial"/>
          <w:sz w:val="21"/>
          <w:szCs w:val="21"/>
          <w:color w:val="auto"/>
        </w:rPr>
      </w:pPr>
    </w:p>
    <w:p>
      <w:pPr>
        <w:ind w:left="1740" w:right="20" w:firstLine="726"/>
        <w:spacing w:after="0" w:line="250" w:lineRule="auto"/>
        <w:tabs>
          <w:tab w:leader="none" w:pos="3358"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breach by Fulcrum of any of its representations, warranties or covenants set forth in this Agreement; or</w:t>
      </w:r>
    </w:p>
    <w:p>
      <w:pPr>
        <w:spacing w:after="0" w:line="174" w:lineRule="exact"/>
        <w:rPr>
          <w:rFonts w:ascii="Arial" w:cs="Arial" w:eastAsia="Arial" w:hAnsi="Arial"/>
          <w:sz w:val="22"/>
          <w:szCs w:val="22"/>
          <w:color w:val="auto"/>
        </w:rPr>
      </w:pPr>
    </w:p>
    <w:p>
      <w:pPr>
        <w:ind w:left="3360" w:hanging="894"/>
        <w:spacing w:after="0"/>
        <w:tabs>
          <w:tab w:leader="none" w:pos="33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negligence or willful misconduct of a Fulcrum Indemnified Party.</w:t>
      </w:r>
    </w:p>
    <w:p>
      <w:pPr>
        <w:spacing w:after="0" w:line="20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 xml:space="preserve">and except, in each case, to the extent such claims fall within the scope of MyoKardia’s indemnification obligations under </w:t>
      </w:r>
      <w:r>
        <w:rPr>
          <w:rFonts w:ascii="Arial" w:cs="Arial" w:eastAsia="Arial" w:hAnsi="Arial"/>
          <w:sz w:val="22"/>
          <w:szCs w:val="22"/>
          <w:u w:val="single" w:color="auto"/>
          <w:color w:val="auto"/>
        </w:rPr>
        <w:t>Section 9.1.1</w:t>
      </w:r>
      <w:r>
        <w:rPr>
          <w:rFonts w:ascii="Arial" w:cs="Arial" w:eastAsia="Arial" w:hAnsi="Arial"/>
          <w:sz w:val="22"/>
          <w:szCs w:val="22"/>
          <w:color w:val="auto"/>
        </w:rPr>
        <w:t xml:space="preserve"> (Indemnification by MyoKardia).</w:t>
      </w:r>
    </w:p>
    <w:p>
      <w:pPr>
        <w:spacing w:after="0" w:line="169" w:lineRule="exact"/>
        <w:rPr>
          <w:sz w:val="20"/>
          <w:szCs w:val="20"/>
          <w:color w:val="auto"/>
        </w:rPr>
      </w:pPr>
    </w:p>
    <w:p>
      <w:pPr>
        <w:jc w:val="both"/>
        <w:ind w:left="880" w:firstLine="797"/>
        <w:spacing w:after="0" w:line="273" w:lineRule="auto"/>
        <w:rPr>
          <w:sz w:val="20"/>
          <w:szCs w:val="20"/>
          <w:color w:val="auto"/>
        </w:rPr>
      </w:pPr>
      <w:r>
        <w:rPr>
          <w:rFonts w:ascii="Arial" w:cs="Arial" w:eastAsia="Arial" w:hAnsi="Arial"/>
          <w:sz w:val="19"/>
          <w:szCs w:val="19"/>
          <w:color w:val="auto"/>
        </w:rPr>
        <w:t xml:space="preserve">9.1.3. </w:t>
      </w:r>
      <w:r>
        <w:rPr>
          <w:rFonts w:ascii="Arial" w:cs="Arial" w:eastAsia="Arial" w:hAnsi="Arial"/>
          <w:sz w:val="19"/>
          <w:szCs w:val="19"/>
          <w:b w:val="1"/>
          <w:bCs w:val="1"/>
          <w:color w:val="auto"/>
        </w:rPr>
        <w:t>Procedure</w:t>
      </w:r>
      <w:r>
        <w:rPr>
          <w:rFonts w:ascii="Arial" w:cs="Arial" w:eastAsia="Arial" w:hAnsi="Arial"/>
          <w:sz w:val="19"/>
          <w:szCs w:val="19"/>
          <w:color w:val="auto"/>
        </w:rPr>
        <w:t xml:space="preserve">. Each Party will notify the other Party in writing if it becomes aware of a claim for which such Party may seek indemnification hereunder. If any proceeding (including any governmental investigation) is instituted against a Party with respect to which indemnity may be sought pursuant to </w:t>
      </w:r>
      <w:r>
        <w:rPr>
          <w:rFonts w:ascii="Arial" w:cs="Arial" w:eastAsia="Arial" w:hAnsi="Arial"/>
          <w:sz w:val="19"/>
          <w:szCs w:val="19"/>
          <w:u w:val="single" w:color="auto"/>
          <w:color w:val="auto"/>
        </w:rPr>
        <w:t>Sections 9.1.1</w:t>
      </w:r>
      <w:r>
        <w:rPr>
          <w:rFonts w:ascii="Arial" w:cs="Arial" w:eastAsia="Arial" w:hAnsi="Arial"/>
          <w:sz w:val="19"/>
          <w:szCs w:val="19"/>
          <w:color w:val="auto"/>
        </w:rPr>
        <w:t xml:space="preserve"> (Indemnification by MyoKardia) or </w:t>
      </w:r>
      <w:r>
        <w:rPr>
          <w:rFonts w:ascii="Arial" w:cs="Arial" w:eastAsia="Arial" w:hAnsi="Arial"/>
          <w:sz w:val="19"/>
          <w:szCs w:val="19"/>
          <w:u w:val="single" w:color="auto"/>
          <w:color w:val="auto"/>
        </w:rPr>
        <w:t>9.1.2</w:t>
      </w:r>
      <w:r>
        <w:rPr>
          <w:rFonts w:ascii="Arial" w:cs="Arial" w:eastAsia="Arial" w:hAnsi="Arial"/>
          <w:sz w:val="19"/>
          <w:szCs w:val="19"/>
          <w:color w:val="auto"/>
        </w:rPr>
        <w:t xml:space="preserve"> (Indemnification by Fulcrum), as applicable, such Party (the “</w:t>
      </w:r>
      <w:r>
        <w:rPr>
          <w:rFonts w:ascii="Arial" w:cs="Arial" w:eastAsia="Arial" w:hAnsi="Arial"/>
          <w:sz w:val="19"/>
          <w:szCs w:val="19"/>
          <w:b w:val="1"/>
          <w:bCs w:val="1"/>
          <w:color w:val="auto"/>
        </w:rPr>
        <w:t>Indemnified Party</w:t>
      </w:r>
      <w:r>
        <w:rPr>
          <w:rFonts w:ascii="Arial" w:cs="Arial" w:eastAsia="Arial" w:hAnsi="Arial"/>
          <w:sz w:val="19"/>
          <w:szCs w:val="19"/>
          <w:color w:val="auto"/>
        </w:rPr>
        <w:t>”) will give prompt written notice of the indemnity claim to the other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xml:space="preserve">”) and provide the Indemnifying Party with a copy of any complaint, summons or other written notice that the Indemnified Party receives in connection with any such claim. An Indemnified Party’s failure to deliver such written notice in a timely manner will relieve the Indemnifying Party of liability to the Indemnified Party under </w:t>
      </w:r>
      <w:r>
        <w:rPr>
          <w:rFonts w:ascii="Arial" w:cs="Arial" w:eastAsia="Arial" w:hAnsi="Arial"/>
          <w:sz w:val="19"/>
          <w:szCs w:val="19"/>
          <w:u w:val="single" w:color="auto"/>
          <w:color w:val="auto"/>
        </w:rPr>
        <w:t>Sections 9.1.1</w:t>
      </w:r>
      <w:r>
        <w:rPr>
          <w:rFonts w:ascii="Arial" w:cs="Arial" w:eastAsia="Arial" w:hAnsi="Arial"/>
          <w:sz w:val="19"/>
          <w:szCs w:val="19"/>
          <w:color w:val="auto"/>
        </w:rPr>
        <w:t xml:space="preserve"> (Indemnification by MyoKardia) or </w:t>
      </w:r>
      <w:r>
        <w:rPr>
          <w:rFonts w:ascii="Arial" w:cs="Arial" w:eastAsia="Arial" w:hAnsi="Arial"/>
          <w:sz w:val="19"/>
          <w:szCs w:val="19"/>
          <w:u w:val="single" w:color="auto"/>
          <w:color w:val="auto"/>
        </w:rPr>
        <w:t>9.1.2</w:t>
      </w:r>
      <w:r>
        <w:rPr>
          <w:rFonts w:ascii="Arial" w:cs="Arial" w:eastAsia="Arial" w:hAnsi="Arial"/>
          <w:sz w:val="19"/>
          <w:szCs w:val="19"/>
          <w:color w:val="auto"/>
        </w:rPr>
        <w:t xml:space="preserve"> (Indemnification by Fulcrum), as applicable, only to the extent such delay is prejudicial to the Indemnifying Party’s ability to defend such claim. The Indemnified Party will permit the Indemnifying Party to control any litigation relating to such claim and the disposition of such claim by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5" w:name="page136"/>
    <w:bookmarkEnd w:id="135"/>
    <w:p>
      <w:pPr>
        <w:jc w:val="both"/>
        <w:ind w:left="880"/>
        <w:spacing w:after="0" w:line="234" w:lineRule="auto"/>
        <w:rPr>
          <w:sz w:val="20"/>
          <w:szCs w:val="20"/>
          <w:color w:val="auto"/>
        </w:rPr>
      </w:pPr>
      <w:r>
        <w:rPr>
          <w:rFonts w:ascii="Arial" w:cs="Arial" w:eastAsia="Arial" w:hAnsi="Arial"/>
          <w:sz w:val="22"/>
          <w:szCs w:val="22"/>
          <w:color w:val="auto"/>
        </w:rPr>
        <w:t xml:space="preserve">negotiated settlement or otherwise (subject to this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(Indemnification)). The Indemnifying Party will act reasonably and in good faith with respect to all matters relating to such claim and will not settle or otherwise resolve such claim without the Indemnified Party’s prior written consent, which will not be unreasonably withheld, conditioned, or delayed;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consent will not be required with respect to any settlement that includes a full and complete release of the Indemnified Party and involves only the payment of monetary awards for which the Indemnifying Party will be fully-responsible. The Indemnified Party will cooperate with the Indemnifying Party in the Indemnifying Party’s defense of any claim for which indemnity is sought under this Agreement, at the Indemnifying Party’s cost and expense.</w:t>
      </w:r>
    </w:p>
    <w:p>
      <w:pPr>
        <w:spacing w:after="0" w:line="181"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Each Party will maintain, at its cost, reasonable insurance against liability and other risks associated with its activities contemplated by this Agreement and will furnish to the other Party evidence of such insurance upon request. Notwithstanding the foregoing, either Party may self-insure to the extent that it self-insures for its other activities.</w:t>
      </w:r>
    </w:p>
    <w:p>
      <w:pPr>
        <w:spacing w:after="0" w:line="12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u w:val="single" w:color="auto"/>
          <w:color w:val="auto"/>
        </w:rPr>
        <w:t>No Consequential Damages</w:t>
      </w:r>
      <w:r>
        <w:rPr>
          <w:rFonts w:ascii="Arial" w:cs="Arial" w:eastAsia="Arial" w:hAnsi="Arial"/>
          <w:sz w:val="22"/>
          <w:szCs w:val="22"/>
          <w:color w:val="auto"/>
        </w:rPr>
        <w:t xml:space="preserve">. EXCEPT WITH RESPECT TO LIABILITY ARISING FROM A BREACH OF THE CONFIDENTIALITY AND NON-USE PROVISIONS OF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(CONFIDENTIALITY) OR </w:t>
      </w: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(EXCLUSIVITY), OR TO THE EXTENT SUCH PARTY MAY BE REQUIRED TO INDEMNIFY THE OTHER PARTY UNDER THIS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(INDEMNIFICATION; INSURANCE), IN NO EVENT WILL EITHER PARTY OR ITS REPRESENTATIVES BE LIABLE UNDER THIS AGREEMENT FOR ANY SPECIAL, INDIRECT, INCIDENTAL, CONSEQUENTIAL OR PUNITIVE DAMAGES, WHETHER IN CONTRACT, WARRANTY, TORT, NEGLIGENCE, STRICT LIABILITY OR OTHERWISE, INCLUDING LOSS OF PROFITS OR REVENUE, SUFFERED BY THE OTHER PARTY OR ANY OF ITS REPRESENTATIVES.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TERMINATION</w:t>
      </w:r>
    </w:p>
    <w:p>
      <w:pPr>
        <w:spacing w:after="0" w:line="18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b w:val="1"/>
          <w:bCs w:val="1"/>
          <w:u w:val="single" w:color="auto"/>
          <w:color w:val="auto"/>
        </w:rPr>
        <w:t>Term</w:t>
      </w:r>
      <w:r>
        <w:rPr>
          <w:rFonts w:ascii="Arial" w:cs="Arial" w:eastAsia="Arial" w:hAnsi="Arial"/>
          <w:sz w:val="21"/>
          <w:szCs w:val="21"/>
          <w:color w:val="auto"/>
        </w:rPr>
        <w:t>. The term of this Agreement will commence on the Effective Date and continue on a Product-by-Product and country-by-country basis until the expiration of the last-to-expire Royalty Term for such Product in such country (the period from the Effective Date until the expiration of this Agreement with respect to all Products in all countries, the “</w:t>
      </w:r>
      <w:r>
        <w:rPr>
          <w:rFonts w:ascii="Arial" w:cs="Arial" w:eastAsia="Arial" w:hAnsi="Arial"/>
          <w:sz w:val="21"/>
          <w:szCs w:val="21"/>
          <w:b w:val="1"/>
          <w:bCs w:val="1"/>
          <w:color w:val="auto"/>
        </w:rPr>
        <w:t>Term</w:t>
      </w:r>
      <w:r>
        <w:rPr>
          <w:rFonts w:ascii="Arial" w:cs="Arial" w:eastAsia="Arial" w:hAnsi="Arial"/>
          <w:sz w:val="21"/>
          <w:szCs w:val="21"/>
          <w:color w:val="auto"/>
        </w:rPr>
        <w:t xml:space="preserve">”) unless this Agreement is terminated earlier in accordance with this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(Term; Termination). Notwithstanding the foregoing, if MyoKardia has not designated a Cardiomyopathy Target Candidate as a Lead Cardiomyopathy Target by the end of the First Designation Period, then this Agreement will automatically terminate.</w:t>
      </w:r>
    </w:p>
    <w:p>
      <w:pPr>
        <w:spacing w:after="0" w:line="17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b w:val="1"/>
          <w:bCs w:val="1"/>
          <w:u w:val="single" w:color="auto"/>
          <w:color w:val="auto"/>
        </w:rPr>
        <w:t>Termination</w:t>
      </w:r>
      <w:r>
        <w:rPr>
          <w:rFonts w:ascii="Arial" w:cs="Arial" w:eastAsia="Arial" w:hAnsi="Arial"/>
          <w:sz w:val="19"/>
          <w:szCs w:val="19"/>
          <w:color w:val="auto"/>
        </w:rPr>
        <w:t>.</w:t>
      </w:r>
    </w:p>
    <w:p>
      <w:pPr>
        <w:spacing w:after="0" w:line="206" w:lineRule="exact"/>
        <w:rPr>
          <w:sz w:val="20"/>
          <w:szCs w:val="20"/>
          <w:color w:val="auto"/>
        </w:rPr>
      </w:pPr>
    </w:p>
    <w:p>
      <w:pPr>
        <w:jc w:val="both"/>
        <w:ind w:left="880" w:firstLine="797"/>
        <w:spacing w:after="0" w:line="239" w:lineRule="auto"/>
        <w:rPr>
          <w:sz w:val="20"/>
          <w:szCs w:val="20"/>
          <w:color w:val="auto"/>
        </w:rPr>
      </w:pPr>
      <w:r>
        <w:rPr>
          <w:rFonts w:ascii="Arial" w:cs="Arial" w:eastAsia="Arial" w:hAnsi="Arial"/>
          <w:sz w:val="22"/>
          <w:szCs w:val="22"/>
          <w:color w:val="auto"/>
        </w:rPr>
        <w:t xml:space="preserve">10.2.1. </w:t>
      </w:r>
      <w:r>
        <w:rPr>
          <w:rFonts w:ascii="Arial" w:cs="Arial" w:eastAsia="Arial" w:hAnsi="Arial"/>
          <w:sz w:val="22"/>
          <w:szCs w:val="22"/>
          <w:b w:val="1"/>
          <w:bCs w:val="1"/>
          <w:color w:val="auto"/>
        </w:rPr>
        <w:t>Termination for Convenience</w:t>
      </w:r>
      <w:r>
        <w:rPr>
          <w:rFonts w:ascii="Arial" w:cs="Arial" w:eastAsia="Arial" w:hAnsi="Arial"/>
          <w:sz w:val="22"/>
          <w:szCs w:val="22"/>
          <w:color w:val="auto"/>
        </w:rPr>
        <w:t>. MyoKardia may terminate this Agreement for convenience at any time in its entirety or on a Target-by-Target, Product-by-Product or Molecule-by-Molecule basis by providing written notice of its intent to terminate to Fulcrum, in which case, such termination will be effective [**] after Fulcrum’s receipt of such written notice.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6" w:name="page137"/>
    <w:bookmarkEnd w:id="136"/>
    <w:p>
      <w:pPr>
        <w:jc w:val="both"/>
        <w:ind w:firstLine="797"/>
        <w:spacing w:after="0" w:line="243" w:lineRule="auto"/>
        <w:rPr>
          <w:sz w:val="20"/>
          <w:szCs w:val="20"/>
          <w:color w:val="auto"/>
        </w:rPr>
      </w:pPr>
      <w:r>
        <w:rPr>
          <w:rFonts w:ascii="Arial" w:cs="Arial" w:eastAsia="Arial" w:hAnsi="Arial"/>
          <w:sz w:val="22"/>
          <w:szCs w:val="22"/>
          <w:color w:val="auto"/>
        </w:rPr>
        <w:t xml:space="preserve">10.2.2. </w:t>
      </w:r>
      <w:r>
        <w:rPr>
          <w:rFonts w:ascii="Arial" w:cs="Arial" w:eastAsia="Arial" w:hAnsi="Arial"/>
          <w:sz w:val="22"/>
          <w:szCs w:val="22"/>
          <w:b w:val="1"/>
          <w:bCs w:val="1"/>
          <w:color w:val="auto"/>
        </w:rPr>
        <w:t>For Safety</w:t>
      </w:r>
      <w:r>
        <w:rPr>
          <w:rFonts w:ascii="Arial" w:cs="Arial" w:eastAsia="Arial" w:hAnsi="Arial"/>
          <w:sz w:val="22"/>
          <w:szCs w:val="22"/>
          <w:color w:val="auto"/>
        </w:rPr>
        <w:t>. MyoKardia may terminate this Agreement in its entirety or on a Target-by-Target, Product-by-Product or Molecule-by-Molecule basis, effective immediately upon written notice to Fulcrum in the event of:</w:t>
      </w:r>
    </w:p>
    <w:p>
      <w:pPr>
        <w:spacing w:after="0" w:line="183" w:lineRule="exact"/>
        <w:rPr>
          <w:sz w:val="20"/>
          <w:szCs w:val="20"/>
          <w:color w:val="auto"/>
        </w:rPr>
      </w:pPr>
    </w:p>
    <w:p>
      <w:pPr>
        <w:ind w:left="860" w:firstLine="726"/>
        <w:spacing w:after="0" w:line="250" w:lineRule="auto"/>
        <w:tabs>
          <w:tab w:leader="none" w:pos="2478" w:val="left"/>
        </w:tabs>
        <w:numPr>
          <w:ilvl w:val="0"/>
          <w:numId w:val="72"/>
        </w:numPr>
        <w:rPr>
          <w:rFonts w:ascii="Arial" w:cs="Arial" w:eastAsia="Arial" w:hAnsi="Arial"/>
          <w:sz w:val="22"/>
          <w:szCs w:val="22"/>
          <w:color w:val="auto"/>
        </w:rPr>
      </w:pPr>
      <w:r>
        <w:rPr>
          <w:rFonts w:ascii="Arial" w:cs="Arial" w:eastAsia="Arial" w:hAnsi="Arial"/>
          <w:sz w:val="22"/>
          <w:szCs w:val="22"/>
          <w:color w:val="auto"/>
        </w:rPr>
        <w:t>withdrawal or suspension of any Regulatory Approval for a Product directed against a Target in a Major Market Country;</w:t>
      </w:r>
    </w:p>
    <w:p>
      <w:pPr>
        <w:spacing w:after="0" w:line="174" w:lineRule="exact"/>
        <w:rPr>
          <w:rFonts w:ascii="Arial" w:cs="Arial" w:eastAsia="Arial" w:hAnsi="Arial"/>
          <w:sz w:val="22"/>
          <w:szCs w:val="22"/>
          <w:color w:val="auto"/>
        </w:rPr>
      </w:pPr>
    </w:p>
    <w:p>
      <w:pPr>
        <w:ind w:left="860" w:right="20" w:firstLine="726"/>
        <w:spacing w:after="0" w:line="250" w:lineRule="auto"/>
        <w:tabs>
          <w:tab w:leader="none" w:pos="2491" w:val="left"/>
        </w:tabs>
        <w:numPr>
          <w:ilvl w:val="0"/>
          <w:numId w:val="72"/>
        </w:numPr>
        <w:rPr>
          <w:rFonts w:ascii="Arial" w:cs="Arial" w:eastAsia="Arial" w:hAnsi="Arial"/>
          <w:sz w:val="22"/>
          <w:szCs w:val="22"/>
          <w:color w:val="auto"/>
        </w:rPr>
      </w:pPr>
      <w:r>
        <w:rPr>
          <w:rFonts w:ascii="Arial" w:cs="Arial" w:eastAsia="Arial" w:hAnsi="Arial"/>
          <w:sz w:val="22"/>
          <w:szCs w:val="22"/>
          <w:color w:val="auto"/>
        </w:rPr>
        <w:t>a Regulatory Authority notifies MyoKardia or its Affiliate that there is a safety issue regarding any Molecule or Product directed against a Target; or</w:t>
      </w:r>
    </w:p>
    <w:p>
      <w:pPr>
        <w:spacing w:after="0" w:line="174" w:lineRule="exact"/>
        <w:rPr>
          <w:rFonts w:ascii="Arial" w:cs="Arial" w:eastAsia="Arial" w:hAnsi="Arial"/>
          <w:sz w:val="22"/>
          <w:szCs w:val="22"/>
          <w:color w:val="auto"/>
        </w:rPr>
      </w:pPr>
    </w:p>
    <w:p>
      <w:pPr>
        <w:jc w:val="both"/>
        <w:ind w:left="860" w:firstLine="726"/>
        <w:spacing w:after="0" w:line="249" w:lineRule="auto"/>
        <w:tabs>
          <w:tab w:leader="none" w:pos="2478" w:val="left"/>
        </w:tabs>
        <w:numPr>
          <w:ilvl w:val="0"/>
          <w:numId w:val="72"/>
        </w:numPr>
        <w:rPr>
          <w:rFonts w:ascii="Arial" w:cs="Arial" w:eastAsia="Arial" w:hAnsi="Arial"/>
          <w:sz w:val="21"/>
          <w:szCs w:val="21"/>
          <w:color w:val="auto"/>
        </w:rPr>
      </w:pPr>
      <w:r>
        <w:rPr>
          <w:rFonts w:ascii="Arial" w:cs="Arial" w:eastAsia="Arial" w:hAnsi="Arial"/>
          <w:sz w:val="21"/>
          <w:szCs w:val="21"/>
          <w:color w:val="auto"/>
        </w:rPr>
        <w:t>MyoKardia in good faith determines that it is not advisable to continue to develop or commercialize any Product directed against a Target as a result of a safety concern regarding the use thereof for the indication to which such Product is directed, based on specific results generated in connection with the development conducted hereunder by either Party, safety reports, evidence provided in scientific publications or other objective evidence from credible sources.</w:t>
      </w:r>
    </w:p>
    <w:p>
      <w:pPr>
        <w:spacing w:after="0" w:line="172" w:lineRule="exact"/>
        <w:rPr>
          <w:sz w:val="20"/>
          <w:szCs w:val="20"/>
          <w:color w:val="auto"/>
        </w:rPr>
      </w:pPr>
    </w:p>
    <w:p>
      <w:pPr>
        <w:jc w:val="both"/>
        <w:ind w:firstLine="797"/>
        <w:spacing w:after="0" w:line="272" w:lineRule="auto"/>
        <w:rPr>
          <w:sz w:val="20"/>
          <w:szCs w:val="20"/>
          <w:color w:val="auto"/>
        </w:rPr>
      </w:pPr>
      <w:r>
        <w:rPr>
          <w:rFonts w:ascii="Arial" w:cs="Arial" w:eastAsia="Arial" w:hAnsi="Arial"/>
          <w:sz w:val="19"/>
          <w:szCs w:val="19"/>
          <w:color w:val="auto"/>
        </w:rPr>
        <w:t xml:space="preserve">10.2.3. </w:t>
      </w:r>
      <w:r>
        <w:rPr>
          <w:rFonts w:ascii="Arial" w:cs="Arial" w:eastAsia="Arial" w:hAnsi="Arial"/>
          <w:sz w:val="19"/>
          <w:szCs w:val="19"/>
          <w:b w:val="1"/>
          <w:bCs w:val="1"/>
          <w:color w:val="auto"/>
        </w:rPr>
        <w:t>Termination for Material Breach</w:t>
      </w:r>
      <w:r>
        <w:rPr>
          <w:rFonts w:ascii="Arial" w:cs="Arial" w:eastAsia="Arial" w:hAnsi="Arial"/>
          <w:sz w:val="19"/>
          <w:szCs w:val="19"/>
          <w:color w:val="auto"/>
        </w:rPr>
        <w:t xml:space="preserve">. In the event either Party commits a material breach of its obligations under this Agreement and fails to cure that breach within [**] (or, in the case of a payment breach, [**]) after receiving written notice thereof, then the non-breaching Party may terminate this Agreement in its entirety if the breach is not specific to a Target, Product or Molecule, or on a Target-by-Target, Product-by-Product or Molecule-by-Molecule basis with respect to the Target to which the breach relates, immediately upon written notice to the breaching Party upon the expiration of such cure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such breach (other than a payment breach) is capable of being cured but cannot be cured within such [**] period and the breaching Party initiates actions to cure such breach within such period and thereafter diligently pursues such actions, then the cure period will be extended for so long as the breaching Party is diligently pursuing such actions not to exceed [**]. In the event that the breaching Party disputes in good faith the non-breaching Party’s grounds for terminating this Agreement under this </w:t>
      </w:r>
      <w:r>
        <w:rPr>
          <w:rFonts w:ascii="Arial" w:cs="Arial" w:eastAsia="Arial" w:hAnsi="Arial"/>
          <w:sz w:val="19"/>
          <w:szCs w:val="19"/>
          <w:u w:val="single" w:color="auto"/>
          <w:color w:val="auto"/>
        </w:rPr>
        <w:t>Section 10.2.3</w:t>
      </w:r>
      <w:r>
        <w:rPr>
          <w:rFonts w:ascii="Arial" w:cs="Arial" w:eastAsia="Arial" w:hAnsi="Arial"/>
          <w:sz w:val="19"/>
          <w:szCs w:val="19"/>
          <w:color w:val="auto"/>
        </w:rPr>
        <w:t xml:space="preserve"> (Termination for Material Breach), then the Parties will refer such dispute to the Executive Officers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12.1.2</w:t>
      </w:r>
      <w:r>
        <w:rPr>
          <w:rFonts w:ascii="Arial" w:cs="Arial" w:eastAsia="Arial" w:hAnsi="Arial"/>
          <w:sz w:val="19"/>
          <w:szCs w:val="19"/>
          <w:color w:val="auto"/>
        </w:rPr>
        <w:t xml:space="preserve"> (Resolution by Executive Officers) and, if necessary, </w:t>
      </w:r>
      <w:r>
        <w:rPr>
          <w:rFonts w:ascii="Arial" w:cs="Arial" w:eastAsia="Arial" w:hAnsi="Arial"/>
          <w:sz w:val="19"/>
          <w:szCs w:val="19"/>
          <w:u w:val="single" w:color="auto"/>
          <w:color w:val="auto"/>
        </w:rPr>
        <w:t>Section 12.1.3</w:t>
      </w:r>
      <w:r>
        <w:rPr>
          <w:rFonts w:ascii="Arial" w:cs="Arial" w:eastAsia="Arial" w:hAnsi="Arial"/>
          <w:sz w:val="19"/>
          <w:szCs w:val="19"/>
          <w:color w:val="auto"/>
        </w:rPr>
        <w:t xml:space="preserve"> (Resolution by Mediation), and any cure period provided for under this </w:t>
      </w:r>
      <w:r>
        <w:rPr>
          <w:rFonts w:ascii="Arial" w:cs="Arial" w:eastAsia="Arial" w:hAnsi="Arial"/>
          <w:sz w:val="19"/>
          <w:szCs w:val="19"/>
          <w:u w:val="single" w:color="auto"/>
          <w:color w:val="auto"/>
        </w:rPr>
        <w:t>Section 10.2.3</w:t>
      </w:r>
      <w:r>
        <w:rPr>
          <w:rFonts w:ascii="Arial" w:cs="Arial" w:eastAsia="Arial" w:hAnsi="Arial"/>
          <w:sz w:val="19"/>
          <w:szCs w:val="19"/>
          <w:color w:val="auto"/>
        </w:rPr>
        <w:t xml:space="preserve"> (Termination for Material Breach) will be tolled during the pendency of such dispute.</w:t>
      </w:r>
    </w:p>
    <w:p>
      <w:pPr>
        <w:spacing w:after="0" w:line="399" w:lineRule="exact"/>
        <w:rPr>
          <w:sz w:val="20"/>
          <w:szCs w:val="20"/>
          <w:color w:val="auto"/>
        </w:rPr>
      </w:pPr>
    </w:p>
    <w:p>
      <w:pPr>
        <w:ind w:left="780"/>
        <w:spacing w:after="0"/>
        <w:tabs>
          <w:tab w:leader="none" w:pos="2020" w:val="left"/>
        </w:tabs>
        <w:rPr>
          <w:sz w:val="20"/>
          <w:szCs w:val="20"/>
          <w:color w:val="auto"/>
        </w:rPr>
      </w:pPr>
      <w:r>
        <w:rPr>
          <w:rFonts w:ascii="Arial" w:cs="Arial" w:eastAsia="Arial" w:hAnsi="Arial"/>
          <w:sz w:val="22"/>
          <w:szCs w:val="22"/>
          <w:color w:val="auto"/>
        </w:rPr>
        <w:t>10.2.4.</w:t>
      </w:r>
      <w:r>
        <w:rPr>
          <w:sz w:val="20"/>
          <w:szCs w:val="20"/>
          <w:color w:val="auto"/>
        </w:rPr>
        <w:tab/>
      </w:r>
      <w:r>
        <w:rPr>
          <w:rFonts w:ascii="Arial" w:cs="Arial" w:eastAsia="Arial" w:hAnsi="Arial"/>
          <w:sz w:val="19"/>
          <w:szCs w:val="19"/>
          <w:b w:val="1"/>
          <w:bCs w:val="1"/>
          <w:color w:val="auto"/>
        </w:rPr>
        <w:t>Termination for Insolvency</w:t>
      </w:r>
      <w:r>
        <w:rPr>
          <w:rFonts w:ascii="Arial" w:cs="Arial" w:eastAsia="Arial" w:hAnsi="Arial"/>
          <w:sz w:val="19"/>
          <w:szCs w:val="19"/>
          <w:color w:val="auto"/>
        </w:rPr>
        <w:t>.</w:t>
      </w:r>
    </w:p>
    <w:p>
      <w:pPr>
        <w:spacing w:after="0" w:line="212" w:lineRule="exact"/>
        <w:rPr>
          <w:sz w:val="20"/>
          <w:szCs w:val="20"/>
          <w:color w:val="auto"/>
        </w:rPr>
      </w:pPr>
    </w:p>
    <w:p>
      <w:pPr>
        <w:jc w:val="both"/>
        <w:ind w:left="860" w:firstLine="726"/>
        <w:spacing w:after="0" w:line="234" w:lineRule="auto"/>
        <w:tabs>
          <w:tab w:leader="none" w:pos="2478" w:val="left"/>
        </w:tabs>
        <w:numPr>
          <w:ilvl w:val="0"/>
          <w:numId w:val="73"/>
        </w:numPr>
        <w:rPr>
          <w:rFonts w:ascii="Arial" w:cs="Arial" w:eastAsia="Arial" w:hAnsi="Arial"/>
          <w:sz w:val="22"/>
          <w:szCs w:val="22"/>
          <w:color w:val="auto"/>
        </w:rPr>
      </w:pPr>
      <w:r>
        <w:rPr>
          <w:rFonts w:ascii="Arial" w:cs="Arial" w:eastAsia="Arial" w:hAnsi="Arial"/>
          <w:sz w:val="22"/>
          <w:szCs w:val="22"/>
          <w:color w:val="auto"/>
        </w:rPr>
        <w:t>If either Party makes an assignment for the benefit of creditors, appoints or suffers appointment of a receiver or trustee over all or substantially all of its property, files a petition under any bankruptcy or insolvency act or has any such petition filed against it that is not discharged within [**] after the filing thereof (each, an “</w:t>
      </w:r>
      <w:r>
        <w:rPr>
          <w:rFonts w:ascii="Arial" w:cs="Arial" w:eastAsia="Arial" w:hAnsi="Arial"/>
          <w:sz w:val="22"/>
          <w:szCs w:val="22"/>
          <w:b w:val="1"/>
          <w:bCs w:val="1"/>
          <w:color w:val="auto"/>
        </w:rPr>
        <w:t>Insolvency Event</w:t>
      </w:r>
      <w:r>
        <w:rPr>
          <w:rFonts w:ascii="Arial" w:cs="Arial" w:eastAsia="Arial" w:hAnsi="Arial"/>
          <w:sz w:val="22"/>
          <w:szCs w:val="22"/>
          <w:color w:val="auto"/>
        </w:rPr>
        <w:t>”), the other Party may terminate this Agreement in its entirety by providing written notice to the Party subject to the Insolvency Event (such Party, the “</w:t>
      </w:r>
      <w:r>
        <w:rPr>
          <w:rFonts w:ascii="Arial" w:cs="Arial" w:eastAsia="Arial" w:hAnsi="Arial"/>
          <w:sz w:val="22"/>
          <w:szCs w:val="22"/>
          <w:b w:val="1"/>
          <w:bCs w:val="1"/>
          <w:color w:val="auto"/>
        </w:rPr>
        <w:t>Insolvent Party</w:t>
      </w:r>
      <w:r>
        <w:rPr>
          <w:rFonts w:ascii="Arial" w:cs="Arial" w:eastAsia="Arial" w:hAnsi="Arial"/>
          <w:sz w:val="22"/>
          <w:szCs w:val="22"/>
          <w:color w:val="auto"/>
        </w:rPr>
        <w:t xml:space="preserve">”), in which case, this Agreement will terminate on the date on which the Insolvent Party receives such written notice;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9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55" w:right="339" w:bottom="1440" w:gutter="0" w:footer="0" w:header="0"/>
        </w:sectPr>
      </w:pPr>
    </w:p>
    <w:bookmarkStart w:id="137" w:name="page138"/>
    <w:bookmarkEnd w:id="137"/>
    <w:p>
      <w:pPr>
        <w:jc w:val="both"/>
        <w:ind w:left="1740"/>
        <w:spacing w:after="0" w:line="252" w:lineRule="auto"/>
        <w:rPr>
          <w:sz w:val="20"/>
          <w:szCs w:val="20"/>
          <w:color w:val="auto"/>
        </w:rPr>
      </w:pPr>
      <w:r>
        <w:rPr>
          <w:rFonts w:ascii="Arial" w:cs="Arial" w:eastAsia="Arial" w:hAnsi="Arial"/>
          <w:sz w:val="21"/>
          <w:szCs w:val="21"/>
          <w:color w:val="auto"/>
        </w:rPr>
        <w:t>no termination shall be permitted pursuant to this clause (a) if the Insolvent Party (i) does not reject this Agreement or otherwise disavow its obligations hereunder, (ii) continues to perform its obligations hereunder during such Insolvency Event, and (iii) assumes this Agreement or otherwise affirms its obligations hereunder on or before any deadline for doing so during such Insolvency Event.</w:t>
      </w:r>
    </w:p>
    <w:p>
      <w:pPr>
        <w:spacing w:after="0" w:line="174" w:lineRule="exact"/>
        <w:rPr>
          <w:sz w:val="20"/>
          <w:szCs w:val="20"/>
          <w:color w:val="auto"/>
        </w:rPr>
      </w:pPr>
    </w:p>
    <w:p>
      <w:pPr>
        <w:jc w:val="both"/>
        <w:ind w:left="1740" w:firstLine="726"/>
        <w:spacing w:after="0" w:line="269" w:lineRule="auto"/>
        <w:tabs>
          <w:tab w:leader="none" w:pos="3371" w:val="left"/>
        </w:tabs>
        <w:numPr>
          <w:ilvl w:val="0"/>
          <w:numId w:val="74"/>
        </w:numPr>
        <w:rPr>
          <w:rFonts w:ascii="Arial" w:cs="Arial" w:eastAsia="Arial" w:hAnsi="Arial"/>
          <w:sz w:val="19"/>
          <w:szCs w:val="19"/>
          <w:color w:val="auto"/>
        </w:rPr>
      </w:pPr>
      <w:r>
        <w:rPr>
          <w:rFonts w:ascii="Arial" w:cs="Arial" w:eastAsia="Arial" w:hAnsi="Arial"/>
          <w:sz w:val="19"/>
          <w:szCs w:val="19"/>
          <w:color w:val="auto"/>
        </w:rPr>
        <w:t>All licenses and rights to licenses granted under or pursuant to this Agreement by Fulcrum to MyoKardia are, and will otherwise be deemed to be, for purposes of Section 365(n) of the United States Bankruptcy Code (the “</w:t>
      </w:r>
      <w:r>
        <w:rPr>
          <w:rFonts w:ascii="Arial" w:cs="Arial" w:eastAsia="Arial" w:hAnsi="Arial"/>
          <w:sz w:val="19"/>
          <w:szCs w:val="19"/>
          <w:b w:val="1"/>
          <w:bCs w:val="1"/>
          <w:color w:val="auto"/>
        </w:rPr>
        <w:t>Bankruptcy Code</w:t>
      </w:r>
      <w:r>
        <w:rPr>
          <w:rFonts w:ascii="Arial" w:cs="Arial" w:eastAsia="Arial" w:hAnsi="Arial"/>
          <w:sz w:val="19"/>
          <w:szCs w:val="19"/>
          <w:color w:val="auto"/>
        </w:rPr>
        <w:t>”), licenses of rights to “intellectual property” as defined under Section 101(35A) of the Bankruptcy Code. The Parties agree that MyoKardia, as a licensee of such rights under this Agreement, will retain and may fully exercise all of its rights and elections under the Bankruptcy Code. The Parties further agree that that upon commencement of a bankruptcy proceeding by or against Fulcrum under the Bankruptcy Code, MyoKardia will be entitled to a complete duplicate of, or complete access to (as MyoKardia deems appropriate), all such intellectual property and all embodiments of such intellectual property as may be necessary for MyoKardia to exercise its rights and licenses in accordance with this Agreement. Such intellectual property and all embodiments of such intellectual property will be promptly delivered to MyoKardia (i) upon any such commencement of a bankruptcy proceeding and upon written request by MyoKardia, unless Fulcrum assumes this Agreement or otherwise affirms its obligations hereunder on or before any deadline for doing so during such bankruptcy proceeding, or (ii) if not delivered under (i) above, upon the rejection of this Agreement by or on behalf of Fulcrum and upon written request by the MyoKardia. Fulcrum (in any capacity, including debtor-in-possession) and its successors and assigns (including any trustee) agrees not to interfere with the exercise by MyoKardia or its Affiliates of its rights and licenses to such intellectual property and such embodiments of intellectual property in accordance with this Agreement, and agrees to assist MyoKardia and its Affiliates in obtaining such intellectual property and such embodiments of intellectual property in the possession or control of Third Parties as reasonably necessary or desirable for MyoKardia to exercise such rights and licenses in accordance with this Agreement. The foregoing provisions are without prejudice to any rights MyoKardia may have arising under the Bankruptcy Code or other Applicable Law.</w:t>
      </w:r>
    </w:p>
    <w:p>
      <w:pPr>
        <w:spacing w:after="0" w:line="200" w:lineRule="exact"/>
        <w:rPr>
          <w:sz w:val="20"/>
          <w:szCs w:val="20"/>
          <w:color w:val="auto"/>
        </w:rPr>
      </w:pPr>
    </w:p>
    <w:p>
      <w:pPr>
        <w:spacing w:after="0" w:line="21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b w:val="1"/>
          <w:bCs w:val="1"/>
          <w:u w:val="single" w:color="auto"/>
          <w:color w:val="auto"/>
        </w:rPr>
        <w:t>Alternative in Lieu of Termination</w:t>
      </w:r>
      <w:r>
        <w:rPr>
          <w:rFonts w:ascii="Arial" w:cs="Arial" w:eastAsia="Arial" w:hAnsi="Arial"/>
          <w:sz w:val="21"/>
          <w:szCs w:val="21"/>
          <w:color w:val="auto"/>
        </w:rPr>
        <w:t xml:space="preserve">. Notwithstanding anything to the contrary set forth in this Agreement, if MyoKardia has the right to terminate this Agreement pursuant to </w:t>
      </w:r>
      <w:r>
        <w:rPr>
          <w:rFonts w:ascii="Arial" w:cs="Arial" w:eastAsia="Arial" w:hAnsi="Arial"/>
          <w:sz w:val="21"/>
          <w:szCs w:val="21"/>
          <w:u w:val="single" w:color="auto"/>
          <w:color w:val="auto"/>
        </w:rPr>
        <w:t>Section 10.2.3</w:t>
      </w:r>
      <w:r>
        <w:rPr>
          <w:rFonts w:ascii="Arial" w:cs="Arial" w:eastAsia="Arial" w:hAnsi="Arial"/>
          <w:sz w:val="21"/>
          <w:szCs w:val="21"/>
          <w:color w:val="auto"/>
        </w:rPr>
        <w:t xml:space="preserve"> (Termination for Material Breach) in its entirety or on a Target-by-Target, Product-by-Product or Molecule-by-Molecule basis with respect to the Target, Product or Molecule to which the breach relates (after the expiration of all relevant cure periods and resolution of any dispute with respect to MyoKardia’s right to terminate this Agreement), or </w:t>
      </w:r>
      <w:r>
        <w:rPr>
          <w:rFonts w:ascii="Arial" w:cs="Arial" w:eastAsia="Arial" w:hAnsi="Arial"/>
          <w:sz w:val="21"/>
          <w:szCs w:val="21"/>
          <w:u w:val="single" w:color="auto"/>
          <w:color w:val="auto"/>
        </w:rPr>
        <w:t>Section 10.2.4</w:t>
      </w:r>
      <w:r>
        <w:rPr>
          <w:rFonts w:ascii="Arial" w:cs="Arial" w:eastAsia="Arial" w:hAnsi="Arial"/>
          <w:sz w:val="21"/>
          <w:szCs w:val="21"/>
          <w:color w:val="auto"/>
        </w:rPr>
        <w:t xml:space="preserve"> (Termination for Insolvency), MyoKardia may either elect, in lieu of terminating this Agreement, for the rights and obligations of the Parties under this Agreement to remain in full force and effect, including the licenses and rights granted by Fulcrum to MyoKardia under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(License Grant to MyoKardia);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with respect to such Product or Molecule or all Products or Molecules directed against such Target (or, in the case</w:t>
      </w:r>
      <w:r>
        <w:rPr>
          <w:rFonts w:ascii="Arial" w:cs="Arial" w:eastAsia="Arial" w:hAnsi="Arial"/>
          <w:sz w:val="21"/>
          <w:szCs w:val="21"/>
          <w:i w:val="1"/>
          <w:iCs w:val="1"/>
          <w:color w:val="auto"/>
        </w:rPr>
        <w:t xml:space="preserve"> </w:t>
      </w:r>
      <w:r>
        <w:rPr>
          <w:rFonts w:ascii="Arial" w:cs="Arial" w:eastAsia="Arial" w:hAnsi="Arial"/>
          <w:sz w:val="21"/>
          <w:szCs w:val="21"/>
          <w:color w:val="auto"/>
        </w:rPr>
        <w:t>of a right to terminate the Agreement in its entirety,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8" w:name="page139"/>
    <w:bookmarkEnd w:id="138"/>
    <w:p>
      <w:pPr>
        <w:spacing w:after="0" w:line="274" w:lineRule="auto"/>
        <w:rPr>
          <w:sz w:val="20"/>
          <w:szCs w:val="20"/>
          <w:color w:val="auto"/>
        </w:rPr>
      </w:pPr>
      <w:r>
        <w:rPr>
          <w:rFonts w:ascii="Arial" w:cs="Arial" w:eastAsia="Arial" w:hAnsi="Arial"/>
          <w:sz w:val="21"/>
          <w:szCs w:val="21"/>
          <w:color w:val="auto"/>
        </w:rPr>
        <w:t xml:space="preserve">with respect to all Products), MyoKardia’s financial obligations under </w:t>
      </w:r>
      <w:r>
        <w:rPr>
          <w:rFonts w:ascii="Arial" w:cs="Arial" w:eastAsia="Arial" w:hAnsi="Arial"/>
          <w:sz w:val="21"/>
          <w:szCs w:val="21"/>
          <w:u w:val="single" w:color="auto"/>
          <w:color w:val="auto"/>
        </w:rPr>
        <w:t>Sections 6.3</w:t>
      </w:r>
      <w:r>
        <w:rPr>
          <w:rFonts w:ascii="Arial" w:cs="Arial" w:eastAsia="Arial" w:hAnsi="Arial"/>
          <w:sz w:val="21"/>
          <w:szCs w:val="21"/>
          <w:color w:val="auto"/>
        </w:rPr>
        <w:t xml:space="preserve"> (Milestone Payments) and </w:t>
      </w:r>
      <w:r>
        <w:rPr>
          <w:rFonts w:ascii="Arial" w:cs="Arial" w:eastAsia="Arial" w:hAnsi="Arial"/>
          <w:sz w:val="21"/>
          <w:szCs w:val="21"/>
          <w:u w:val="single" w:color="auto"/>
          <w:color w:val="auto"/>
        </w:rPr>
        <w:t>6.4</w:t>
      </w:r>
      <w:r>
        <w:rPr>
          <w:rFonts w:ascii="Arial" w:cs="Arial" w:eastAsia="Arial" w:hAnsi="Arial"/>
          <w:sz w:val="21"/>
          <w:szCs w:val="21"/>
          <w:color w:val="auto"/>
        </w:rPr>
        <w:t xml:space="preserve"> (Royalties) will be reduced by [**] of what they would otherwise be if calculated in accordance with such Section [**].</w:t>
      </w:r>
    </w:p>
    <w:p>
      <w:pPr>
        <w:spacing w:after="0" w:line="145"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b w:val="1"/>
          <w:bCs w:val="1"/>
          <w:u w:val="single" w:color="auto"/>
          <w:color w:val="auto"/>
        </w:rPr>
        <w:t>Consequences of Termination of this Agreement</w:t>
      </w:r>
      <w:r>
        <w:rPr>
          <w:rFonts w:ascii="Arial" w:cs="Arial" w:eastAsia="Arial" w:hAnsi="Arial"/>
          <w:sz w:val="19"/>
          <w:szCs w:val="19"/>
          <w:color w:val="auto"/>
        </w:rPr>
        <w:t>.</w:t>
      </w:r>
    </w:p>
    <w:p>
      <w:pPr>
        <w:spacing w:after="0" w:line="206" w:lineRule="exact"/>
        <w:rPr>
          <w:sz w:val="20"/>
          <w:szCs w:val="20"/>
          <w:color w:val="auto"/>
        </w:rPr>
      </w:pPr>
    </w:p>
    <w:p>
      <w:pPr>
        <w:ind w:left="880" w:firstLine="797"/>
        <w:spacing w:after="0" w:line="256" w:lineRule="auto"/>
        <w:rPr>
          <w:sz w:val="20"/>
          <w:szCs w:val="20"/>
          <w:color w:val="auto"/>
        </w:rPr>
      </w:pPr>
      <w:r>
        <w:rPr>
          <w:rFonts w:ascii="Arial" w:cs="Arial" w:eastAsia="Arial" w:hAnsi="Arial"/>
          <w:sz w:val="22"/>
          <w:szCs w:val="22"/>
          <w:color w:val="auto"/>
        </w:rPr>
        <w:t xml:space="preserve">10.4.1. </w:t>
      </w:r>
      <w:r>
        <w:rPr>
          <w:rFonts w:ascii="Arial" w:cs="Arial" w:eastAsia="Arial" w:hAnsi="Arial"/>
          <w:sz w:val="22"/>
          <w:szCs w:val="22"/>
          <w:b w:val="1"/>
          <w:bCs w:val="1"/>
          <w:color w:val="auto"/>
        </w:rPr>
        <w:t>Effects of Termination</w:t>
      </w:r>
      <w:r>
        <w:rPr>
          <w:rFonts w:ascii="Arial" w:cs="Arial" w:eastAsia="Arial" w:hAnsi="Arial"/>
          <w:sz w:val="22"/>
          <w:szCs w:val="22"/>
          <w:color w:val="auto"/>
        </w:rPr>
        <w:t>. Upon any termination of this Agreement in its entirety or with respect to a Target, Product or Molecule:</w:t>
      </w:r>
    </w:p>
    <w:p>
      <w:pPr>
        <w:spacing w:after="0" w:line="168" w:lineRule="exact"/>
        <w:rPr>
          <w:sz w:val="20"/>
          <w:szCs w:val="20"/>
          <w:color w:val="auto"/>
        </w:rPr>
      </w:pPr>
    </w:p>
    <w:p>
      <w:pPr>
        <w:jc w:val="both"/>
        <w:ind w:left="1740" w:firstLine="726"/>
        <w:spacing w:after="0" w:line="238" w:lineRule="auto"/>
        <w:tabs>
          <w:tab w:leader="none" w:pos="3358" w:val="left"/>
        </w:tabs>
        <w:numPr>
          <w:ilvl w:val="1"/>
          <w:numId w:val="75"/>
        </w:numPr>
        <w:rPr>
          <w:rFonts w:ascii="Arial" w:cs="Arial" w:eastAsia="Arial" w:hAnsi="Arial"/>
          <w:sz w:val="22"/>
          <w:szCs w:val="22"/>
          <w:color w:val="auto"/>
        </w:rPr>
      </w:pPr>
      <w:r>
        <w:rPr>
          <w:rFonts w:ascii="Arial" w:cs="Arial" w:eastAsia="Arial" w:hAnsi="Arial"/>
          <w:sz w:val="22"/>
          <w:szCs w:val="22"/>
          <w:color w:val="auto"/>
        </w:rPr>
        <w:t xml:space="preserve">all license rights granted by Fulcrum to MyoKardia pursuant to this Agreement, including the license rights granted to MyoKardia under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(License Grant to MyoKardia) will terminate in their entirety or with respect to such Target, Product or Molecule, as applicable, as of the effective date of termination;</w:t>
      </w:r>
    </w:p>
    <w:p>
      <w:pPr>
        <w:spacing w:after="0" w:line="184" w:lineRule="exact"/>
        <w:rPr>
          <w:rFonts w:ascii="Arial" w:cs="Arial" w:eastAsia="Arial" w:hAnsi="Arial"/>
          <w:sz w:val="22"/>
          <w:szCs w:val="22"/>
          <w:color w:val="auto"/>
        </w:rPr>
      </w:pPr>
    </w:p>
    <w:p>
      <w:pPr>
        <w:jc w:val="both"/>
        <w:ind w:left="1740" w:firstLine="726"/>
        <w:spacing w:after="0" w:line="273" w:lineRule="auto"/>
        <w:tabs>
          <w:tab w:leader="none" w:pos="3371"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any sublicenses granted by MyoKardia with respect to the license rights terminated pursuant to </w:t>
      </w:r>
      <w:r>
        <w:rPr>
          <w:rFonts w:ascii="Arial" w:cs="Arial" w:eastAsia="Arial" w:hAnsi="Arial"/>
          <w:sz w:val="19"/>
          <w:szCs w:val="19"/>
          <w:u w:val="single" w:color="auto"/>
          <w:color w:val="auto"/>
        </w:rPr>
        <w:t>Section 10.4.1</w:t>
      </w:r>
      <w:r>
        <w:rPr>
          <w:rFonts w:ascii="Arial" w:cs="Arial" w:eastAsia="Arial" w:hAnsi="Arial"/>
          <w:sz w:val="19"/>
          <w:szCs w:val="19"/>
          <w:color w:val="auto"/>
        </w:rPr>
        <w:t xml:space="preserve"> (Effects of Termination) will remain in full force and effect upon termination of this Agreement in its entirety or with respect to such Target, Product or Molecule,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1" w:lineRule="exact"/>
        <w:rPr>
          <w:rFonts w:ascii="Arial" w:cs="Arial" w:eastAsia="Arial" w:hAnsi="Arial"/>
          <w:sz w:val="19"/>
          <w:szCs w:val="19"/>
          <w:color w:val="auto"/>
        </w:rPr>
      </w:pPr>
    </w:p>
    <w:p>
      <w:pPr>
        <w:jc w:val="both"/>
        <w:ind w:left="1740" w:hanging="5"/>
        <w:spacing w:after="0" w:line="233" w:lineRule="auto"/>
        <w:tabs>
          <w:tab w:leader="none" w:pos="2017"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as of the effective date of such termination, the applicable Sublicensee is not in breach of its sublicense agreement, (ii) the applicable Sublicensee agrees to be bound directly to Fulcrum under the terms of this Agreement to the extent of the sublicensed rights, and (iii) Fulcrum will not be required to assume any obligations or liabilities beyond those contemplated by this Agreement as a result of this </w:t>
      </w:r>
      <w:r>
        <w:rPr>
          <w:rFonts w:ascii="Arial" w:cs="Arial" w:eastAsia="Arial" w:hAnsi="Arial"/>
          <w:sz w:val="22"/>
          <w:szCs w:val="22"/>
          <w:u w:val="single" w:color="auto"/>
          <w:color w:val="auto"/>
        </w:rPr>
        <w:t>Section 10.4.1</w:t>
      </w:r>
      <w:r>
        <w:rPr>
          <w:rFonts w:ascii="Arial" w:cs="Arial" w:eastAsia="Arial" w:hAnsi="Arial"/>
          <w:sz w:val="22"/>
          <w:szCs w:val="22"/>
          <w:color w:val="auto"/>
        </w:rPr>
        <w:t xml:space="preserve"> (Effects of Termination); and</w:t>
      </w:r>
    </w:p>
    <w:p>
      <w:pPr>
        <w:spacing w:after="0" w:line="185" w:lineRule="exact"/>
        <w:rPr>
          <w:rFonts w:ascii="Arial" w:cs="Arial" w:eastAsia="Arial" w:hAnsi="Arial"/>
          <w:sz w:val="22"/>
          <w:szCs w:val="22"/>
          <w:color w:val="auto"/>
        </w:rPr>
      </w:pPr>
    </w:p>
    <w:p>
      <w:pPr>
        <w:jc w:val="both"/>
        <w:ind w:left="1740" w:firstLine="726"/>
        <w:spacing w:after="0" w:line="246" w:lineRule="auto"/>
        <w:tabs>
          <w:tab w:leader="none" w:pos="3358" w:val="left"/>
        </w:tabs>
        <w:numPr>
          <w:ilvl w:val="1"/>
          <w:numId w:val="76"/>
        </w:numPr>
        <w:rPr>
          <w:rFonts w:ascii="Arial" w:cs="Arial" w:eastAsia="Arial" w:hAnsi="Arial"/>
          <w:sz w:val="21"/>
          <w:szCs w:val="21"/>
          <w:color w:val="auto"/>
        </w:rPr>
      </w:pPr>
      <w:r>
        <w:rPr>
          <w:rFonts w:ascii="Arial" w:cs="Arial" w:eastAsia="Arial" w:hAnsi="Arial"/>
          <w:sz w:val="21"/>
          <w:szCs w:val="21"/>
          <w:color w:val="auto"/>
        </w:rPr>
        <w:t xml:space="preserve">MyoKardia may sell any existing of all such Product(s) or all such Products directed against such Target, as applicable, in MyoKardia’s existing inventory, on order from an supplier or in the process of being manufactured, in each case, for a period of up to [**] after the effective date of termination of this Agreement or with respect to such Target, subject to MyoKardia’s obligations to make corresponding payments with respect to any such sales pursuant to </w:t>
      </w:r>
      <w:r>
        <w:rPr>
          <w:rFonts w:ascii="Arial" w:cs="Arial" w:eastAsia="Arial" w:hAnsi="Arial"/>
          <w:sz w:val="21"/>
          <w:szCs w:val="21"/>
          <w:u w:val="single" w:color="auto"/>
          <w:color w:val="auto"/>
        </w:rPr>
        <w:t>Article 6</w:t>
      </w:r>
      <w:r>
        <w:rPr>
          <w:rFonts w:ascii="Arial" w:cs="Arial" w:eastAsia="Arial" w:hAnsi="Arial"/>
          <w:sz w:val="21"/>
          <w:szCs w:val="21"/>
          <w:color w:val="auto"/>
        </w:rPr>
        <w:t xml:space="preserve"> (Financial Provisions). After expiration of such [**] period, MyoKardia shall discontinue selling any such Product(s) or all such Products directed against such Target, as applicable.</w:t>
      </w:r>
    </w:p>
    <w:p>
      <w:pPr>
        <w:spacing w:after="0" w:line="178" w:lineRule="exact"/>
        <w:rPr>
          <w:sz w:val="20"/>
          <w:szCs w:val="20"/>
          <w:color w:val="auto"/>
        </w:rPr>
      </w:pPr>
    </w:p>
    <w:p>
      <w:pPr>
        <w:jc w:val="both"/>
        <w:ind w:left="880" w:firstLine="797"/>
        <w:spacing w:after="0" w:line="256" w:lineRule="auto"/>
        <w:rPr>
          <w:sz w:val="20"/>
          <w:szCs w:val="20"/>
          <w:color w:val="auto"/>
        </w:rPr>
      </w:pPr>
      <w:r>
        <w:rPr>
          <w:rFonts w:ascii="Arial" w:cs="Arial" w:eastAsia="Arial" w:hAnsi="Arial"/>
          <w:sz w:val="22"/>
          <w:szCs w:val="22"/>
          <w:color w:val="auto"/>
        </w:rPr>
        <w:t xml:space="preserve">10.4.2. </w:t>
      </w:r>
      <w:r>
        <w:rPr>
          <w:rFonts w:ascii="Arial" w:cs="Arial" w:eastAsia="Arial" w:hAnsi="Arial"/>
          <w:sz w:val="22"/>
          <w:szCs w:val="22"/>
          <w:b w:val="1"/>
          <w:bCs w:val="1"/>
          <w:color w:val="auto"/>
        </w:rPr>
        <w:t>Effect of Termination or Expiration</w:t>
      </w:r>
      <w:r>
        <w:rPr>
          <w:rFonts w:ascii="Arial" w:cs="Arial" w:eastAsia="Arial" w:hAnsi="Arial"/>
          <w:sz w:val="22"/>
          <w:szCs w:val="22"/>
          <w:color w:val="auto"/>
        </w:rPr>
        <w:t>. Each Party will promptly return all Confidential Information of the other Party as provided in upon any expiration or termination of this Agreement.</w:t>
      </w:r>
    </w:p>
    <w:p>
      <w:pPr>
        <w:spacing w:after="0" w:line="162" w:lineRule="exact"/>
        <w:rPr>
          <w:sz w:val="20"/>
          <w:szCs w:val="20"/>
          <w:color w:val="auto"/>
        </w:rPr>
      </w:pPr>
    </w:p>
    <w:p>
      <w:pPr>
        <w:jc w:val="both"/>
        <w:ind w:left="880" w:firstLine="797"/>
        <w:spacing w:after="0" w:line="236" w:lineRule="auto"/>
        <w:rPr>
          <w:sz w:val="20"/>
          <w:szCs w:val="20"/>
          <w:color w:val="auto"/>
        </w:rPr>
      </w:pPr>
      <w:r>
        <w:rPr>
          <w:rFonts w:ascii="Arial" w:cs="Arial" w:eastAsia="Arial" w:hAnsi="Arial"/>
          <w:sz w:val="22"/>
          <w:szCs w:val="22"/>
          <w:color w:val="auto"/>
        </w:rPr>
        <w:t xml:space="preserve">10.4.3. </w:t>
      </w:r>
      <w:r>
        <w:rPr>
          <w:rFonts w:ascii="Arial" w:cs="Arial" w:eastAsia="Arial" w:hAnsi="Arial"/>
          <w:sz w:val="22"/>
          <w:szCs w:val="22"/>
          <w:b w:val="1"/>
          <w:bCs w:val="1"/>
          <w:color w:val="auto"/>
        </w:rPr>
        <w:t>Surviving Provisions</w:t>
      </w:r>
      <w:r>
        <w:rPr>
          <w:rFonts w:ascii="Arial" w:cs="Arial" w:eastAsia="Arial" w:hAnsi="Arial"/>
          <w:sz w:val="22"/>
          <w:szCs w:val="22"/>
          <w:color w:val="auto"/>
        </w:rPr>
        <w:t xml:space="preserve">. The following provisions will survive any expiration or termination of this Agreement for the period of time specified in such provision, or if not specified, then they will survive indefinitely: </w:t>
      </w:r>
      <w:r>
        <w:rPr>
          <w:rFonts w:ascii="Arial" w:cs="Arial" w:eastAsia="Arial" w:hAnsi="Arial"/>
          <w:sz w:val="22"/>
          <w:szCs w:val="22"/>
          <w:u w:val="single" w:color="auto"/>
          <w:color w:val="auto"/>
        </w:rPr>
        <w:t>Article 1</w:t>
      </w:r>
      <w:r>
        <w:rPr>
          <w:rFonts w:ascii="Arial" w:cs="Arial" w:eastAsia="Arial" w:hAnsi="Arial"/>
          <w:sz w:val="22"/>
          <w:szCs w:val="22"/>
          <w:color w:val="auto"/>
        </w:rPr>
        <w:t xml:space="preserve"> (Definitions),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(Intellectual Property),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(Indemnification; Insurance),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(Confidentiality),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(Dispute Resolution), and </w:t>
      </w:r>
      <w:r>
        <w:rPr>
          <w:rFonts w:ascii="Arial" w:cs="Arial" w:eastAsia="Arial" w:hAnsi="Arial"/>
          <w:sz w:val="22"/>
          <w:szCs w:val="22"/>
          <w:u w:val="single" w:color="auto"/>
          <w:color w:val="auto"/>
        </w:rPr>
        <w:t>Article 13</w:t>
      </w:r>
      <w:r>
        <w:rPr>
          <w:rFonts w:ascii="Arial" w:cs="Arial" w:eastAsia="Arial" w:hAnsi="Arial"/>
          <w:sz w:val="22"/>
          <w:szCs w:val="22"/>
          <w:color w:val="auto"/>
        </w:rPr>
        <w:t xml:space="preserve"> (Miscellaneous), and </w:t>
      </w:r>
      <w:r>
        <w:rPr>
          <w:rFonts w:ascii="Arial" w:cs="Arial" w:eastAsia="Arial" w:hAnsi="Arial"/>
          <w:sz w:val="22"/>
          <w:szCs w:val="22"/>
          <w:u w:val="single" w:color="auto"/>
          <w:color w:val="auto"/>
        </w:rPr>
        <w:t>Section 3.9</w:t>
      </w:r>
      <w:r>
        <w:rPr>
          <w:rFonts w:ascii="Arial" w:cs="Arial" w:eastAsia="Arial" w:hAnsi="Arial"/>
          <w:sz w:val="22"/>
          <w:szCs w:val="22"/>
          <w:color w:val="auto"/>
        </w:rPr>
        <w:t xml:space="preserve"> (Records);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5.1</w:t>
      </w:r>
      <w:r>
        <w:rPr>
          <w:rFonts w:ascii="Arial" w:cs="Arial" w:eastAsia="Arial" w:hAnsi="Arial"/>
          <w:sz w:val="22"/>
          <w:szCs w:val="22"/>
          <w:color w:val="auto"/>
        </w:rPr>
        <w:t xml:space="preserve"> (License Grant to MyoKardia) (solely to the extent provided in </w:t>
      </w:r>
      <w:r>
        <w:rPr>
          <w:rFonts w:ascii="Arial" w:cs="Arial" w:eastAsia="Arial" w:hAnsi="Arial"/>
          <w:sz w:val="22"/>
          <w:szCs w:val="22"/>
          <w:u w:val="single" w:color="auto"/>
          <w:color w:val="auto"/>
        </w:rPr>
        <w:t>Section 6.4.2(c)</w:t>
      </w:r>
      <w:r>
        <w:rPr>
          <w:rFonts w:ascii="Arial" w:cs="Arial" w:eastAsia="Arial" w:hAnsi="Arial"/>
          <w:sz w:val="22"/>
          <w:szCs w:val="22"/>
          <w:color w:val="auto"/>
        </w:rPr>
        <w:t xml:space="preserve"> (Royalty Term)),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(Milestone Payments) through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9" w:name="page140"/>
    <w:bookmarkEnd w:id="139"/>
    <w:p>
      <w:pPr>
        <w:jc w:val="both"/>
        <w:ind w:left="880"/>
        <w:spacing w:after="0" w:line="246" w:lineRule="auto"/>
        <w:rPr>
          <w:sz w:val="20"/>
          <w:szCs w:val="20"/>
          <w:color w:val="auto"/>
        </w:rPr>
      </w:pPr>
      <w:r>
        <w:rPr>
          <w:rFonts w:ascii="Arial" w:cs="Arial" w:eastAsia="Arial" w:hAnsi="Arial"/>
          <w:sz w:val="21"/>
          <w:szCs w:val="21"/>
          <w:u w:val="single" w:color="auto"/>
          <w:color w:val="auto"/>
        </w:rPr>
        <w:t>Section 6.8</w:t>
      </w:r>
      <w:r>
        <w:rPr>
          <w:rFonts w:ascii="Arial" w:cs="Arial" w:eastAsia="Arial" w:hAnsi="Arial"/>
          <w:sz w:val="21"/>
          <w:szCs w:val="21"/>
          <w:color w:val="auto"/>
        </w:rPr>
        <w:t xml:space="preserve"> (Late Payment) (with respect to payment obligations that accrued prior to expiration of the [**] period in </w:t>
      </w:r>
      <w:r>
        <w:rPr>
          <w:rFonts w:ascii="Arial" w:cs="Arial" w:eastAsia="Arial" w:hAnsi="Arial"/>
          <w:sz w:val="21"/>
          <w:szCs w:val="21"/>
          <w:u w:val="single" w:color="auto"/>
          <w:color w:val="auto"/>
        </w:rPr>
        <w:t>Section 10.4.1(c)</w:t>
      </w:r>
      <w:r>
        <w:rPr>
          <w:rFonts w:ascii="Arial" w:cs="Arial" w:eastAsia="Arial" w:hAnsi="Arial"/>
          <w:sz w:val="21"/>
          <w:szCs w:val="21"/>
          <w:color w:val="auto"/>
        </w:rPr>
        <w:t xml:space="preserve"> for Products),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(Disclaimer), </w:t>
      </w:r>
      <w:r>
        <w:rPr>
          <w:rFonts w:ascii="Arial" w:cs="Arial" w:eastAsia="Arial" w:hAnsi="Arial"/>
          <w:sz w:val="21"/>
          <w:szCs w:val="21"/>
          <w:u w:val="single" w:color="auto"/>
          <w:color w:val="auto"/>
        </w:rPr>
        <w:t>Section 10.2.4</w:t>
      </w:r>
      <w:r>
        <w:rPr>
          <w:rFonts w:ascii="Arial" w:cs="Arial" w:eastAsia="Arial" w:hAnsi="Arial"/>
          <w:sz w:val="21"/>
          <w:szCs w:val="21"/>
          <w:color w:val="auto"/>
        </w:rPr>
        <w:t xml:space="preserve"> (Termination for Insolvency), </w:t>
      </w:r>
      <w:r>
        <w:rPr>
          <w:rFonts w:ascii="Arial" w:cs="Arial" w:eastAsia="Arial" w:hAnsi="Arial"/>
          <w:sz w:val="21"/>
          <w:szCs w:val="21"/>
          <w:u w:val="single" w:color="auto"/>
          <w:color w:val="auto"/>
        </w:rPr>
        <w:t>Section 10.4</w:t>
      </w:r>
      <w:r>
        <w:rPr>
          <w:rFonts w:ascii="Arial" w:cs="Arial" w:eastAsia="Arial" w:hAnsi="Arial"/>
          <w:sz w:val="21"/>
          <w:szCs w:val="21"/>
          <w:color w:val="auto"/>
        </w:rPr>
        <w:t xml:space="preserve"> (Consequences of Termination of this Agreement). Termination of this Agreement will not relieve the Parties of any liability which accrued under this Agreement prior to the effective date of such termination nor preclude either Party from pursuing all rights and remedies it may have under this Agreement or at law or in equity with respect to any breach of this Agreement. The remedies provided in this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(Term; Termination) are not exclusive of any other remedies a Party may have in law or equity.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Each Party (the “</w:t>
      </w:r>
      <w:r>
        <w:rPr>
          <w:rFonts w:ascii="Arial" w:cs="Arial" w:eastAsia="Arial" w:hAnsi="Arial"/>
          <w:sz w:val="21"/>
          <w:szCs w:val="21"/>
          <w:b w:val="1"/>
          <w:bCs w:val="1"/>
          <w:color w:val="auto"/>
        </w:rPr>
        <w:t>Receiving Party</w:t>
      </w:r>
      <w:r>
        <w:rPr>
          <w:rFonts w:ascii="Arial" w:cs="Arial" w:eastAsia="Arial" w:hAnsi="Arial"/>
          <w:sz w:val="21"/>
          <w:szCs w:val="21"/>
          <w:color w:val="auto"/>
        </w:rPr>
        <w:t>”) receiving any Confidential Information of the other Party (the “</w:t>
      </w:r>
      <w:r>
        <w:rPr>
          <w:rFonts w:ascii="Arial" w:cs="Arial" w:eastAsia="Arial" w:hAnsi="Arial"/>
          <w:sz w:val="21"/>
          <w:szCs w:val="21"/>
          <w:b w:val="1"/>
          <w:bCs w:val="1"/>
          <w:color w:val="auto"/>
        </w:rPr>
        <w:t>Disclosing Party</w:t>
      </w:r>
      <w:r>
        <w:rPr>
          <w:rFonts w:ascii="Arial" w:cs="Arial" w:eastAsia="Arial" w:hAnsi="Arial"/>
          <w:sz w:val="21"/>
          <w:szCs w:val="21"/>
          <w:color w:val="auto"/>
        </w:rPr>
        <w:t>”) will: (a) keep the Disclosing Party’s Confidential Information confidential; (b) not publish, or allow to be published, and will not otherwise disclose, or permit the disclosure of, the Disclosing Party’s Confidential Information; and (c) not use, or permit to be used, the Disclosing Party’s Confidential Information for any purpose, except, in each case, to the extent expressly permitted under this Agreement or otherwise agreed by the Parties in writing. In protecting the Confidential Information of the Disclosing Party, the Receiving Party will use the same degree of care it uses for its own Confidential Information of a similar nature, but in no event less than a reasonable degree of care.</w:t>
      </w:r>
    </w:p>
    <w:p>
      <w:pPr>
        <w:spacing w:after="0" w:line="177"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u w:val="single" w:color="auto"/>
          <w:color w:val="auto"/>
        </w:rPr>
        <w:t>Authorized Disclosure</w:t>
      </w:r>
      <w:r>
        <w:rPr>
          <w:rFonts w:ascii="Arial" w:cs="Arial" w:eastAsia="Arial" w:hAnsi="Arial"/>
          <w:sz w:val="19"/>
          <w:szCs w:val="19"/>
          <w:color w:val="auto"/>
        </w:rPr>
        <w:t>.</w:t>
      </w:r>
    </w:p>
    <w:p>
      <w:pPr>
        <w:spacing w:after="0" w:line="212" w:lineRule="exact"/>
        <w:rPr>
          <w:sz w:val="20"/>
          <w:szCs w:val="20"/>
          <w:color w:val="auto"/>
        </w:rPr>
      </w:pPr>
    </w:p>
    <w:p>
      <w:pPr>
        <w:jc w:val="both"/>
        <w:ind w:left="880" w:firstLine="797"/>
        <w:spacing w:after="0"/>
        <w:rPr>
          <w:sz w:val="20"/>
          <w:szCs w:val="20"/>
          <w:color w:val="auto"/>
        </w:rPr>
      </w:pPr>
      <w:r>
        <w:rPr>
          <w:rFonts w:ascii="Arial" w:cs="Arial" w:eastAsia="Arial" w:hAnsi="Arial"/>
          <w:sz w:val="22"/>
          <w:szCs w:val="22"/>
          <w:color w:val="auto"/>
        </w:rPr>
        <w:t xml:space="preserve">11.2.1. Notwithstanding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(Confidentiality), the Receiving Party may disclose the Disclosing Party’s Confidential Information and the existence and terms of this Agreement to the extent such disclosure is reasonably necessary to:</w:t>
      </w:r>
    </w:p>
    <w:p>
      <w:pPr>
        <w:spacing w:after="0" w:line="186" w:lineRule="exact"/>
        <w:rPr>
          <w:sz w:val="20"/>
          <w:szCs w:val="20"/>
          <w:color w:val="auto"/>
        </w:rPr>
      </w:pPr>
    </w:p>
    <w:p>
      <w:pPr>
        <w:jc w:val="both"/>
        <w:ind w:left="1740" w:firstLine="726"/>
        <w:spacing w:after="0" w:line="238" w:lineRule="auto"/>
        <w:tabs>
          <w:tab w:leader="none" w:pos="3358"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file or prosecute patent applications as contemplated by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Receiving Party will give reasonable advance notice of such disclosure to the Disclosing Party and take such measures to ensure confidential treatment of such Confidential Information as is reasonably requested by the Disclosing Party;</w:t>
      </w:r>
    </w:p>
    <w:p>
      <w:pPr>
        <w:spacing w:after="0" w:line="184" w:lineRule="exact"/>
        <w:rPr>
          <w:rFonts w:ascii="Arial" w:cs="Arial" w:eastAsia="Arial" w:hAnsi="Arial"/>
          <w:sz w:val="22"/>
          <w:szCs w:val="22"/>
          <w:color w:val="auto"/>
        </w:rPr>
      </w:pPr>
    </w:p>
    <w:p>
      <w:pPr>
        <w:ind w:left="3360" w:hanging="894"/>
        <w:spacing w:after="0"/>
        <w:tabs>
          <w:tab w:leader="none" w:pos="33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prosecute or defend litigation as contemplated by or to enforce this Agreement;</w:t>
      </w:r>
    </w:p>
    <w:p>
      <w:pPr>
        <w:spacing w:after="0" w:line="206" w:lineRule="exact"/>
        <w:rPr>
          <w:rFonts w:ascii="Arial" w:cs="Arial" w:eastAsia="Arial" w:hAnsi="Arial"/>
          <w:sz w:val="22"/>
          <w:szCs w:val="22"/>
          <w:color w:val="auto"/>
        </w:rPr>
      </w:pPr>
    </w:p>
    <w:p>
      <w:pPr>
        <w:ind w:left="3360" w:hanging="894"/>
        <w:spacing w:after="0"/>
        <w:tabs>
          <w:tab w:leader="none" w:pos="33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perform its obligations and to exploit its licenses and other rights under this Agreement;</w:t>
      </w:r>
    </w:p>
    <w:p>
      <w:pPr>
        <w:spacing w:after="0" w:line="240" w:lineRule="exact"/>
        <w:rPr>
          <w:rFonts w:ascii="Arial" w:cs="Arial" w:eastAsia="Arial" w:hAnsi="Arial"/>
          <w:sz w:val="19"/>
          <w:szCs w:val="19"/>
          <w:color w:val="auto"/>
        </w:rPr>
      </w:pPr>
    </w:p>
    <w:p>
      <w:pPr>
        <w:jc w:val="both"/>
        <w:ind w:left="1740" w:firstLine="726"/>
        <w:spacing w:after="0" w:line="249" w:lineRule="auto"/>
        <w:tabs>
          <w:tab w:leader="none" w:pos="3371"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provide relevant information to its advisors (including financial advisors, attorneys, and accountants), actual or potential acquisition or strategic partners, collaborators, licensors, licensees, financing sources or investors, lenders and other financing sources and underwriters who have a legitimate business reason to know such Confidential Information;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disclosure is covered by terms of confidentiality at least as restrictive as those set forth herein (but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0" w:name="page141"/>
    <w:bookmarkEnd w:id="140"/>
    <w:p>
      <w:pPr>
        <w:ind w:left="1740"/>
        <w:spacing w:after="0" w:line="250" w:lineRule="auto"/>
        <w:rPr>
          <w:sz w:val="20"/>
          <w:szCs w:val="20"/>
          <w:color w:val="auto"/>
        </w:rPr>
      </w:pPr>
      <w:r>
        <w:rPr>
          <w:rFonts w:ascii="Arial" w:cs="Arial" w:eastAsia="Arial" w:hAnsi="Arial"/>
          <w:sz w:val="22"/>
          <w:szCs w:val="22"/>
          <w:color w:val="auto"/>
        </w:rPr>
        <w:t>duration customary in confidentiality agreements entered into for a similar purpose) (which may include professional ethical obligations);</w:t>
      </w:r>
    </w:p>
    <w:p>
      <w:pPr>
        <w:spacing w:after="0" w:line="175" w:lineRule="exact"/>
        <w:rPr>
          <w:sz w:val="20"/>
          <w:szCs w:val="20"/>
          <w:color w:val="auto"/>
        </w:rPr>
      </w:pPr>
    </w:p>
    <w:p>
      <w:pPr>
        <w:jc w:val="both"/>
        <w:ind w:left="1740" w:firstLine="726"/>
        <w:spacing w:after="0" w:line="282" w:lineRule="auto"/>
        <w:tabs>
          <w:tab w:leader="none" w:pos="3358"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respond to a valid order of a court of competent jurisdiction or other supra-national, federal, national, regional, state, provincial or local governmental or regulatory body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Receiving Party provides the Disclosing Party with prior written notice of any such disclosure and takes reasonably practicable and legally permissible actions to limit disclosure of and seek protective orders or other confidential treatment for such Confidential Information; or</w:t>
      </w:r>
    </w:p>
    <w:p>
      <w:pPr>
        <w:spacing w:after="0" w:line="147" w:lineRule="exact"/>
        <w:rPr>
          <w:rFonts w:ascii="Arial" w:cs="Arial" w:eastAsia="Arial" w:hAnsi="Arial"/>
          <w:sz w:val="19"/>
          <w:szCs w:val="19"/>
          <w:color w:val="auto"/>
        </w:rPr>
      </w:pPr>
    </w:p>
    <w:p>
      <w:pPr>
        <w:jc w:val="both"/>
        <w:ind w:left="1740" w:firstLine="726"/>
        <w:spacing w:after="0" w:line="273" w:lineRule="auto"/>
        <w:tabs>
          <w:tab w:leader="none" w:pos="3335"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comply with Applicable Law, including securities laws and the rules of any securities exchange or market on which a Receiving Party’s securities are listed or traded;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Receiving Party provides the Disclosing Party with prior written notice of any such disclosure (to the extent reasonably practicable and legally permissible), and, in the case of disclosures other than those required by securities laws and the rules of any securities exchange or market on which a receiving Party’s securities are listed or traded, the Receiving Party provides reasonable assistance to the Disclosing Party to limit disclosure of or seek confidential treatment for such Confidential Information, and, in the case of disclosures required by securities laws and the rules of any securities exchange or market on which a Receiving Party’s securities are listed or traded, the Receiving Party takes reasonable steps, upon the advice of securities counsel, to limit disclosure of or seek confidential treatment for such Confidential Information.</w:t>
      </w:r>
    </w:p>
    <w:p>
      <w:pPr>
        <w:spacing w:after="0" w:line="161" w:lineRule="exact"/>
        <w:rPr>
          <w:sz w:val="20"/>
          <w:szCs w:val="20"/>
          <w:color w:val="auto"/>
        </w:rPr>
      </w:pPr>
    </w:p>
    <w:p>
      <w:pPr>
        <w:jc w:val="both"/>
        <w:ind w:left="880" w:firstLine="797"/>
        <w:spacing w:after="0" w:line="273" w:lineRule="auto"/>
        <w:rPr>
          <w:sz w:val="20"/>
          <w:szCs w:val="20"/>
          <w:color w:val="auto"/>
        </w:rPr>
      </w:pPr>
      <w:r>
        <w:rPr>
          <w:rFonts w:ascii="Arial" w:cs="Arial" w:eastAsia="Arial" w:hAnsi="Arial"/>
          <w:sz w:val="19"/>
          <w:szCs w:val="19"/>
          <w:color w:val="auto"/>
        </w:rPr>
        <w:t xml:space="preserve">11.2.2. In addition to the foregoing, the Receiving Party may disclose the Disclosing Party’s Confidential Information to its Representatives who have a need to know such Confidential Information in connection with the Receiving Party’s performance of its obligations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Representatives are</w:t>
      </w:r>
    </w:p>
    <w:p>
      <w:pPr>
        <w:spacing w:after="0" w:line="1" w:lineRule="exact"/>
        <w:rPr>
          <w:sz w:val="20"/>
          <w:szCs w:val="20"/>
          <w:color w:val="auto"/>
        </w:rPr>
      </w:pPr>
    </w:p>
    <w:p>
      <w:pPr>
        <w:jc w:val="both"/>
        <w:ind w:left="880" w:hanging="8"/>
        <w:spacing w:after="0" w:line="234" w:lineRule="auto"/>
        <w:tabs>
          <w:tab w:leader="none" w:pos="1202"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informed of the confidential nature of the Disclosing Party’s Confidential Information and (b) bound by written obligations of confidentiality and non-use at least as restrictive as those set forth herein, and the Receiving Party remains liable for the compliance of such Representatives with the terms hereof.</w:t>
      </w:r>
    </w:p>
    <w:p>
      <w:pPr>
        <w:spacing w:after="0" w:line="18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u w:val="single" w:color="auto"/>
          <w:color w:val="auto"/>
        </w:rPr>
        <w:t>Exceptions</w:t>
      </w:r>
      <w:r>
        <w:rPr>
          <w:rFonts w:ascii="Arial" w:cs="Arial" w:eastAsia="Arial" w:hAnsi="Arial"/>
          <w:sz w:val="22"/>
          <w:szCs w:val="22"/>
          <w:color w:val="auto"/>
        </w:rPr>
        <w:t>. The Receiving Party’s obligations of non-disclosure and non-use under this Agreement will not apply to any portion of the Disclosing Party’s Confidential Information that the Receiving Party can demonstrate, by competent proof:</w:t>
      </w:r>
    </w:p>
    <w:p>
      <w:pPr>
        <w:spacing w:after="0" w:line="183" w:lineRule="exact"/>
        <w:rPr>
          <w:sz w:val="20"/>
          <w:szCs w:val="20"/>
          <w:color w:val="auto"/>
        </w:rPr>
      </w:pPr>
    </w:p>
    <w:p>
      <w:pPr>
        <w:ind w:left="880" w:right="20" w:firstLine="797"/>
        <w:spacing w:after="0" w:line="250" w:lineRule="auto"/>
        <w:rPr>
          <w:sz w:val="20"/>
          <w:szCs w:val="20"/>
          <w:color w:val="auto"/>
        </w:rPr>
      </w:pPr>
      <w:r>
        <w:rPr>
          <w:rFonts w:ascii="Arial" w:cs="Arial" w:eastAsia="Arial" w:hAnsi="Arial"/>
          <w:sz w:val="22"/>
          <w:szCs w:val="22"/>
          <w:color w:val="auto"/>
        </w:rPr>
        <w:t>11.3.1. is generally known to the public at the time of disclosure or becomes generally known through no wrongful act on the part of the Receiving Party;</w:t>
      </w:r>
    </w:p>
    <w:p>
      <w:pPr>
        <w:spacing w:after="0" w:line="175" w:lineRule="exact"/>
        <w:rPr>
          <w:sz w:val="20"/>
          <w:szCs w:val="20"/>
          <w:color w:val="auto"/>
        </w:rPr>
      </w:pPr>
    </w:p>
    <w:p>
      <w:pPr>
        <w:ind w:left="880" w:firstLine="797"/>
        <w:spacing w:after="0" w:line="250" w:lineRule="auto"/>
        <w:rPr>
          <w:sz w:val="20"/>
          <w:szCs w:val="20"/>
          <w:color w:val="auto"/>
        </w:rPr>
      </w:pPr>
      <w:r>
        <w:rPr>
          <w:rFonts w:ascii="Arial" w:cs="Arial" w:eastAsia="Arial" w:hAnsi="Arial"/>
          <w:sz w:val="22"/>
          <w:szCs w:val="22"/>
          <w:color w:val="auto"/>
        </w:rPr>
        <w:t>11.3.2. is in the Receiving Party’s possession prior to the time of disclosure, other than as a result of the Receiving Party’s breach of any legal obligation with respect to such Confidential Information;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1" w:name="page142"/>
    <w:bookmarkEnd w:id="141"/>
    <w:p>
      <w:pPr>
        <w:jc w:val="both"/>
        <w:ind w:left="880" w:right="20" w:firstLine="797"/>
        <w:spacing w:after="0" w:line="250" w:lineRule="auto"/>
        <w:rPr>
          <w:sz w:val="20"/>
          <w:szCs w:val="20"/>
          <w:color w:val="auto"/>
        </w:rPr>
      </w:pPr>
      <w:r>
        <w:rPr>
          <w:rFonts w:ascii="Arial" w:cs="Arial" w:eastAsia="Arial" w:hAnsi="Arial"/>
          <w:sz w:val="22"/>
          <w:szCs w:val="22"/>
          <w:color w:val="auto"/>
        </w:rPr>
        <w:t>11.3.3. becomes known to the Receiving Party on a non-confidential basis through disclosure by sources other than the Disclosing Party having the legal right to disclose such Confidential Information; or</w:t>
      </w:r>
    </w:p>
    <w:p>
      <w:pPr>
        <w:spacing w:after="0" w:line="175"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2"/>
          <w:szCs w:val="22"/>
          <w:color w:val="auto"/>
        </w:rPr>
        <w:t>11.3.4. is independently developed by the Receiving Party without reference to or reliance upon the Disclosing Party’s Confidential Information as evidenced by contemporaneously written records.</w:t>
      </w:r>
    </w:p>
    <w:p>
      <w:pPr>
        <w:spacing w:after="0" w:line="175" w:lineRule="exact"/>
        <w:rPr>
          <w:sz w:val="20"/>
          <w:szCs w:val="20"/>
          <w:color w:val="auto"/>
        </w:rPr>
      </w:pPr>
    </w:p>
    <w:p>
      <w:pPr>
        <w:jc w:val="both"/>
        <w:ind w:left="880"/>
        <w:spacing w:after="0" w:line="279" w:lineRule="auto"/>
        <w:rPr>
          <w:sz w:val="20"/>
          <w:szCs w:val="20"/>
          <w:color w:val="auto"/>
        </w:rPr>
      </w:pPr>
      <w:r>
        <w:rPr>
          <w:rFonts w:ascii="Arial" w:cs="Arial" w:eastAsia="Arial" w:hAnsi="Arial"/>
          <w:sz w:val="19"/>
          <w:szCs w:val="19"/>
          <w:color w:val="auto"/>
        </w:rPr>
        <w:t>Specific aspects or details of Confidential Information shall not be deemed to be within the public domain or in the possession of the Receiving Party merely because such Confidential Information is embraced by general disclosures in the public domain or in the possession of the Receiving Party. In addition, any combination of Confidential Information shall not be considered in the public domain or in the possession of the Receiving Party merely because individual elements thereof are in the public domain or in the possession of the Receiving Party unless the combination and its principles are in the public domain or in the possession of the Receiving Party.</w:t>
      </w:r>
    </w:p>
    <w:p>
      <w:pPr>
        <w:spacing w:after="0" w:line="144"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b w:val="1"/>
          <w:bCs w:val="1"/>
          <w:u w:val="single" w:color="auto"/>
          <w:color w:val="auto"/>
        </w:rPr>
        <w:t>Expiration or Termination of this Agreement</w:t>
      </w:r>
      <w:r>
        <w:rPr>
          <w:rFonts w:ascii="Arial" w:cs="Arial" w:eastAsia="Arial" w:hAnsi="Arial"/>
          <w:sz w:val="21"/>
          <w:szCs w:val="21"/>
          <w:color w:val="auto"/>
        </w:rPr>
        <w:t xml:space="preserve">. Following expiration or termination of this Agreement, at the Disclosing Party’s election, the Receiving Party will promptly (but no more than [**] after such request) return or destroy, all data, files, records and other materials containing or comprising the Disclosing Party’s Confidential Information, except to the extent such Confidential Information is necessary or useful to conduct surviving obligations or exercise surviving rights. Notwithstanding the foregoing, (a) the Receiving Party will be permitted to retain one (1) copy of the confidential information of the other Party for archival and legal compliance purposes, and (b) the Receiving Party will not be required to delete or destroy any electronic back-up tapes or other electronic back-up files that have been created solely by the Receiving Party’s automatic or routine archiving and back-up procedures, to the extent created and retained in a manner consistent with its or their standard archiving and back-up procedure;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in each case such retained information will continue to be subject to the confidentiality and non-use obligations set forth under this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(Confidentiality). The confidentiality and non-use obligations set forth under this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(Confidentiality) will survive expiration or termination of this Agreement for [**] from the effective date of such expiration or termination.</w:t>
      </w:r>
    </w:p>
    <w:p>
      <w:pPr>
        <w:spacing w:after="0" w:line="174"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b w:val="1"/>
          <w:bCs w:val="1"/>
          <w:u w:val="single" w:color="auto"/>
          <w:color w:val="auto"/>
        </w:rPr>
        <w:t>Public Announcement</w:t>
      </w:r>
      <w:r>
        <w:rPr>
          <w:rFonts w:ascii="Arial" w:cs="Arial" w:eastAsia="Arial" w:hAnsi="Arial"/>
          <w:sz w:val="19"/>
          <w:szCs w:val="19"/>
          <w:color w:val="auto"/>
        </w:rPr>
        <w:t xml:space="preserve">. Promptly following the Effective Date, the Parties will jointly issue a mutually agreed press release regarding the signing of this Agreement in the form attached hereto as </w:t>
      </w:r>
      <w:r>
        <w:rPr>
          <w:rFonts w:ascii="Arial" w:cs="Arial" w:eastAsia="Arial" w:hAnsi="Arial"/>
          <w:sz w:val="19"/>
          <w:szCs w:val="19"/>
          <w:u w:val="single" w:color="auto"/>
          <w:color w:val="auto"/>
        </w:rPr>
        <w:t>Schedule 11.5</w:t>
      </w:r>
      <w:r>
        <w:rPr>
          <w:rFonts w:ascii="Arial" w:cs="Arial" w:eastAsia="Arial" w:hAnsi="Arial"/>
          <w:sz w:val="19"/>
          <w:szCs w:val="19"/>
          <w:color w:val="auto"/>
        </w:rPr>
        <w:t xml:space="preserve">. Except (a) as set forth in the preceding sentence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(Authorized Disclosure) (b) as may be expressly permitted under this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(Public Announcement), neither Party will make any public announcement regarding this Agreement without the prior written approval of the other Party. Notwithstanding the foregoing, (i) MyoKardia may make scientific publications or public announcements concerning its research, development, manufacture or commercialization activities with respect to any Product under this Agreement without Fulcrum’s prior written approval but subject to MyoKardia’s obligations under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(Confidentiality), and (ii) Fulcrum may announce the achievement of any Milestone or the payment of any Milestone Payment without MyoKardia’s prior written approval;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Fulcrum shall not disclose details sufficient to identify any Target, or any Molecule or Product without MyoKardia’s prior written consent, unless required by Applicable Law and (B) Fulcrum shall provide MyoKardia reasonable advance notice of any such proposed announcement,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2" w:name="page143"/>
    <w:bookmarkEnd w:id="142"/>
    <w:p>
      <w:pPr>
        <w:jc w:val="both"/>
        <w:spacing w:after="0" w:line="235" w:lineRule="auto"/>
        <w:rPr>
          <w:sz w:val="20"/>
          <w:szCs w:val="20"/>
          <w:color w:val="auto"/>
        </w:rPr>
      </w:pPr>
      <w:r>
        <w:rPr>
          <w:rFonts w:ascii="Arial" w:cs="Arial" w:eastAsia="Arial" w:hAnsi="Arial"/>
          <w:sz w:val="22"/>
          <w:szCs w:val="22"/>
          <w:color w:val="auto"/>
        </w:rPr>
        <w:t>and will incorporate such reasonable comments and revisions to protect the Confidential Information of MyoKardia as reasonably requested by MyoKardia, and (iii) Fulcrum will not otherwise make any publications, presentations or public announcements of any kind regarding any of the activities contemplated under this Agreement or the results of such activities without MyoKardia’s prior written consent in each instance. Neither Party will use the other Party’s or its Affiliates’ name or logo in any label, press release or product advertising, or for any other promotional purpose, without first obtaining the other Party’s prior written consent.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18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If any dispute or disagreement arises between the Parties with respect to any matter under this Agreement, they will follow the following procedures in an attempt to resolve the dispute or disagreement:</w:t>
      </w:r>
    </w:p>
    <w:p>
      <w:pPr>
        <w:spacing w:after="0" w:line="139" w:lineRule="exact"/>
        <w:rPr>
          <w:sz w:val="20"/>
          <w:szCs w:val="20"/>
          <w:color w:val="auto"/>
        </w:rPr>
      </w:pPr>
    </w:p>
    <w:p>
      <w:pPr>
        <w:jc w:val="both"/>
        <w:ind w:left="880" w:firstLine="797"/>
        <w:spacing w:after="0" w:line="256"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b w:val="1"/>
          <w:bCs w:val="1"/>
          <w:color w:val="auto"/>
        </w:rPr>
        <w:t>Resolution by the JSC</w:t>
      </w:r>
      <w:r>
        <w:rPr>
          <w:rFonts w:ascii="Arial" w:cs="Arial" w:eastAsia="Arial" w:hAnsi="Arial"/>
          <w:sz w:val="22"/>
          <w:szCs w:val="22"/>
          <w:color w:val="auto"/>
        </w:rPr>
        <w:t>. The Party claiming that such a dispute exists will give notice in writing to the other Party of the nature of the dispute, and the JSC will meet to try to resolve the dispute.</w:t>
      </w:r>
    </w:p>
    <w:p>
      <w:pPr>
        <w:spacing w:after="0" w:line="162" w:lineRule="exact"/>
        <w:rPr>
          <w:sz w:val="20"/>
          <w:szCs w:val="20"/>
          <w:color w:val="auto"/>
        </w:rPr>
      </w:pPr>
    </w:p>
    <w:p>
      <w:pPr>
        <w:jc w:val="both"/>
        <w:ind w:left="880" w:right="20" w:firstLine="797"/>
        <w:spacing w:after="0" w:line="243" w:lineRule="auto"/>
        <w:rPr>
          <w:sz w:val="20"/>
          <w:szCs w:val="20"/>
          <w:color w:val="auto"/>
        </w:rPr>
      </w:pPr>
      <w:r>
        <w:rPr>
          <w:rFonts w:ascii="Arial" w:cs="Arial" w:eastAsia="Arial" w:hAnsi="Arial"/>
          <w:sz w:val="22"/>
          <w:szCs w:val="22"/>
          <w:color w:val="auto"/>
        </w:rPr>
        <w:t xml:space="preserve">12.1.2. </w:t>
      </w:r>
      <w:r>
        <w:rPr>
          <w:rFonts w:ascii="Arial" w:cs="Arial" w:eastAsia="Arial" w:hAnsi="Arial"/>
          <w:sz w:val="22"/>
          <w:szCs w:val="22"/>
          <w:b w:val="1"/>
          <w:bCs w:val="1"/>
          <w:color w:val="auto"/>
        </w:rPr>
        <w:t>Resolution by Executive Officers</w:t>
      </w:r>
      <w:r>
        <w:rPr>
          <w:rFonts w:ascii="Arial" w:cs="Arial" w:eastAsia="Arial" w:hAnsi="Arial"/>
          <w:sz w:val="22"/>
          <w:szCs w:val="22"/>
          <w:color w:val="auto"/>
        </w:rPr>
        <w:t>. If the JSC is not able to resolve such dispute within [**] after receipt of such notice, then the dispute will be submitted to the Executive Officers of MyoKardia and Fulcrum for resolution.</w:t>
      </w:r>
    </w:p>
    <w:p>
      <w:pPr>
        <w:spacing w:after="0" w:line="177" w:lineRule="exact"/>
        <w:rPr>
          <w:sz w:val="20"/>
          <w:szCs w:val="20"/>
          <w:color w:val="auto"/>
        </w:rPr>
      </w:pPr>
    </w:p>
    <w:p>
      <w:pPr>
        <w:ind w:left="1660"/>
        <w:spacing w:after="0"/>
        <w:tabs>
          <w:tab w:leader="none" w:pos="2900" w:val="left"/>
        </w:tabs>
        <w:rPr>
          <w:sz w:val="20"/>
          <w:szCs w:val="20"/>
          <w:color w:val="auto"/>
        </w:rPr>
      </w:pPr>
      <w:r>
        <w:rPr>
          <w:rFonts w:ascii="Arial" w:cs="Arial" w:eastAsia="Arial" w:hAnsi="Arial"/>
          <w:sz w:val="22"/>
          <w:szCs w:val="22"/>
          <w:color w:val="auto"/>
        </w:rPr>
        <w:t>12.1.3.</w:t>
      </w:r>
      <w:r>
        <w:rPr>
          <w:sz w:val="20"/>
          <w:szCs w:val="20"/>
          <w:color w:val="auto"/>
        </w:rPr>
        <w:tab/>
      </w:r>
      <w:r>
        <w:rPr>
          <w:rFonts w:ascii="Arial" w:cs="Arial" w:eastAsia="Arial" w:hAnsi="Arial"/>
          <w:sz w:val="19"/>
          <w:szCs w:val="19"/>
          <w:b w:val="1"/>
          <w:bCs w:val="1"/>
          <w:color w:val="auto"/>
        </w:rPr>
        <w:t>Resolution by Mediation</w:t>
      </w:r>
      <w:r>
        <w:rPr>
          <w:rFonts w:ascii="Arial" w:cs="Arial" w:eastAsia="Arial" w:hAnsi="Arial"/>
          <w:sz w:val="19"/>
          <w:szCs w:val="19"/>
          <w:color w:val="auto"/>
        </w:rPr>
        <w:t>. If the Executive Officers are not able to resolve such dispute within</w:t>
      </w:r>
    </w:p>
    <w:p>
      <w:pPr>
        <w:spacing w:after="0" w:line="14" w:lineRule="exact"/>
        <w:rPr>
          <w:sz w:val="20"/>
          <w:szCs w:val="20"/>
          <w:color w:val="auto"/>
        </w:rPr>
      </w:pPr>
    </w:p>
    <w:p>
      <w:pPr>
        <w:jc w:val="both"/>
        <w:ind w:left="880" w:hanging="8"/>
        <w:spacing w:after="0" w:line="270" w:lineRule="auto"/>
        <w:tabs>
          <w:tab w:leader="none" w:pos="1301"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after escalation to the Executive Officers, then, except for (a) any matter for which MyoKardia has final decision-making authority under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(JSC Decision-Making) and (b) any Excluded Claim, the Parties shall enter into confidential non-binding mediation in the State of Delaware in accordance with the Commercial Mediation Rules of 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The Parties shall mutually approve a mediator who has the requisite experience and qualifications, and if the Parties are unable to mutually approve a mediator, then a mediator having the requisite experience and qualifications shall be appointed in accordance with such Commercial Mediation Rules. The mediation shall be held within [**] of the selection of the mediator. A representative of each Party with authority to resolve the dispute shall participate in the mediation. Each Party agrees to use reasonable efforts to make its current employees available, if reasonably needed, as the mediator may determine. The fees and expenses related to the services provided by the mediator in connection with any mediation hereunder shall be paid one-half by each party, except that each Party shall pay its own attorneys’ fees and expenses. If the Parties are unable to resolve their dispute through mediation within [**] after selection of the mediator, either Party may invoke any remedy available to it under law or equity to resolve the dispute.</w:t>
      </w:r>
    </w:p>
    <w:p>
      <w:pPr>
        <w:spacing w:after="0" w:line="200" w:lineRule="exact"/>
        <w:rPr>
          <w:sz w:val="20"/>
          <w:szCs w:val="20"/>
          <w:color w:val="auto"/>
        </w:rPr>
      </w:pPr>
    </w:p>
    <w:p>
      <w:pPr>
        <w:spacing w:after="0" w:line="201" w:lineRule="exact"/>
        <w:rPr>
          <w:sz w:val="20"/>
          <w:szCs w:val="20"/>
          <w:color w:val="auto"/>
        </w:rPr>
      </w:pPr>
    </w:p>
    <w:p>
      <w:pPr>
        <w:jc w:val="both"/>
        <w:ind w:left="880" w:firstLine="797"/>
        <w:spacing w:after="0" w:line="239" w:lineRule="auto"/>
        <w:rPr>
          <w:sz w:val="20"/>
          <w:szCs w:val="20"/>
          <w:color w:val="auto"/>
        </w:rPr>
      </w:pPr>
      <w:r>
        <w:rPr>
          <w:rFonts w:ascii="Arial" w:cs="Arial" w:eastAsia="Arial" w:hAnsi="Arial"/>
          <w:sz w:val="22"/>
          <w:szCs w:val="22"/>
          <w:color w:val="auto"/>
        </w:rPr>
        <w:t xml:space="preserve">12.1.4. </w:t>
      </w:r>
      <w:r>
        <w:rPr>
          <w:rFonts w:ascii="Arial" w:cs="Arial" w:eastAsia="Arial" w:hAnsi="Arial"/>
          <w:sz w:val="22"/>
          <w:szCs w:val="22"/>
          <w:b w:val="1"/>
          <w:bCs w:val="1"/>
          <w:color w:val="auto"/>
        </w:rPr>
        <w:t>Excluded Claims</w:t>
      </w:r>
      <w:r>
        <w:rPr>
          <w:rFonts w:ascii="Arial" w:cs="Arial" w:eastAsia="Arial" w:hAnsi="Arial"/>
          <w:sz w:val="22"/>
          <w:szCs w:val="22"/>
          <w:color w:val="auto"/>
        </w:rPr>
        <w:t xml:space="preserve">. Notwithstanding the other provisions of this </w:t>
      </w:r>
      <w:r>
        <w:rPr>
          <w:rFonts w:ascii="Arial" w:cs="Arial" w:eastAsia="Arial" w:hAnsi="Arial"/>
          <w:sz w:val="22"/>
          <w:szCs w:val="22"/>
          <w:u w:val="single" w:color="auto"/>
          <w:color w:val="auto"/>
        </w:rPr>
        <w:t>Section 12.1</w:t>
      </w:r>
      <w:r>
        <w:rPr>
          <w:rFonts w:ascii="Arial" w:cs="Arial" w:eastAsia="Arial" w:hAnsi="Arial"/>
          <w:sz w:val="22"/>
          <w:szCs w:val="22"/>
          <w:color w:val="auto"/>
        </w:rPr>
        <w:t xml:space="preserve"> (Dispute Resolution), any dispute that involves the (i) breach of the confidentiality and non-use provisions of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(Confidentiality), (ii) the scope, validity, enforceability, inventorship or infringement of Patent Rights, (iii) applicability of the Bankruptcy Code, or (iv) compliance by the Parties with any Applicable Laws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3" w:name="page144"/>
    <w:bookmarkEnd w:id="143"/>
    <w:p>
      <w:pPr>
        <w:ind w:left="880"/>
        <w:spacing w:after="0" w:line="256" w:lineRule="auto"/>
        <w:rPr>
          <w:sz w:val="20"/>
          <w:szCs w:val="20"/>
          <w:color w:val="auto"/>
        </w:rPr>
      </w:pPr>
      <w:r>
        <w:rPr>
          <w:rFonts w:ascii="Arial" w:cs="Arial" w:eastAsia="Arial" w:hAnsi="Arial"/>
          <w:sz w:val="22"/>
          <w:szCs w:val="22"/>
          <w:color w:val="auto"/>
        </w:rPr>
        <w:t>governing antitrust, anti-monopoly or competition law, whether or not statutory, (each an “</w:t>
      </w:r>
      <w:r>
        <w:rPr>
          <w:rFonts w:ascii="Arial" w:cs="Arial" w:eastAsia="Arial" w:hAnsi="Arial"/>
          <w:sz w:val="22"/>
          <w:szCs w:val="22"/>
          <w:b w:val="1"/>
          <w:bCs w:val="1"/>
          <w:color w:val="auto"/>
        </w:rPr>
        <w:t>Excluded Claim</w:t>
      </w:r>
      <w:r>
        <w:rPr>
          <w:rFonts w:ascii="Arial" w:cs="Arial" w:eastAsia="Arial" w:hAnsi="Arial"/>
          <w:sz w:val="22"/>
          <w:szCs w:val="22"/>
          <w:color w:val="auto"/>
        </w:rPr>
        <w:t xml:space="preserve">”) will not be subject to the provisions of </w:t>
      </w:r>
      <w:r>
        <w:rPr>
          <w:rFonts w:ascii="Arial" w:cs="Arial" w:eastAsia="Arial" w:hAnsi="Arial"/>
          <w:sz w:val="22"/>
          <w:szCs w:val="22"/>
          <w:u w:val="single" w:color="auto"/>
          <w:color w:val="auto"/>
        </w:rPr>
        <w:t>Section 12.1.3</w:t>
      </w:r>
      <w:r>
        <w:rPr>
          <w:rFonts w:ascii="Arial" w:cs="Arial" w:eastAsia="Arial" w:hAnsi="Arial"/>
          <w:sz w:val="22"/>
          <w:szCs w:val="22"/>
          <w:color w:val="auto"/>
        </w:rPr>
        <w:t xml:space="preserve"> (Resolution by Mediation).</w:t>
      </w:r>
    </w:p>
    <w:p>
      <w:pPr>
        <w:spacing w:after="0" w:line="16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b w:val="1"/>
          <w:bCs w:val="1"/>
          <w:u w:val="single" w:color="auto"/>
          <w:color w:val="auto"/>
        </w:rPr>
        <w:t>Injunctive Relief</w:t>
      </w:r>
      <w:r>
        <w:rPr>
          <w:rFonts w:ascii="Arial" w:cs="Arial" w:eastAsia="Arial" w:hAnsi="Arial"/>
          <w:sz w:val="22"/>
          <w:szCs w:val="22"/>
          <w:color w:val="auto"/>
        </w:rPr>
        <w:t xml:space="preserve">. Notwithstanding any provision to the contrary set forth in this Agreement, the Parties each stipulate and agree that a breach of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(License Grants and Exclusivity) or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(Confidentiality) by a Party may cause irrevocable harm for which monetary damages would not provide a sufficient remedy, and in such case, the non-breaching Party will be entitled to equitable relief, including specific performance, temporary or permanent restraining orders, preliminary injunction, or permanent injunction, or other equitable relief without the posting of any bond or other security, from any court of competent jurisdiction, in each case, without first submitting to the dispute resolution procedures set forth in </w:t>
      </w:r>
      <w:r>
        <w:rPr>
          <w:rFonts w:ascii="Arial" w:cs="Arial" w:eastAsia="Arial" w:hAnsi="Arial"/>
          <w:sz w:val="22"/>
          <w:szCs w:val="22"/>
          <w:u w:val="single" w:color="auto"/>
          <w:color w:val="auto"/>
        </w:rPr>
        <w:t>Section 12.1</w:t>
      </w:r>
      <w:r>
        <w:rPr>
          <w:rFonts w:ascii="Arial" w:cs="Arial" w:eastAsia="Arial" w:hAnsi="Arial"/>
          <w:sz w:val="22"/>
          <w:szCs w:val="22"/>
          <w:color w:val="auto"/>
        </w:rPr>
        <w:t xml:space="preserve"> (Dispute Resolution).</w:t>
      </w:r>
    </w:p>
    <w:p>
      <w:pPr>
        <w:spacing w:after="0" w:line="183"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b w:val="1"/>
          <w:bCs w:val="1"/>
          <w:u w:val="single" w:color="auto"/>
          <w:color w:val="auto"/>
        </w:rPr>
        <w:t>Assignment</w:t>
      </w:r>
      <w:r>
        <w:rPr>
          <w:rFonts w:ascii="Arial" w:cs="Arial" w:eastAsia="Arial" w:hAnsi="Arial"/>
          <w:sz w:val="19"/>
          <w:szCs w:val="19"/>
          <w:color w:val="auto"/>
        </w:rPr>
        <w:t xml:space="preserve">. This Agreement will not be assignable by any Party to any Third Party without the written consent of the non-assigning Party. Notwithstanding the foregoing, (a) without the written consent of MyoKardia, Fulcrum may assign this Agreement or its rights and obligations under this Agreement to (i) a Third Party in connection with a Change of Control, or (ii) an Affiliate (both only for so long as such Affiliate remains an Affiliate), in each case ((i) and (ii)), that agrees in writing to be bound by the terms of this Agreement and (b) without the written consent of Fulcrum, MyoKardia may assign this Agreement or its rights and obligations under this Agreement in whole or on a Target-by-Target or Product-by-Product basis to an Affiliate (only for so long as such Affiliate remains an Affiliate) or its or their Sublicensees or to any successor in interest (whether by merger, acquisition, asset purchase or otherwise) to all or substantially all or of the business to which this Agreement (or the applicable Target or Product) relates;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Affiliate, such Sublicensee or such successor in interest agrees in writing to be bound by the terms of this Agreement.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(Assignment) will be void.</w:t>
      </w:r>
    </w:p>
    <w:p>
      <w:pPr>
        <w:spacing w:after="0" w:line="200" w:lineRule="exact"/>
        <w:rPr>
          <w:sz w:val="20"/>
          <w:szCs w:val="20"/>
          <w:color w:val="auto"/>
        </w:rPr>
      </w:pPr>
    </w:p>
    <w:p>
      <w:pPr>
        <w:spacing w:after="0" w:line="20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b w:val="1"/>
          <w:bCs w:val="1"/>
          <w:u w:val="single" w:color="auto"/>
          <w:color w:val="auto"/>
        </w:rPr>
        <w:t>Representation by Legal Counsel</w:t>
      </w:r>
      <w:r>
        <w:rPr>
          <w:rFonts w:ascii="Arial" w:cs="Arial" w:eastAsia="Arial" w:hAnsi="Arial"/>
          <w:sz w:val="22"/>
          <w:szCs w:val="22"/>
          <w:color w:val="auto"/>
        </w:rPr>
        <w:t>. Each Party hereto represents that it has been represented by legal counsel in connection with this Agreement and acknowledges that it has participated in the drafting hereof. In interpreting and applying the terms and provisions of this Agreement, no presumption will exist or be implied against the Party that drafted such terms and provisions.</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All notices which are required or permitted hereunder will be in writing and sufficient if delivered personally, sent by email or sent by nationally-recognized overnight courier, addressed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4" w:name="page145"/>
    <w:bookmarkEnd w:id="144"/>
    <w:p>
      <w:pPr>
        <w:ind w:left="880"/>
        <w:spacing w:after="0"/>
        <w:rPr>
          <w:sz w:val="20"/>
          <w:szCs w:val="20"/>
          <w:color w:val="auto"/>
        </w:rPr>
      </w:pPr>
      <w:r>
        <w:rPr>
          <w:rFonts w:ascii="Arial" w:cs="Arial" w:eastAsia="Arial" w:hAnsi="Arial"/>
          <w:sz w:val="22"/>
          <w:szCs w:val="22"/>
          <w:color w:val="auto"/>
        </w:rPr>
        <w:t>If to Fulcrum:</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Fulcrum Therapeutics, Inc.</w:t>
      </w:r>
    </w:p>
    <w:p>
      <w:pPr>
        <w:ind w:left="1740"/>
        <w:spacing w:after="0" w:line="238" w:lineRule="auto"/>
        <w:rPr>
          <w:sz w:val="20"/>
          <w:szCs w:val="20"/>
          <w:color w:val="auto"/>
        </w:rPr>
      </w:pPr>
      <w:r>
        <w:rPr>
          <w:rFonts w:ascii="Arial" w:cs="Arial" w:eastAsia="Arial" w:hAnsi="Arial"/>
          <w:sz w:val="22"/>
          <w:szCs w:val="22"/>
          <w:color w:val="auto"/>
        </w:rPr>
        <w:t>26 Landsdowne Street</w:t>
      </w:r>
    </w:p>
    <w:p>
      <w:pPr>
        <w:ind w:left="1740"/>
        <w:spacing w:after="0" w:line="230" w:lineRule="auto"/>
        <w:rPr>
          <w:sz w:val="20"/>
          <w:szCs w:val="20"/>
          <w:color w:val="auto"/>
        </w:rPr>
      </w:pPr>
      <w:r>
        <w:rPr>
          <w:rFonts w:ascii="Arial" w:cs="Arial" w:eastAsia="Arial" w:hAnsi="Arial"/>
          <w:sz w:val="22"/>
          <w:szCs w:val="22"/>
          <w:color w:val="auto"/>
        </w:rPr>
        <w:t>Cambridge, MA 02139</w:t>
      </w:r>
    </w:p>
    <w:p>
      <w:pPr>
        <w:ind w:left="1740"/>
        <w:spacing w:after="0" w:line="231" w:lineRule="auto"/>
        <w:rPr>
          <w:sz w:val="20"/>
          <w:szCs w:val="20"/>
          <w:color w:val="auto"/>
        </w:rPr>
      </w:pPr>
      <w:r>
        <w:rPr>
          <w:rFonts w:ascii="Arial" w:cs="Arial" w:eastAsia="Arial" w:hAnsi="Arial"/>
          <w:sz w:val="22"/>
          <w:szCs w:val="22"/>
          <w:color w:val="auto"/>
        </w:rPr>
        <w:t>Attention: Bryan Stuart</w:t>
      </w:r>
    </w:p>
    <w:p>
      <w:pPr>
        <w:ind w:left="174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that will not constitute notice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Ropes &amp; Gray LLP</w:t>
      </w:r>
    </w:p>
    <w:p>
      <w:pPr>
        <w:ind w:left="1740"/>
        <w:spacing w:after="0" w:line="238" w:lineRule="auto"/>
        <w:rPr>
          <w:sz w:val="20"/>
          <w:szCs w:val="20"/>
          <w:color w:val="auto"/>
        </w:rPr>
      </w:pPr>
      <w:r>
        <w:rPr>
          <w:rFonts w:ascii="Arial" w:cs="Arial" w:eastAsia="Arial" w:hAnsi="Arial"/>
          <w:sz w:val="22"/>
          <w:szCs w:val="22"/>
          <w:color w:val="auto"/>
        </w:rPr>
        <w:t>Attn: Marc A. Rubenstein</w:t>
      </w:r>
    </w:p>
    <w:p>
      <w:pPr>
        <w:ind w:left="1740"/>
        <w:spacing w:after="0" w:line="230" w:lineRule="auto"/>
        <w:rPr>
          <w:sz w:val="20"/>
          <w:szCs w:val="20"/>
          <w:color w:val="auto"/>
        </w:rPr>
      </w:pPr>
      <w:r>
        <w:rPr>
          <w:rFonts w:ascii="Arial" w:cs="Arial" w:eastAsia="Arial" w:hAnsi="Arial"/>
          <w:sz w:val="22"/>
          <w:szCs w:val="22"/>
          <w:color w:val="auto"/>
        </w:rPr>
        <w:t>Prudential Tower</w:t>
      </w:r>
    </w:p>
    <w:p>
      <w:pPr>
        <w:ind w:left="1740"/>
        <w:spacing w:after="0" w:line="231" w:lineRule="auto"/>
        <w:rPr>
          <w:sz w:val="20"/>
          <w:szCs w:val="20"/>
          <w:color w:val="auto"/>
        </w:rPr>
      </w:pPr>
      <w:r>
        <w:rPr>
          <w:rFonts w:ascii="Arial" w:cs="Arial" w:eastAsia="Arial" w:hAnsi="Arial"/>
          <w:sz w:val="22"/>
          <w:szCs w:val="22"/>
          <w:color w:val="auto"/>
        </w:rPr>
        <w:t>800 Boylston Street</w:t>
      </w:r>
    </w:p>
    <w:p>
      <w:pPr>
        <w:ind w:left="1740"/>
        <w:spacing w:after="0" w:line="230" w:lineRule="auto"/>
        <w:rPr>
          <w:sz w:val="20"/>
          <w:szCs w:val="20"/>
          <w:color w:val="auto"/>
        </w:rPr>
      </w:pPr>
      <w:r>
        <w:rPr>
          <w:rFonts w:ascii="Arial" w:cs="Arial" w:eastAsia="Arial" w:hAnsi="Arial"/>
          <w:sz w:val="22"/>
          <w:szCs w:val="22"/>
          <w:color w:val="auto"/>
        </w:rPr>
        <w:t>Boston, MA 02199</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Email: marc.rubenstein@ropesgray.com</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MyoKardia:</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MyoKardia, Inc.</w:t>
      </w:r>
    </w:p>
    <w:p>
      <w:pPr>
        <w:ind w:left="1740"/>
        <w:spacing w:after="0" w:line="238" w:lineRule="auto"/>
        <w:rPr>
          <w:sz w:val="20"/>
          <w:szCs w:val="20"/>
          <w:color w:val="auto"/>
        </w:rPr>
      </w:pPr>
      <w:r>
        <w:rPr>
          <w:rFonts w:ascii="Arial" w:cs="Arial" w:eastAsia="Arial" w:hAnsi="Arial"/>
          <w:sz w:val="22"/>
          <w:szCs w:val="22"/>
          <w:color w:val="auto"/>
        </w:rPr>
        <w:t>1000 Sierra Point Parkway</w:t>
      </w:r>
    </w:p>
    <w:p>
      <w:pPr>
        <w:ind w:left="1740"/>
        <w:spacing w:after="0" w:line="230" w:lineRule="auto"/>
        <w:rPr>
          <w:sz w:val="20"/>
          <w:szCs w:val="20"/>
          <w:color w:val="auto"/>
        </w:rPr>
      </w:pPr>
      <w:r>
        <w:rPr>
          <w:rFonts w:ascii="Arial" w:cs="Arial" w:eastAsia="Arial" w:hAnsi="Arial"/>
          <w:sz w:val="22"/>
          <w:szCs w:val="22"/>
          <w:color w:val="auto"/>
        </w:rPr>
        <w:t>Brisbane, CA 94005</w:t>
      </w:r>
    </w:p>
    <w:p>
      <w:pPr>
        <w:ind w:left="1740"/>
        <w:spacing w:after="0" w:line="231" w:lineRule="auto"/>
        <w:rPr>
          <w:sz w:val="20"/>
          <w:szCs w:val="20"/>
          <w:color w:val="auto"/>
        </w:rPr>
      </w:pPr>
      <w:r>
        <w:rPr>
          <w:rFonts w:ascii="Arial" w:cs="Arial" w:eastAsia="Arial" w:hAnsi="Arial"/>
          <w:sz w:val="22"/>
          <w:szCs w:val="22"/>
          <w:color w:val="auto"/>
        </w:rPr>
        <w:t>Attention: Jake Bauer</w:t>
      </w:r>
    </w:p>
    <w:p>
      <w:pPr>
        <w:ind w:left="174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MyoKardia, Inc.</w:t>
      </w:r>
    </w:p>
    <w:p>
      <w:pPr>
        <w:ind w:left="1740"/>
        <w:spacing w:after="0" w:line="238" w:lineRule="auto"/>
        <w:rPr>
          <w:sz w:val="20"/>
          <w:szCs w:val="20"/>
          <w:color w:val="auto"/>
        </w:rPr>
      </w:pPr>
      <w:r>
        <w:rPr>
          <w:rFonts w:ascii="Arial" w:cs="Arial" w:eastAsia="Arial" w:hAnsi="Arial"/>
          <w:sz w:val="22"/>
          <w:szCs w:val="22"/>
          <w:color w:val="auto"/>
        </w:rPr>
        <w:t>1000 Sierra Point Parkway</w:t>
      </w:r>
    </w:p>
    <w:p>
      <w:pPr>
        <w:ind w:left="1740"/>
        <w:spacing w:after="0" w:line="230" w:lineRule="auto"/>
        <w:rPr>
          <w:sz w:val="20"/>
          <w:szCs w:val="20"/>
          <w:color w:val="auto"/>
        </w:rPr>
      </w:pPr>
      <w:r>
        <w:rPr>
          <w:rFonts w:ascii="Arial" w:cs="Arial" w:eastAsia="Arial" w:hAnsi="Arial"/>
          <w:sz w:val="22"/>
          <w:szCs w:val="22"/>
          <w:color w:val="auto"/>
        </w:rPr>
        <w:t>Brisbane, CA 94005</w:t>
      </w:r>
    </w:p>
    <w:p>
      <w:pPr>
        <w:ind w:left="1740"/>
        <w:spacing w:after="0" w:line="231" w:lineRule="auto"/>
        <w:rPr>
          <w:sz w:val="20"/>
          <w:szCs w:val="20"/>
          <w:color w:val="auto"/>
        </w:rPr>
      </w:pPr>
      <w:r>
        <w:rPr>
          <w:rFonts w:ascii="Arial" w:cs="Arial" w:eastAsia="Arial" w:hAnsi="Arial"/>
          <w:sz w:val="22"/>
          <w:szCs w:val="22"/>
          <w:color w:val="auto"/>
        </w:rPr>
        <w:t>Attention: Legal Department</w:t>
      </w:r>
    </w:p>
    <w:p>
      <w:pPr>
        <w:ind w:left="174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to that will not constitute notice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Goodwin Procter LLP</w:t>
      </w:r>
    </w:p>
    <w:p>
      <w:pPr>
        <w:ind w:left="1740"/>
        <w:spacing w:after="0" w:line="238" w:lineRule="auto"/>
        <w:rPr>
          <w:sz w:val="20"/>
          <w:szCs w:val="20"/>
          <w:color w:val="auto"/>
        </w:rPr>
      </w:pPr>
      <w:r>
        <w:rPr>
          <w:rFonts w:ascii="Arial" w:cs="Arial" w:eastAsia="Arial" w:hAnsi="Arial"/>
          <w:sz w:val="22"/>
          <w:szCs w:val="22"/>
          <w:color w:val="auto"/>
        </w:rPr>
        <w:t>100 Northern Avenue</w:t>
      </w:r>
    </w:p>
    <w:p>
      <w:pPr>
        <w:ind w:left="1740"/>
        <w:spacing w:after="0" w:line="230" w:lineRule="auto"/>
        <w:rPr>
          <w:sz w:val="20"/>
          <w:szCs w:val="20"/>
          <w:color w:val="auto"/>
        </w:rPr>
      </w:pPr>
      <w:r>
        <w:rPr>
          <w:rFonts w:ascii="Arial" w:cs="Arial" w:eastAsia="Arial" w:hAnsi="Arial"/>
          <w:sz w:val="22"/>
          <w:szCs w:val="22"/>
          <w:color w:val="auto"/>
        </w:rPr>
        <w:t>Boston, MA 02210</w:t>
      </w:r>
    </w:p>
    <w:p>
      <w:pPr>
        <w:ind w:left="1740"/>
        <w:spacing w:after="0" w:line="231" w:lineRule="auto"/>
        <w:rPr>
          <w:sz w:val="20"/>
          <w:szCs w:val="20"/>
          <w:color w:val="auto"/>
        </w:rPr>
      </w:pPr>
      <w:r>
        <w:rPr>
          <w:rFonts w:ascii="Arial" w:cs="Arial" w:eastAsia="Arial" w:hAnsi="Arial"/>
          <w:sz w:val="22"/>
          <w:szCs w:val="22"/>
          <w:color w:val="auto"/>
        </w:rPr>
        <w:t>Attention: Richard A. Hoffman</w:t>
      </w:r>
    </w:p>
    <w:p>
      <w:pPr>
        <w:ind w:left="1740"/>
        <w:spacing w:after="0"/>
        <w:rPr>
          <w:sz w:val="20"/>
          <w:szCs w:val="20"/>
          <w:color w:val="auto"/>
        </w:rPr>
      </w:pPr>
      <w:r>
        <w:rPr>
          <w:rFonts w:ascii="Arial" w:cs="Arial" w:eastAsia="Arial" w:hAnsi="Arial"/>
          <w:sz w:val="22"/>
          <w:szCs w:val="22"/>
          <w:color w:val="auto"/>
        </w:rPr>
        <w:t>Email: RHoffman@goodwinlaw.com</w:t>
      </w:r>
    </w:p>
    <w:p>
      <w:pPr>
        <w:spacing w:after="0" w:line="188" w:lineRule="exact"/>
        <w:rPr>
          <w:sz w:val="20"/>
          <w:szCs w:val="20"/>
          <w:color w:val="auto"/>
        </w:rPr>
      </w:pPr>
    </w:p>
    <w:p>
      <w:pPr>
        <w:jc w:val="both"/>
        <w:ind w:left="880"/>
        <w:spacing w:after="0" w:line="297" w:lineRule="auto"/>
        <w:rPr>
          <w:sz w:val="20"/>
          <w:szCs w:val="20"/>
          <w:color w:val="auto"/>
        </w:rPr>
      </w:pPr>
      <w:r>
        <w:rPr>
          <w:rFonts w:ascii="Arial" w:cs="Arial" w:eastAsia="Arial" w:hAnsi="Arial"/>
          <w:sz w:val="19"/>
          <w:szCs w:val="19"/>
          <w:color w:val="auto"/>
        </w:rPr>
        <w:t>or to such other address as the Party to whom written notice is to be given may have furnished to the other Party in writing in accordance herewith. Any such written notice will be deemed to have been given and received by the other Party: (a) when delivered if personally delivered; or (b) on receipt if sent by email or overnight courier.</w:t>
      </w:r>
    </w:p>
    <w:p>
      <w:pPr>
        <w:spacing w:after="0" w:line="128"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No amendment, modification or supplement of any provision of this Agreement will be valid or effective unless made in writing and signed by a duly authorized officer of each of the Parties.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5" w:name="page146"/>
    <w:bookmarkEnd w:id="145"/>
    <w:p>
      <w:pPr>
        <w:jc w:val="both"/>
        <w:ind w:firstLine="864"/>
        <w:spacing w:after="0" w:line="254" w:lineRule="auto"/>
        <w:rPr>
          <w:sz w:val="20"/>
          <w:szCs w:val="20"/>
          <w:color w:val="auto"/>
        </w:rPr>
      </w:pPr>
      <w:r>
        <w:rPr>
          <w:rFonts w:ascii="Arial" w:cs="Arial" w:eastAsia="Arial" w:hAnsi="Arial"/>
          <w:sz w:val="21"/>
          <w:szCs w:val="21"/>
          <w:color w:val="auto"/>
        </w:rPr>
        <w:t xml:space="preserve">13.5. </w:t>
      </w:r>
      <w:r>
        <w:rPr>
          <w:rFonts w:ascii="Arial" w:cs="Arial" w:eastAsia="Arial" w:hAnsi="Arial"/>
          <w:sz w:val="21"/>
          <w:szCs w:val="21"/>
          <w:b w:val="1"/>
          <w:bCs w:val="1"/>
          <w:u w:val="single" w:color="auto"/>
          <w:color w:val="auto"/>
        </w:rPr>
        <w:t>Waiver</w:t>
      </w:r>
      <w:r>
        <w:rPr>
          <w:rFonts w:ascii="Arial" w:cs="Arial" w:eastAsia="Arial" w:hAnsi="Arial"/>
          <w:sz w:val="21"/>
          <w:szCs w:val="21"/>
          <w:color w:val="auto"/>
        </w:rPr>
        <w:t>. No provision of this Agreement will be waived by any act, omission or knowledge of a Party or its agents or employees except by an instrument in writing expressly waiving such provision and signed by a duly authorized officer of the waiving Party. The waiver by either Party of any breach of any provision hereof by the other Party will not be construed to be a waiver of any succeeding breach of such provision or a waiver of the provision itself.</w:t>
      </w:r>
    </w:p>
    <w:p>
      <w:pPr>
        <w:spacing w:after="0" w:line="16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clause or portion thereof in this Agreement is for any reason held to be invalid, illegal or 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of portion thereof had never been contained in this Agreement, and there will be deemed substituted therefor such provision as will most nearly carry out the intent of the Parties as expressed in this Agreement to the fullest extent permitted by Applicable Law.</w:t>
      </w:r>
    </w:p>
    <w:p>
      <w:pPr>
        <w:spacing w:after="0" w:line="171"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 xml:space="preserve">13.7. </w:t>
      </w:r>
      <w:r>
        <w:rPr>
          <w:rFonts w:ascii="Arial" w:cs="Arial" w:eastAsia="Arial" w:hAnsi="Arial"/>
          <w:sz w:val="22"/>
          <w:szCs w:val="22"/>
          <w:b w:val="1"/>
          <w:bCs w:val="1"/>
          <w:u w:val="single" w:color="auto"/>
          <w:color w:val="auto"/>
        </w:rPr>
        <w:t>Descriptive Headings</w:t>
      </w:r>
      <w:r>
        <w:rPr>
          <w:rFonts w:ascii="Arial" w:cs="Arial" w:eastAsia="Arial" w:hAnsi="Arial"/>
          <w:sz w:val="22"/>
          <w:szCs w:val="22"/>
          <w:color w:val="auto"/>
        </w:rPr>
        <w:t>. The descriptive headings of this Agreement are for convenience only and will be of no force or effect in construing or interpreting any of the provisions of this Agreement.</w:t>
      </w:r>
    </w:p>
    <w:p>
      <w:pPr>
        <w:spacing w:after="0" w:line="16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13.8. </w:t>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xml:space="preserve">. This Agreement, and all claims arising under or in connection therewith, will be governed by and interpreted in accordance with the substantive laws of the State of Delaware, without regard to conflict of law principles thereof;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with respect to matters involving the enforcement, validity or scope of intellectual property rights, the intellectual property laws of the applicable country will apply. Each of the Parties agrees that this Agreement has been entered into by the Parties in express reliance upon 6 Del. C. § 2708. To the extent that any right of a Party requires enforcement through court process, such enforcement will then be subject to the exclusive jurisdiction of the state courts of Delaware and federal courts of competent jurisdiction located in Wilmington, Delaware. Each of the Parties hereby irrevocably and unconditionally agrees (a) to be subject to the exclusive jurisdiction of the state courts of Delaware and federal courts located in Wilmington, Delaware; (b) (i) to the extent such Party is not otherwise subject to service of process in the State of Delaware, to appoint and maintain an agent in the State of Delaware as such Party’s agent for acceptance of legal process and to notify the other Party of such appointment and any change to such appointment from time to time, in each case promptly after such appointment or change or request by the other Party, and (ii) that, to the fullest extent permitted by Applicable Law, service of process may also be made on such Party by prepaid certified mail with a proof of mailing receipt validated by post mail constituting evidence of valid service; and (c) that service made pursuant to the foregoing clause (b)(i) or (b)(ii) will, to the fullest extent permitted by Applicable Law, have the same legal force and effect as if served upon such Party personally within the State of Delaware. Each of the Parties hereby irrevocably and unconditionally waives any objection to the jurisdiction of or venue in the state courts of Delaware and federal courts located in Wilmington, Delaware.</w:t>
      </w:r>
    </w:p>
    <w:p>
      <w:pPr>
        <w:spacing w:after="0" w:line="400"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 xml:space="preserve">13.9. </w:t>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constitutes and contains the complete, final and exclusive understanding and agreement of the Parties and cancels and supersedes all prior negotiations, correspondence, understandings and agreements, whether oral or written, between the Parties respecting the subject matter of this Agreement, including the CDA.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6" w:name="page147"/>
    <w:bookmarkEnd w:id="146"/>
    <w:p>
      <w:pPr>
        <w:jc w:val="both"/>
        <w:ind w:firstLine="864"/>
        <w:spacing w:after="0" w:line="283" w:lineRule="auto"/>
        <w:rPr>
          <w:sz w:val="20"/>
          <w:szCs w:val="20"/>
          <w:color w:val="auto"/>
        </w:rPr>
      </w:pPr>
      <w:r>
        <w:rPr>
          <w:rFonts w:ascii="Arial" w:cs="Arial" w:eastAsia="Arial" w:hAnsi="Arial"/>
          <w:sz w:val="19"/>
          <w:szCs w:val="19"/>
          <w:color w:val="auto"/>
        </w:rPr>
        <w:t xml:space="preserve">13.10. </w:t>
      </w:r>
      <w:r>
        <w:rPr>
          <w:rFonts w:ascii="Arial" w:cs="Arial" w:eastAsia="Arial" w:hAnsi="Arial"/>
          <w:sz w:val="19"/>
          <w:szCs w:val="19"/>
          <w:b w:val="1"/>
          <w:bCs w:val="1"/>
          <w:u w:val="single" w:color="auto"/>
          <w:color w:val="auto"/>
        </w:rPr>
        <w:t>Independent Contractors</w:t>
      </w:r>
      <w:r>
        <w:rPr>
          <w:rFonts w:ascii="Arial" w:cs="Arial" w:eastAsia="Arial" w:hAnsi="Arial"/>
          <w:sz w:val="19"/>
          <w:szCs w:val="19"/>
          <w:color w:val="auto"/>
        </w:rPr>
        <w:t>. The Parties are independent contractors under this Agreement. Nothing contained herein will be deemed to create an employment, agency, joint venture or partnership relationship between the Parties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spacing w:after="0" w:line="143"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13.11. </w:t>
      </w:r>
      <w:r>
        <w:rPr>
          <w:rFonts w:ascii="Arial" w:cs="Arial" w:eastAsia="Arial" w:hAnsi="Arial"/>
          <w:sz w:val="21"/>
          <w:szCs w:val="21"/>
          <w:b w:val="1"/>
          <w:bCs w:val="1"/>
          <w:u w:val="single" w:color="auto"/>
          <w:color w:val="auto"/>
        </w:rPr>
        <w:t>Force Majeure</w:t>
      </w:r>
      <w:r>
        <w:rPr>
          <w:rFonts w:ascii="Arial" w:cs="Arial" w:eastAsia="Arial" w:hAnsi="Arial"/>
          <w:sz w:val="21"/>
          <w:szCs w:val="21"/>
          <w:color w:val="auto"/>
        </w:rPr>
        <w:t xml:space="preserve">. Each Party will be excused from the performance of its obligations under this Agreement to the extent that such performance is prevented by a </w:t>
      </w:r>
      <w:r>
        <w:rPr>
          <w:rFonts w:ascii="Arial" w:cs="Arial" w:eastAsia="Arial" w:hAnsi="Arial"/>
          <w:sz w:val="21"/>
          <w:szCs w:val="21"/>
          <w:i w:val="1"/>
          <w:iCs w:val="1"/>
          <w:color w:val="auto"/>
        </w:rPr>
        <w:t>force majeure</w:t>
      </w:r>
      <w:r>
        <w:rPr>
          <w:rFonts w:ascii="Arial" w:cs="Arial" w:eastAsia="Arial" w:hAnsi="Arial"/>
          <w:sz w:val="21"/>
          <w:szCs w:val="21"/>
          <w:color w:val="auto"/>
        </w:rPr>
        <w:t xml:space="preserve"> event and the nonperforming Party promptly provides notice of the prevention to the other Party. Such excuse will be continued so long as the condition constituting </w:t>
      </w:r>
      <w:r>
        <w:rPr>
          <w:rFonts w:ascii="Arial" w:cs="Arial" w:eastAsia="Arial" w:hAnsi="Arial"/>
          <w:sz w:val="21"/>
          <w:szCs w:val="21"/>
          <w:i w:val="1"/>
          <w:iCs w:val="1"/>
          <w:color w:val="auto"/>
        </w:rPr>
        <w:t>force</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majeure </w:t>
      </w:r>
      <w:r>
        <w:rPr>
          <w:rFonts w:ascii="Arial" w:cs="Arial" w:eastAsia="Arial" w:hAnsi="Arial"/>
          <w:sz w:val="21"/>
          <w:szCs w:val="21"/>
          <w:color w:val="auto"/>
        </w:rPr>
        <w:t>continues and the nonperforming Party uses commercially reasonable efforts to remove the condition. For purposes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this Agreement, </w:t>
      </w:r>
      <w:r>
        <w:rPr>
          <w:rFonts w:ascii="Arial" w:cs="Arial" w:eastAsia="Arial" w:hAnsi="Arial"/>
          <w:sz w:val="21"/>
          <w:szCs w:val="21"/>
          <w:i w:val="1"/>
          <w:iCs w:val="1"/>
          <w:color w:val="auto"/>
        </w:rPr>
        <w:t>force majeure</w:t>
      </w:r>
      <w:r>
        <w:rPr>
          <w:rFonts w:ascii="Arial" w:cs="Arial" w:eastAsia="Arial" w:hAnsi="Arial"/>
          <w:sz w:val="21"/>
          <w:szCs w:val="21"/>
          <w:color w:val="auto"/>
        </w:rPr>
        <w:t xml:space="preserve"> will include conditions beyond the reasonable control of the Parties, including an act of God or terrorism, voluntary or involuntary compliance with any regulation, law or order of any government, war, civil commotion, labor strike or lock-out, epidemic, pandemic, failure or default of public utilities or common carriers, destruction of production facilities or materials by fire, earthquake, storm or like catastrophe. Notwithstanding the foregoing, as of the Effective Date, the COVID-19 Pandemic is not a </w:t>
      </w:r>
      <w:r>
        <w:rPr>
          <w:rFonts w:ascii="Arial" w:cs="Arial" w:eastAsia="Arial" w:hAnsi="Arial"/>
          <w:sz w:val="21"/>
          <w:szCs w:val="21"/>
          <w:i w:val="1"/>
          <w:iCs w:val="1"/>
          <w:color w:val="auto"/>
        </w:rPr>
        <w:t>force majeure</w:t>
      </w:r>
      <w:r>
        <w:rPr>
          <w:rFonts w:ascii="Arial" w:cs="Arial" w:eastAsia="Arial" w:hAnsi="Arial"/>
          <w:sz w:val="21"/>
          <w:szCs w:val="21"/>
          <w:color w:val="auto"/>
        </w:rPr>
        <w:t xml:space="preserve">. If a </w:t>
      </w:r>
      <w:r>
        <w:rPr>
          <w:rFonts w:ascii="Arial" w:cs="Arial" w:eastAsia="Arial" w:hAnsi="Arial"/>
          <w:sz w:val="21"/>
          <w:szCs w:val="21"/>
          <w:i w:val="1"/>
          <w:iCs w:val="1"/>
          <w:color w:val="auto"/>
        </w:rPr>
        <w:t>force majeure</w:t>
      </w:r>
      <w:r>
        <w:rPr>
          <w:rFonts w:ascii="Arial" w:cs="Arial" w:eastAsia="Arial" w:hAnsi="Arial"/>
          <w:sz w:val="21"/>
          <w:szCs w:val="21"/>
          <w:color w:val="auto"/>
        </w:rPr>
        <w:t xml:space="preserve"> causes a material failure or delay in the performance by Fulcrum of obligation sunder the Research Plan under this Agreement for more than [**], MyoKardia may, at its option, terminate this Agreement.</w:t>
      </w:r>
    </w:p>
    <w:p>
      <w:pPr>
        <w:spacing w:after="0" w:line="17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13.12. </w:t>
      </w: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its entirety and not to any particular provision hereof, (g) all references herein to Sections, Exhibits or Schedules will be construed to refer to Sections, Exhibits or Schedules of this Agreement, and references to this Agreement include all Exhibits and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will be deemed to include the then-current amendments thereto or any replacement or successor law, rule or regulation thereof, (k) the term “or” will be interpreted in the inclusive sense commonly associated with the term “and/or” and (l) unless otherwise specified, “day” means a calendar day.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7" w:name="page148"/>
    <w:bookmarkEnd w:id="147"/>
    <w:p>
      <w:pPr>
        <w:jc w:val="both"/>
        <w:ind w:firstLine="864"/>
        <w:spacing w:after="0" w:line="237" w:lineRule="auto"/>
        <w:rPr>
          <w:sz w:val="20"/>
          <w:szCs w:val="20"/>
          <w:color w:val="auto"/>
        </w:rPr>
      </w:pPr>
      <w:r>
        <w:rPr>
          <w:rFonts w:ascii="Arial" w:cs="Arial" w:eastAsia="Arial" w:hAnsi="Arial"/>
          <w:sz w:val="22"/>
          <w:szCs w:val="22"/>
          <w:color w:val="auto"/>
        </w:rPr>
        <w:t xml:space="preserve">13.13. </w:t>
      </w:r>
      <w:r>
        <w:rPr>
          <w:rFonts w:ascii="Arial" w:cs="Arial" w:eastAsia="Arial" w:hAnsi="Arial"/>
          <w:sz w:val="22"/>
          <w:szCs w:val="22"/>
          <w:b w:val="1"/>
          <w:bCs w:val="1"/>
          <w:u w:val="single" w:color="auto"/>
          <w:color w:val="auto"/>
        </w:rPr>
        <w:t>No Third Party Beneficiaries, Rights or Obligations</w:t>
      </w:r>
      <w:r>
        <w:rPr>
          <w:rFonts w:ascii="Arial" w:cs="Arial" w:eastAsia="Arial" w:hAnsi="Arial"/>
          <w:sz w:val="22"/>
          <w:szCs w:val="22"/>
          <w:color w:val="auto"/>
        </w:rPr>
        <w:t>. There are no Third Party beneficiaries hereunder and the provisions of this Agreement are for the exclusive benefit of the Parties. No provision of this Agreement will be deemed or construed in any way to result in the creation of any rights or obligations in any Person not a Party to this Agreement, and no other Person or entity shall have any right or claim against either Party by reason of these provisions or be entitled to enforce any of these provisions against either Party.</w:t>
      </w:r>
    </w:p>
    <w:p>
      <w:pPr>
        <w:spacing w:after="0" w:line="182" w:lineRule="exact"/>
        <w:rPr>
          <w:sz w:val="20"/>
          <w:szCs w:val="20"/>
          <w:color w:val="auto"/>
        </w:rPr>
      </w:pPr>
    </w:p>
    <w:p>
      <w:pPr>
        <w:jc w:val="both"/>
        <w:ind w:right="20" w:firstLine="864"/>
        <w:spacing w:after="0" w:line="334" w:lineRule="auto"/>
        <w:rPr>
          <w:sz w:val="20"/>
          <w:szCs w:val="20"/>
          <w:color w:val="auto"/>
        </w:rPr>
      </w:pPr>
      <w:r>
        <w:rPr>
          <w:rFonts w:ascii="Arial" w:cs="Arial" w:eastAsia="Arial" w:hAnsi="Arial"/>
          <w:sz w:val="19"/>
          <w:szCs w:val="19"/>
          <w:color w:val="auto"/>
        </w:rPr>
        <w:t xml:space="preserve">13.14. </w:t>
      </w:r>
      <w:r>
        <w:rPr>
          <w:rFonts w:ascii="Arial" w:cs="Arial" w:eastAsia="Arial" w:hAnsi="Arial"/>
          <w:sz w:val="19"/>
          <w:szCs w:val="19"/>
          <w:b w:val="1"/>
          <w:bCs w:val="1"/>
          <w:u w:val="single" w:color="auto"/>
          <w:color w:val="auto"/>
        </w:rPr>
        <w:t>Further Actions</w:t>
      </w:r>
      <w:r>
        <w:rPr>
          <w:rFonts w:ascii="Arial" w:cs="Arial" w:eastAsia="Arial" w:hAnsi="Arial"/>
          <w:sz w:val="19"/>
          <w:szCs w:val="19"/>
          <w:color w:val="auto"/>
        </w:rPr>
        <w:t>. Each Party agrees to execute, acknowledge and deliver such further instruments, and to do all such other acts, as may be necessary or appropriate in order to carry out the purposes and intent of this Agreement.</w:t>
      </w:r>
    </w:p>
    <w:p>
      <w:pPr>
        <w:spacing w:after="0" w:line="94"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 xml:space="preserve">13.15. </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two counterparts, each of which will be an original and both of which will constitute together the same document. Counterparts may be signed and delivered by digital transmission (</w:t>
      </w:r>
      <w:r>
        <w:rPr>
          <w:rFonts w:ascii="Arial" w:cs="Arial" w:eastAsia="Arial" w:hAnsi="Arial"/>
          <w:sz w:val="22"/>
          <w:szCs w:val="22"/>
          <w:i w:val="1"/>
          <w:iCs w:val="1"/>
          <w:color w:val="auto"/>
        </w:rPr>
        <w:t>e.g.</w:t>
      </w:r>
      <w:r>
        <w:rPr>
          <w:rFonts w:ascii="Arial" w:cs="Arial" w:eastAsia="Arial" w:hAnsi="Arial"/>
          <w:sz w:val="22"/>
          <w:szCs w:val="22"/>
          <w:color w:val="auto"/>
        </w:rPr>
        <w:t>,.pdf), each of which will be binding when received by the applicable Party.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8" w:name="page149"/>
    <w:bookmarkEnd w:id="148"/>
    <w:p>
      <w:pPr>
        <w:ind w:right="20" w:firstLine="864"/>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by their representatives thereunto</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authorized as of the Effective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100" w:type="dxa"/>
            <w:vAlign w:val="bottom"/>
            <w:gridSpan w:val="2"/>
          </w:tcPr>
          <w:p>
            <w:pPr>
              <w:ind w:left="100"/>
              <w:spacing w:after="0"/>
              <w:rPr>
                <w:sz w:val="20"/>
                <w:szCs w:val="20"/>
                <w:color w:val="auto"/>
              </w:rPr>
            </w:pPr>
            <w:r>
              <w:rPr>
                <w:rFonts w:ascii="Arial" w:cs="Arial" w:eastAsia="Arial" w:hAnsi="Arial"/>
                <w:sz w:val="22"/>
                <w:szCs w:val="22"/>
                <w:b w:val="1"/>
                <w:bCs w:val="1"/>
                <w:color w:val="auto"/>
              </w:rPr>
              <w:t>MYOKARDIA, INC.</w:t>
            </w:r>
          </w:p>
        </w:tc>
        <w:tc>
          <w:tcPr>
            <w:tcW w:w="5140" w:type="dxa"/>
            <w:vAlign w:val="bottom"/>
            <w:gridSpan w:val="2"/>
          </w:tcPr>
          <w:p>
            <w:pPr>
              <w:ind w:left="320"/>
              <w:spacing w:after="0"/>
              <w:rPr>
                <w:sz w:val="20"/>
                <w:szCs w:val="20"/>
                <w:color w:val="auto"/>
              </w:rPr>
            </w:pPr>
            <w:r>
              <w:rPr>
                <w:rFonts w:ascii="Arial" w:cs="Arial" w:eastAsia="Arial" w:hAnsi="Arial"/>
                <w:sz w:val="22"/>
                <w:szCs w:val="22"/>
                <w:b w:val="1"/>
                <w:bCs w:val="1"/>
                <w:color w:val="auto"/>
              </w:rPr>
              <w:t>FULCRUM THERAPEUTICS, INC.</w:t>
            </w:r>
          </w:p>
        </w:tc>
        <w:tc>
          <w:tcPr>
            <w:tcW w:w="20" w:type="dxa"/>
            <w:vAlign w:val="bottom"/>
          </w:tcPr>
          <w:p>
            <w:pPr>
              <w:spacing w:after="0"/>
              <w:rPr>
                <w:sz w:val="24"/>
                <w:szCs w:val="24"/>
                <w:color w:val="auto"/>
              </w:rPr>
            </w:pPr>
          </w:p>
        </w:tc>
      </w:tr>
      <w:tr>
        <w:trPr>
          <w:trHeight w:val="449"/>
        </w:trPr>
        <w:tc>
          <w:tcPr>
            <w:tcW w:w="740" w:type="dxa"/>
            <w:vAlign w:val="bottom"/>
          </w:tcPr>
          <w:p>
            <w:pPr>
              <w:ind w:left="100"/>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rPr>
              <w:t>By:</w:t>
            </w:r>
          </w:p>
        </w:tc>
        <w:tc>
          <w:tcPr>
            <w:tcW w:w="4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63"/>
        </w:trPr>
        <w:tc>
          <w:tcPr>
            <w:tcW w:w="6100" w:type="dxa"/>
            <w:vAlign w:val="bottom"/>
            <w:gridSpan w:val="2"/>
          </w:tcPr>
          <w:p>
            <w:pPr>
              <w:ind w:left="100"/>
              <w:spacing w:after="0"/>
              <w:rPr>
                <w:sz w:val="20"/>
                <w:szCs w:val="20"/>
                <w:color w:val="auto"/>
              </w:rPr>
            </w:pPr>
            <w:r>
              <w:rPr>
                <w:rFonts w:ascii="Arial" w:cs="Arial" w:eastAsia="Arial" w:hAnsi="Arial"/>
                <w:sz w:val="22"/>
                <w:szCs w:val="22"/>
                <w:color w:val="auto"/>
              </w:rPr>
              <w:t>Name:</w:t>
            </w:r>
          </w:p>
        </w:tc>
        <w:tc>
          <w:tcPr>
            <w:tcW w:w="5140" w:type="dxa"/>
            <w:vAlign w:val="bottom"/>
            <w:gridSpan w:val="2"/>
          </w:tcPr>
          <w:p>
            <w:pPr>
              <w:jc w:val="center"/>
              <w:ind w:right="4120"/>
              <w:spacing w:after="0"/>
              <w:rPr>
                <w:sz w:val="20"/>
                <w:szCs w:val="20"/>
                <w:color w:val="auto"/>
              </w:rPr>
            </w:pPr>
            <w:r>
              <w:rPr>
                <w:rFonts w:ascii="Arial" w:cs="Arial" w:eastAsia="Arial" w:hAnsi="Arial"/>
                <w:sz w:val="22"/>
                <w:szCs w:val="22"/>
                <w:color w:val="auto"/>
                <w:w w:val="89"/>
              </w:rPr>
              <w:t>Name:</w:t>
            </w:r>
          </w:p>
        </w:tc>
        <w:tc>
          <w:tcPr>
            <w:tcW w:w="20" w:type="dxa"/>
            <w:vAlign w:val="bottom"/>
          </w:tcPr>
          <w:p>
            <w:pPr>
              <w:spacing w:after="0"/>
              <w:rPr>
                <w:sz w:val="24"/>
                <w:szCs w:val="24"/>
                <w:color w:val="auto"/>
              </w:rPr>
            </w:pPr>
          </w:p>
        </w:tc>
      </w:tr>
      <w:tr>
        <w:trPr>
          <w:trHeight w:val="459"/>
        </w:trPr>
        <w:tc>
          <w:tcPr>
            <w:tcW w:w="6100" w:type="dxa"/>
            <w:vAlign w:val="bottom"/>
            <w:gridSpan w:val="2"/>
          </w:tcPr>
          <w:p>
            <w:pPr>
              <w:ind w:left="100"/>
              <w:spacing w:after="0"/>
              <w:rPr>
                <w:sz w:val="20"/>
                <w:szCs w:val="20"/>
                <w:color w:val="auto"/>
              </w:rPr>
            </w:pPr>
            <w:r>
              <w:rPr>
                <w:rFonts w:ascii="Arial" w:cs="Arial" w:eastAsia="Arial" w:hAnsi="Arial"/>
                <w:sz w:val="22"/>
                <w:szCs w:val="22"/>
                <w:color w:val="auto"/>
              </w:rPr>
              <w:t>Title:</w:t>
            </w:r>
          </w:p>
        </w:tc>
        <w:tc>
          <w:tcPr>
            <w:tcW w:w="5140" w:type="dxa"/>
            <w:vAlign w:val="bottom"/>
            <w:gridSpan w:val="2"/>
          </w:tcPr>
          <w:p>
            <w:pPr>
              <w:jc w:val="center"/>
              <w:ind w:right="4240"/>
              <w:spacing w:after="0"/>
              <w:rPr>
                <w:sz w:val="20"/>
                <w:szCs w:val="20"/>
                <w:color w:val="auto"/>
              </w:rPr>
            </w:pPr>
            <w:r>
              <w:rPr>
                <w:rFonts w:ascii="Arial" w:cs="Arial" w:eastAsia="Arial" w:hAnsi="Arial"/>
                <w:sz w:val="22"/>
                <w:szCs w:val="22"/>
                <w:color w:val="auto"/>
                <w:w w:val="96"/>
              </w:rPr>
              <w:t>Title:</w:t>
            </w:r>
          </w:p>
        </w:tc>
        <w:tc>
          <w:tcPr>
            <w:tcW w:w="20" w:type="dxa"/>
            <w:vAlign w:val="bottom"/>
          </w:tcPr>
          <w:p>
            <w:pPr>
              <w:spacing w:after="0"/>
              <w:rPr>
                <w:sz w:val="24"/>
                <w:szCs w:val="24"/>
                <w:color w:val="auto"/>
              </w:rPr>
            </w:pPr>
          </w:p>
        </w:tc>
      </w:tr>
      <w:tr>
        <w:trPr>
          <w:trHeight w:val="888"/>
        </w:trPr>
        <w:tc>
          <w:tcPr>
            <w:tcW w:w="7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22"/>
          <w:szCs w:val="22"/>
          <w:b w:val="1"/>
          <w:bCs w:val="1"/>
          <w:color w:val="auto"/>
        </w:rPr>
        <w:t>SCHEDULE 1.62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EXCLUDED TARGETS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435610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22"/>
          <w:szCs w:val="22"/>
          <w:b w:val="1"/>
          <w:bCs w:val="1"/>
          <w:color w:val="auto"/>
        </w:rPr>
        <w:t>SCHEDULE 3.1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RESEARCH PLAN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821690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b w:val="1"/>
          <w:bCs w:val="1"/>
          <w:color w:val="auto"/>
        </w:rPr>
        <w:t>SCHEDULE 11.5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PRESS RELEASE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Attached.</w:t>
      </w:r>
      <w:r>
        <w:rPr>
          <w:rFonts w:ascii="Arial" w:cs="Arial" w:eastAsia="Arial" w:hAnsi="Arial"/>
          <w:sz w:val="22"/>
          <w:szCs w:val="22"/>
          <w:b w:val="1"/>
          <w:bCs w:val="1"/>
          <w:color w:val="auto"/>
        </w:rPr>
        <w:t>]</w:t>
      </w:r>
    </w:p>
    <w:p>
      <w:pPr>
        <w:sectPr>
          <w:pgSz w:w="11900" w:h="16838" w:orient="portrait"/>
          <w:cols w:equalWidth="0" w:num="1">
            <w:col w:w="9019"/>
          </w:cols>
          <w:pgMar w:left="1440" w:top="355" w:right="1440" w:bottom="1440" w:gutter="0" w:footer="0" w:header="0"/>
        </w:sectPr>
      </w:pPr>
    </w:p>
    <w:bookmarkStart w:id="152" w:name="page153"/>
    <w:bookmarkEnd w:id="152"/>
    <w:p>
      <w:pPr>
        <w:ind w:left="10220"/>
        <w:spacing w:after="0"/>
        <w:rPr>
          <w:sz w:val="20"/>
          <w:szCs w:val="20"/>
          <w:color w:val="auto"/>
        </w:rPr>
      </w:pPr>
      <w:r>
        <w:rPr>
          <w:rFonts w:ascii="Arial" w:cs="Arial" w:eastAsia="Arial" w:hAnsi="Arial"/>
          <w:sz w:val="18"/>
          <w:szCs w:val="18"/>
          <w:b w:val="1"/>
          <w:bCs w:val="1"/>
          <w:color w:val="auto"/>
        </w:rPr>
        <w:t>Exhibit 10.2</w:t>
      </w:r>
    </w:p>
    <w:p>
      <w:pPr>
        <w:spacing w:after="0" w:line="27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Certain identified information has been excluded from the exhibit because it is both (i) not material and (ii) would likely cause competitive harm to the Company, if publicly disclosed. Double asterisks denote omissions.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THE RIGHT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REFERENCE AND LICENSE AGREEMENT</w:t>
      </w:r>
    </w:p>
    <w:p>
      <w:pPr>
        <w:spacing w:after="0" w:line="39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FIRST AMENDMENT TO THE RIGHT OF REFERENCE AND LICENSE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Amendment</w:t>
      </w:r>
      <w:r>
        <w:rPr>
          <w:rFonts w:ascii="Arial" w:cs="Arial" w:eastAsia="Arial" w:hAnsi="Arial"/>
          <w:sz w:val="21"/>
          <w:szCs w:val="21"/>
          <w:color w:val="auto"/>
        </w:rPr>
        <w:t>”) is made and entered into, effective as of September 23, 2020, by and between GlaxoSmithKline Intellectual Property (No. 2) Limited, a company organized under the laws of England and Wales and having a place of business at 980 Great West Road, Brentford, Middlesex TW8 9GS England (“</w:t>
      </w:r>
      <w:r>
        <w:rPr>
          <w:rFonts w:ascii="Arial" w:cs="Arial" w:eastAsia="Arial" w:hAnsi="Arial"/>
          <w:sz w:val="21"/>
          <w:szCs w:val="21"/>
          <w:b w:val="1"/>
          <w:bCs w:val="1"/>
          <w:color w:val="auto"/>
        </w:rPr>
        <w:t>GIP2</w:t>
      </w:r>
      <w:r>
        <w:rPr>
          <w:rFonts w:ascii="Arial" w:cs="Arial" w:eastAsia="Arial" w:hAnsi="Arial"/>
          <w:sz w:val="21"/>
          <w:szCs w:val="21"/>
          <w:color w:val="auto"/>
        </w:rPr>
        <w:t>”), GlaxoSmithKline LLC, a Delaware limited liability company having a place of business at 1250 S. Collegeville Road, Collegeville, PA 19426-0989 (“</w:t>
      </w:r>
      <w:r>
        <w:rPr>
          <w:rFonts w:ascii="Arial" w:cs="Arial" w:eastAsia="Arial" w:hAnsi="Arial"/>
          <w:sz w:val="21"/>
          <w:szCs w:val="21"/>
          <w:b w:val="1"/>
          <w:bCs w:val="1"/>
          <w:color w:val="auto"/>
        </w:rPr>
        <w:t>GSK LLC</w:t>
      </w:r>
      <w:r>
        <w:rPr>
          <w:rFonts w:ascii="Arial" w:cs="Arial" w:eastAsia="Arial" w:hAnsi="Arial"/>
          <w:sz w:val="21"/>
          <w:szCs w:val="21"/>
          <w:color w:val="auto"/>
        </w:rPr>
        <w:t>”) and Glaxo Group Limited, a company organized under the laws of England and Wales and having a place of business at 980 Great West Road, Brentford, Middlesex TW8 9GS England (“</w:t>
      </w:r>
      <w:r>
        <w:rPr>
          <w:rFonts w:ascii="Arial" w:cs="Arial" w:eastAsia="Arial" w:hAnsi="Arial"/>
          <w:sz w:val="21"/>
          <w:szCs w:val="21"/>
          <w:b w:val="1"/>
          <w:bCs w:val="1"/>
          <w:color w:val="auto"/>
        </w:rPr>
        <w:t>GGL”</w:t>
      </w:r>
      <w:r>
        <w:rPr>
          <w:rFonts w:ascii="Arial" w:cs="Arial" w:eastAsia="Arial" w:hAnsi="Arial"/>
          <w:sz w:val="21"/>
          <w:szCs w:val="21"/>
          <w:color w:val="auto"/>
        </w:rPr>
        <w:t>; together with GIP2 and GSK LLC”, collectively referred to herein as “</w:t>
      </w:r>
      <w:r>
        <w:rPr>
          <w:rFonts w:ascii="Arial" w:cs="Arial" w:eastAsia="Arial" w:hAnsi="Arial"/>
          <w:sz w:val="21"/>
          <w:szCs w:val="21"/>
          <w:b w:val="1"/>
          <w:bCs w:val="1"/>
          <w:color w:val="auto"/>
        </w:rPr>
        <w:t>GSK</w:t>
      </w:r>
      <w:r>
        <w:rPr>
          <w:rFonts w:ascii="Arial" w:cs="Arial" w:eastAsia="Arial" w:hAnsi="Arial"/>
          <w:sz w:val="21"/>
          <w:szCs w:val="21"/>
          <w:color w:val="auto"/>
        </w:rPr>
        <w:t>”) and Fulcrum Therapeutics, Inc., a Delaware corporation having a place of business at 26 Landsdowne Street, Cambridge, MA 02139 (“</w:t>
      </w:r>
      <w:r>
        <w:rPr>
          <w:rFonts w:ascii="Arial" w:cs="Arial" w:eastAsia="Arial" w:hAnsi="Arial"/>
          <w:sz w:val="21"/>
          <w:szCs w:val="21"/>
          <w:b w:val="1"/>
          <w:bCs w:val="1"/>
          <w:color w:val="auto"/>
        </w:rPr>
        <w:t>Fulcrum</w:t>
      </w:r>
      <w:r>
        <w:rPr>
          <w:rFonts w:ascii="Arial" w:cs="Arial" w:eastAsia="Arial" w:hAnsi="Arial"/>
          <w:sz w:val="21"/>
          <w:szCs w:val="21"/>
          <w:color w:val="auto"/>
        </w:rPr>
        <w:t>”). GSK and Fulcrum are herein collectively referred to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ACKGROUND</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entered into a Right of Reference and License Agreement dated as of February 8, 2019 (the “</w:t>
      </w:r>
      <w:r>
        <w:rPr>
          <w:rFonts w:ascii="Arial" w:cs="Arial" w:eastAsia="Arial" w:hAnsi="Arial"/>
          <w:sz w:val="22"/>
          <w:szCs w:val="22"/>
          <w:b w:val="1"/>
          <w:bCs w:val="1"/>
          <w:color w:val="auto"/>
        </w:rPr>
        <w:t>Original Agreement</w:t>
      </w:r>
      <w:r>
        <w:rPr>
          <w:rFonts w:ascii="Arial" w:cs="Arial" w:eastAsia="Arial" w:hAnsi="Arial"/>
          <w:sz w:val="22"/>
          <w:szCs w:val="22"/>
          <w:color w:val="auto"/>
        </w:rPr>
        <w:t>”) pursuant to which Fulcrum obtained from GSK a right of reference to the Losmapimod IND and an exclusive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under the GSK Intellectual Property to exploit losmapimod and pharmaceutical products containing losmapimod and agreed to, among other things, pay GSK development and regulatory milestones as provided in Section 3.2 of the Original Agreement;</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 2020 Fulcrum informed GSK that it intended to [**], and under the terms of the Original Agreement, [**]</w:t>
      </w:r>
      <w:r>
        <w:rPr>
          <w:rFonts w:ascii="Arial" w:cs="Arial" w:eastAsia="Arial" w:hAnsi="Arial"/>
          <w:sz w:val="22"/>
          <w:szCs w:val="22"/>
          <w:b w:val="1"/>
          <w:bCs w:val="1"/>
          <w:color w:val="auto"/>
        </w:rPr>
        <w:t xml:space="preserve"> </w:t>
      </w:r>
      <w:r>
        <w:rPr>
          <w:rFonts w:ascii="Arial" w:cs="Arial" w:eastAsia="Arial" w:hAnsi="Arial"/>
          <w:sz w:val="22"/>
          <w:szCs w:val="22"/>
          <w:color w:val="auto"/>
        </w:rPr>
        <w:t>would trigger the milestone set forth in Section 3.2(b) pertaining to the [**] (the “</w:t>
      </w:r>
      <w:r>
        <w:rPr>
          <w:rFonts w:ascii="Arial" w:cs="Arial" w:eastAsia="Arial" w:hAnsi="Arial"/>
          <w:sz w:val="22"/>
          <w:szCs w:val="22"/>
          <w:b w:val="1"/>
          <w:bCs w:val="1"/>
          <w:color w:val="auto"/>
        </w:rPr>
        <w:t>[**] Milestone</w:t>
      </w:r>
      <w:r>
        <w:rPr>
          <w:rFonts w:ascii="Arial" w:cs="Arial" w:eastAsia="Arial" w:hAnsi="Arial"/>
          <w:sz w:val="22"/>
          <w:szCs w:val="22"/>
          <w:color w:val="auto"/>
        </w:rPr>
        <w: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Fulcrum and GSK have agreed to amend the Original Agreement to provide that the [**] Milestone will not be paid</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 but will be paid upon the occurrence of other events as provided in this Amendment.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good and valuable consideration, the receipt and sufficiency of which is hereby acknowledged, GSK</w:t>
      </w:r>
      <w:r>
        <w:rPr>
          <w:rFonts w:ascii="Arial" w:cs="Arial" w:eastAsia="Arial" w:hAnsi="Arial"/>
          <w:sz w:val="22"/>
          <w:szCs w:val="22"/>
          <w:b w:val="1"/>
          <w:bCs w:val="1"/>
          <w:color w:val="auto"/>
        </w:rPr>
        <w:t xml:space="preserve"> </w:t>
      </w:r>
      <w:r>
        <w:rPr>
          <w:rFonts w:ascii="Arial" w:cs="Arial" w:eastAsia="Arial" w:hAnsi="Arial"/>
          <w:sz w:val="22"/>
          <w:szCs w:val="22"/>
          <w:color w:val="auto"/>
        </w:rPr>
        <w:t>and Fulcrum agree as follows:</w:t>
      </w:r>
    </w:p>
    <w:p>
      <w:pPr>
        <w:spacing w:after="0" w:line="168" w:lineRule="exact"/>
        <w:rPr>
          <w:sz w:val="20"/>
          <w:szCs w:val="20"/>
          <w:color w:val="auto"/>
        </w:rPr>
      </w:pPr>
    </w:p>
    <w:p>
      <w:pPr>
        <w:ind w:left="460" w:hanging="452"/>
        <w:spacing w:after="0" w:line="250" w:lineRule="auto"/>
        <w:tabs>
          <w:tab w:leader="none" w:pos="46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Definitions in Amendment</w:t>
      </w:r>
      <w:r>
        <w:rPr>
          <w:rFonts w:ascii="Arial" w:cs="Arial" w:eastAsia="Arial" w:hAnsi="Arial"/>
          <w:sz w:val="22"/>
          <w:szCs w:val="22"/>
          <w:color w:val="auto"/>
        </w:rPr>
        <w:t>. In this Amendment, capitalized terms not otherwise defined herein shall have the meaning given to them in the Original Agreement or in Section 2 of this Amendment.</w:t>
      </w:r>
    </w:p>
    <w:p>
      <w:pPr>
        <w:spacing w:after="0" w:line="174" w:lineRule="exact"/>
        <w:rPr>
          <w:rFonts w:ascii="Arial" w:cs="Arial" w:eastAsia="Arial" w:hAnsi="Arial"/>
          <w:sz w:val="22"/>
          <w:szCs w:val="22"/>
          <w:color w:val="auto"/>
        </w:rPr>
      </w:pPr>
    </w:p>
    <w:p>
      <w:pPr>
        <w:ind w:left="460" w:hanging="452"/>
        <w:spacing w:after="0" w:line="250" w:lineRule="auto"/>
        <w:tabs>
          <w:tab w:leader="none" w:pos="46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Revised Defined Term</w:t>
      </w:r>
      <w:r>
        <w:rPr>
          <w:rFonts w:ascii="Arial" w:cs="Arial" w:eastAsia="Arial" w:hAnsi="Arial"/>
          <w:sz w:val="22"/>
          <w:szCs w:val="22"/>
          <w:color w:val="auto"/>
        </w:rPr>
        <w:t>. The preamble of the Original Agreement is hereby amended by deleting the language “(this “Agreement”)” from the first and second lines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ind w:left="452" w:right="20"/>
        <w:spacing w:after="0" w:line="250" w:lineRule="auto"/>
        <w:rPr>
          <w:sz w:val="20"/>
          <w:szCs w:val="20"/>
          <w:color w:val="auto"/>
        </w:rPr>
      </w:pPr>
      <w:r>
        <w:rPr>
          <w:rFonts w:ascii="Arial" w:cs="Arial" w:eastAsia="Arial" w:hAnsi="Arial"/>
          <w:sz w:val="22"/>
          <w:szCs w:val="22"/>
          <w:color w:val="auto"/>
        </w:rPr>
        <w:t>and Section 1.1 of the Original Agreement is hereby amended by adding the following definition after the definition of “Affiliate”:</w:t>
      </w:r>
    </w:p>
    <w:p>
      <w:pPr>
        <w:spacing w:after="0" w:line="175" w:lineRule="exact"/>
        <w:rPr>
          <w:sz w:val="20"/>
          <w:szCs w:val="20"/>
          <w:color w:val="auto"/>
        </w:rPr>
      </w:pPr>
    </w:p>
    <w:p>
      <w:pPr>
        <w:ind w:left="93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the Right of Reference and License Agreement, dated as of February 8, 2019, made and entered into by and between GSK and Fulcrum, as amended from time to time.”</w:t>
      </w:r>
    </w:p>
    <w:p>
      <w:pPr>
        <w:spacing w:after="0" w:line="175" w:lineRule="exact"/>
        <w:rPr>
          <w:sz w:val="20"/>
          <w:szCs w:val="20"/>
          <w:color w:val="auto"/>
        </w:rPr>
      </w:pPr>
    </w:p>
    <w:p>
      <w:pPr>
        <w:ind w:left="452" w:hanging="452"/>
        <w:spacing w:after="0" w:line="250" w:lineRule="auto"/>
        <w:tabs>
          <w:tab w:leader="none" w:pos="452"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Revised [**] Milestone.</w:t>
      </w:r>
      <w:r>
        <w:rPr>
          <w:rFonts w:ascii="Arial" w:cs="Arial" w:eastAsia="Arial" w:hAnsi="Arial"/>
          <w:sz w:val="22"/>
          <w:szCs w:val="22"/>
          <w:color w:val="auto"/>
        </w:rPr>
        <w:t xml:space="preserve"> Section 3.2(b) of the Original Agreement is hereby amended by deleting the phrase “[**]” in the box under the column labelled “Milestone Event” in that Section and replacing it with the following:</w:t>
      </w:r>
    </w:p>
    <w:p>
      <w:pPr>
        <w:spacing w:after="0" w:line="174" w:lineRule="exact"/>
        <w:rPr>
          <w:rFonts w:ascii="Arial" w:cs="Arial" w:eastAsia="Arial" w:hAnsi="Arial"/>
          <w:sz w:val="22"/>
          <w:szCs w:val="22"/>
          <w:color w:val="auto"/>
        </w:rPr>
      </w:pPr>
    </w:p>
    <w:p>
      <w:pPr>
        <w:ind w:left="472"/>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52" w:right="20" w:hanging="452"/>
        <w:spacing w:after="0" w:line="250" w:lineRule="auto"/>
        <w:tabs>
          <w:tab w:leader="none" w:pos="452" w:val="left"/>
        </w:tabs>
        <w:numPr>
          <w:ilvl w:val="0"/>
          <w:numId w:val="82"/>
        </w:numPr>
        <w:rPr>
          <w:rFonts w:ascii="Arial" w:cs="Arial" w:eastAsia="Arial" w:hAnsi="Arial"/>
          <w:sz w:val="22"/>
          <w:szCs w:val="22"/>
          <w:color w:val="auto"/>
        </w:rPr>
      </w:pPr>
      <w:r>
        <w:rPr>
          <w:rFonts w:ascii="Arial" w:cs="Arial" w:eastAsia="Arial" w:hAnsi="Arial"/>
          <w:sz w:val="22"/>
          <w:szCs w:val="22"/>
          <w:color w:val="auto"/>
        </w:rPr>
        <w:t>Except for the changes expressly mentioned in this Amendment, all other terms and conditions of the Agreement shall remain unchanged and continue to be in full force and effect.</w:t>
      </w:r>
    </w:p>
    <w:p>
      <w:pPr>
        <w:spacing w:after="0" w:line="174" w:lineRule="exact"/>
        <w:rPr>
          <w:rFonts w:ascii="Arial" w:cs="Arial" w:eastAsia="Arial" w:hAnsi="Arial"/>
          <w:sz w:val="22"/>
          <w:szCs w:val="22"/>
          <w:color w:val="auto"/>
        </w:rPr>
      </w:pPr>
    </w:p>
    <w:p>
      <w:pPr>
        <w:ind w:left="452" w:hanging="452"/>
        <w:spacing w:after="0" w:line="328" w:lineRule="auto"/>
        <w:tabs>
          <w:tab w:leader="none" w:pos="452"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This Amendment may be executed in any number of counterparts, each of which shall be an original as against the Party whose signature appears thereon, but all of which taken together shall constitute one and the same instrument.</w:t>
      </w:r>
    </w:p>
    <w:p>
      <w:pPr>
        <w:spacing w:after="0" w:line="104" w:lineRule="exact"/>
        <w:rPr>
          <w:rFonts w:ascii="Arial" w:cs="Arial" w:eastAsia="Arial" w:hAnsi="Arial"/>
          <w:sz w:val="19"/>
          <w:szCs w:val="19"/>
          <w:color w:val="auto"/>
        </w:rPr>
      </w:pPr>
    </w:p>
    <w:p>
      <w:pPr>
        <w:ind w:left="452" w:hanging="452"/>
        <w:spacing w:after="0" w:line="250" w:lineRule="auto"/>
        <w:tabs>
          <w:tab w:leader="none" w:pos="452"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provisions of Section 10.4 of the Original Agreement (Controlling Law and Dispute Resolution) shall apply equally to this Amendment.</w:t>
      </w:r>
    </w:p>
    <w:p>
      <w:pPr>
        <w:spacing w:after="0" w:line="175"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i w:val="1"/>
          <w:iCs w:val="1"/>
          <w:color w:val="auto"/>
        </w:rPr>
        <w:t>[Signature page follows – the rest of this page intentionally left blank]</w:t>
      </w: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348" w:right="339" w:bottom="1440" w:gutter="0" w:footer="0" w:header="0"/>
        </w:sectPr>
      </w:pPr>
    </w:p>
    <w:bookmarkStart w:id="154" w:name="page155"/>
    <w:bookmarkEnd w:id="154"/>
    <w:p>
      <w:pPr>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have caused this Agreement to be duly executed, as of the date first above written.</w:t>
      </w:r>
    </w:p>
    <w:p>
      <w:pPr>
        <w:spacing w:after="0" w:line="353"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GLAXOSMITHKLINE INTELLECTUAL PROPERTY (NO. 2)</w:t>
      </w:r>
    </w:p>
    <w:p>
      <w:pPr>
        <w:spacing w:after="0" w:line="14"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LIMITED</w:t>
      </w:r>
    </w:p>
    <w:p>
      <w:pPr>
        <w:spacing w:after="0" w:line="215" w:lineRule="exact"/>
        <w:rPr>
          <w:sz w:val="20"/>
          <w:szCs w:val="20"/>
          <w:color w:val="auto"/>
        </w:rPr>
      </w:pPr>
    </w:p>
    <w:p>
      <w:pPr>
        <w:ind w:left="5160"/>
        <w:spacing w:after="0"/>
        <w:tabs>
          <w:tab w:leader="none" w:pos="6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Adam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6985</wp:posOffset>
            </wp:positionV>
            <wp:extent cx="32829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ind w:left="5160"/>
        <w:spacing w:after="0"/>
        <w:tabs>
          <w:tab w:leader="none" w:pos="6040" w:val="left"/>
        </w:tabs>
        <w:rPr>
          <w:sz w:val="20"/>
          <w:szCs w:val="20"/>
          <w:color w:val="auto"/>
        </w:rPr>
      </w:pPr>
      <w:r>
        <w:rPr>
          <w:rFonts w:ascii="Arial" w:cs="Arial" w:eastAsia="Arial" w:hAnsi="Arial"/>
          <w:sz w:val="22"/>
          <w:szCs w:val="22"/>
          <w:color w:val="auto"/>
        </w:rPr>
        <w:t>Name:</w:t>
        <w:tab/>
        <w:t>Adam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6985</wp:posOffset>
            </wp:positionV>
            <wp:extent cx="32829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ind w:left="5160"/>
        <w:spacing w:after="0"/>
        <w:tabs>
          <w:tab w:leader="none" w:pos="60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6985</wp:posOffset>
            </wp:positionV>
            <wp:extent cx="32829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GLAXOSMITHKLINE LLC</w:t>
      </w:r>
    </w:p>
    <w:p>
      <w:pPr>
        <w:spacing w:after="0" w:line="239" w:lineRule="exact"/>
        <w:rPr>
          <w:sz w:val="20"/>
          <w:szCs w:val="20"/>
          <w:color w:val="auto"/>
        </w:rPr>
      </w:pPr>
    </w:p>
    <w:tbl>
      <w:tblPr>
        <w:tblLayout w:type="fixed"/>
        <w:tblInd w:w="516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Hatixhe Hoxha</w:t>
            </w:r>
          </w:p>
        </w:tc>
      </w:tr>
      <w:tr>
        <w:trPr>
          <w:trHeight w:val="45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Hatixhe Hoxha</w:t>
            </w:r>
          </w:p>
        </w:tc>
      </w:tr>
      <w:tr>
        <w:trPr>
          <w:trHeight w:val="453"/>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Assistant Secretary</w:t>
            </w:r>
          </w:p>
        </w:tc>
      </w:tr>
    </w:tbl>
    <w:p>
      <w:pPr>
        <w:spacing w:after="0" w:line="216"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GLAXO GROUP LIMITED</w:t>
      </w:r>
    </w:p>
    <w:p>
      <w:pPr>
        <w:spacing w:after="0" w:line="239" w:lineRule="exact"/>
        <w:rPr>
          <w:sz w:val="20"/>
          <w:szCs w:val="20"/>
          <w:color w:val="auto"/>
        </w:rPr>
      </w:pPr>
    </w:p>
    <w:p>
      <w:pPr>
        <w:ind w:left="5160"/>
        <w:spacing w:after="0"/>
        <w:tabs>
          <w:tab w:leader="none" w:pos="6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Adam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6985</wp:posOffset>
            </wp:positionV>
            <wp:extent cx="32829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ind w:left="5160"/>
        <w:spacing w:after="0"/>
        <w:tabs>
          <w:tab w:leader="none" w:pos="6040" w:val="left"/>
        </w:tabs>
        <w:rPr>
          <w:sz w:val="20"/>
          <w:szCs w:val="20"/>
          <w:color w:val="auto"/>
        </w:rPr>
      </w:pPr>
      <w:r>
        <w:rPr>
          <w:rFonts w:ascii="Arial" w:cs="Arial" w:eastAsia="Arial" w:hAnsi="Arial"/>
          <w:sz w:val="22"/>
          <w:szCs w:val="22"/>
          <w:color w:val="auto"/>
        </w:rPr>
        <w:t>Name:</w:t>
        <w:tab/>
        <w:t>Adam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6985</wp:posOffset>
            </wp:positionV>
            <wp:extent cx="32829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ind w:left="5160"/>
        <w:spacing w:after="0"/>
        <w:tabs>
          <w:tab w:leader="none" w:pos="60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6985</wp:posOffset>
            </wp:positionV>
            <wp:extent cx="32829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FULCRUM THERAPEUTICS, INC.</w:t>
      </w:r>
    </w:p>
    <w:p>
      <w:pPr>
        <w:spacing w:after="0" w:line="239" w:lineRule="exact"/>
        <w:rPr>
          <w:sz w:val="20"/>
          <w:szCs w:val="20"/>
          <w:color w:val="auto"/>
        </w:rPr>
      </w:pPr>
    </w:p>
    <w:tbl>
      <w:tblPr>
        <w:tblLayout w:type="fixed"/>
        <w:tblInd w:w="516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J. Gould</w:t>
            </w:r>
          </w:p>
        </w:tc>
      </w:tr>
      <w:tr>
        <w:trPr>
          <w:trHeight w:val="45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Robert J. Gould</w:t>
            </w:r>
          </w:p>
        </w:tc>
      </w:tr>
      <w:tr>
        <w:trPr>
          <w:trHeight w:val="453"/>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President &amp; CEO</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Right of Reference and License Agreement</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342"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Robert J. Gould, certify that:</w:t>
      </w:r>
    </w:p>
    <w:p>
      <w:pPr>
        <w:spacing w:after="0" w:line="117" w:lineRule="exact"/>
        <w:rPr>
          <w:sz w:val="20"/>
          <w:szCs w:val="20"/>
          <w:color w:val="auto"/>
        </w:rPr>
      </w:pPr>
    </w:p>
    <w:p>
      <w:pPr>
        <w:ind w:left="800" w:hanging="182"/>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60" w:firstLine="618"/>
        <w:spacing w:after="0" w:line="277" w:lineRule="auto"/>
        <w:tabs>
          <w:tab w:leader="none" w:pos="7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40" w:hanging="245"/>
        <w:spacing w:after="0"/>
        <w:tabs>
          <w:tab w:leader="none" w:pos="14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November 10, 2020</w:t>
            </w:r>
          </w:p>
        </w:tc>
        <w:tc>
          <w:tcPr>
            <w:tcW w:w="6920" w:type="dxa"/>
            <w:vAlign w:val="bottom"/>
            <w:gridSpan w:val="2"/>
          </w:tcPr>
          <w:p>
            <w:pPr>
              <w:ind w:left="2440"/>
              <w:spacing w:after="0"/>
              <w:rPr>
                <w:sz w:val="20"/>
                <w:szCs w:val="20"/>
                <w:color w:val="auto"/>
              </w:rPr>
            </w:pPr>
            <w:r>
              <w:rPr>
                <w:rFonts w:ascii="Arial" w:cs="Arial" w:eastAsia="Arial" w:hAnsi="Arial"/>
                <w:sz w:val="18"/>
                <w:szCs w:val="18"/>
                <w:color w:val="auto"/>
              </w:rPr>
              <w:t>By: /s/ Robert J. Gould</w:t>
            </w:r>
          </w:p>
        </w:tc>
      </w:tr>
      <w:tr>
        <w:trPr>
          <w:trHeight w:val="195"/>
        </w:trPr>
        <w:tc>
          <w:tcPr>
            <w:tcW w:w="43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J. Gould, Ph.D.</w:t>
            </w:r>
          </w:p>
        </w:tc>
      </w:tr>
      <w:tr>
        <w:trPr>
          <w:trHeight w:val="216"/>
        </w:trPr>
        <w:tc>
          <w:tcPr>
            <w:tcW w:w="4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Bryan Stuart, certify that:</w:t>
      </w:r>
    </w:p>
    <w:p>
      <w:pPr>
        <w:spacing w:after="0" w:line="117" w:lineRule="exact"/>
        <w:rPr>
          <w:sz w:val="20"/>
          <w:szCs w:val="20"/>
          <w:color w:val="auto"/>
        </w:rPr>
      </w:pPr>
    </w:p>
    <w:p>
      <w:pPr>
        <w:ind w:left="800" w:hanging="182"/>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60" w:firstLine="618"/>
        <w:spacing w:after="0" w:line="277" w:lineRule="auto"/>
        <w:tabs>
          <w:tab w:leader="none" w:pos="7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40" w:hanging="245"/>
        <w:spacing w:after="0"/>
        <w:tabs>
          <w:tab w:leader="none" w:pos="14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November 10, 2020</w:t>
            </w:r>
          </w:p>
        </w:tc>
        <w:tc>
          <w:tcPr>
            <w:tcW w:w="6920" w:type="dxa"/>
            <w:vAlign w:val="bottom"/>
            <w:gridSpan w:val="2"/>
          </w:tcPr>
          <w:p>
            <w:pPr>
              <w:ind w:left="2440"/>
              <w:spacing w:after="0"/>
              <w:rPr>
                <w:sz w:val="20"/>
                <w:szCs w:val="20"/>
                <w:color w:val="auto"/>
              </w:rPr>
            </w:pPr>
            <w:r>
              <w:rPr>
                <w:rFonts w:ascii="Arial" w:cs="Arial" w:eastAsia="Arial" w:hAnsi="Arial"/>
                <w:sz w:val="18"/>
                <w:szCs w:val="18"/>
                <w:color w:val="auto"/>
              </w:rPr>
              <w:t>By: /s/ Bryan Stuart</w:t>
            </w:r>
          </w:p>
        </w:tc>
      </w:tr>
      <w:tr>
        <w:trPr>
          <w:trHeight w:val="195"/>
        </w:trPr>
        <w:tc>
          <w:tcPr>
            <w:tcW w:w="43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Bryan Stuart</w:t>
            </w:r>
          </w:p>
        </w:tc>
      </w:tr>
      <w:tr>
        <w:trPr>
          <w:trHeight w:val="216"/>
        </w:trPr>
        <w:tc>
          <w:tcPr>
            <w:tcW w:w="4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30"/>
        </w:trPr>
        <w:tc>
          <w:tcPr>
            <w:tcW w:w="4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September 30, 2020, as filed with the Securities and Exchange Commission on the date hereof (the “Report”), the undersigned, Robert J. Gould,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J. Gould,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September 30, 2020, as filed with the Securities and Exchange Commission on the date hereof (the “Report”), the undersigned, Bryan Stuart, Chief Operating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Operating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lowerLetter"/>
      <w:start w:val="1"/>
    </w:lvl>
  </w:abstractNum>
  <w:abstractNum w:abstractNumId="50">
    <w:nsid w:val="100F8FCA"/>
    <w:multiLevelType w:val="hybridMultilevel"/>
    <w:lvl w:ilvl="0">
      <w:lvlJc w:val="left"/>
      <w:lvlText w:val="(%1)"/>
      <w:numFmt w:val="lowerLetter"/>
      <w:start w:val="2"/>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1)"/>
      <w:numFmt w:val="lowerLetter"/>
      <w:start w:val="5"/>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lowerLetter"/>
      <w:start w:val="2"/>
    </w:lvl>
  </w:abstractNum>
  <w:abstractNum w:abstractNumId="57">
    <w:nsid w:val="42C296BD"/>
    <w:multiLevelType w:val="hybridMultilevel"/>
    <w:lvl w:ilvl="0">
      <w:lvlJc w:val="left"/>
      <w:lvlText w:val="(%1)"/>
      <w:numFmt w:val="lowerLetter"/>
      <w:start w:val="2"/>
    </w:lvl>
  </w:abstractNum>
  <w:abstractNum w:abstractNumId="58">
    <w:nsid w:val="168E121F"/>
    <w:multiLevelType w:val="hybridMultilevel"/>
    <w:lvl w:ilvl="0">
      <w:lvlJc w:val="left"/>
      <w:lvlText w:val="(%1)"/>
      <w:numFmt w:val="lowerLetter"/>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1)"/>
      <w:numFmt w:val="lowerLetter"/>
      <w:start w:val="1"/>
    </w:lvl>
  </w:abstractNum>
  <w:abstractNum w:abstractNumId="61">
    <w:nsid w:val="5DC79EA8"/>
    <w:multiLevelType w:val="hybridMultilevel"/>
    <w:lvl w:ilvl="0">
      <w:lvlJc w:val="left"/>
      <w:lvlText w:val="(%1)"/>
      <w:numFmt w:val="lowerLetter"/>
      <w:start w:val="2"/>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2"/>
    </w:lvl>
    <w:lvl w:ilvl="1">
      <w:lvlJc w:val="left"/>
      <w:lvlText w:val="(%2)"/>
      <w:numFmt w:val="lowerRoman"/>
      <w:start w:val="1"/>
    </w:lvl>
  </w:abstractNum>
  <w:abstractNum w:abstractNumId="64">
    <w:nsid w:val="51D9C564"/>
    <w:multiLevelType w:val="hybridMultilevel"/>
    <w:lvl w:ilvl="0">
      <w:lvlJc w:val="left"/>
      <w:lvlText w:val="(%1)"/>
      <w:numFmt w:val="lowerLetter"/>
      <w:start w:val="1"/>
    </w:lvl>
  </w:abstractNum>
  <w:abstractNum w:abstractNumId="65">
    <w:nsid w:val="613EFDC5"/>
    <w:multiLevelType w:val="hybridMultilevel"/>
    <w:lvl w:ilvl="0">
      <w:lvlJc w:val="left"/>
      <w:lvlText w:val="(%1)"/>
      <w:numFmt w:val="lowerLetter"/>
      <w:start w:val="3"/>
    </w:lvl>
  </w:abstractNum>
  <w:abstractNum w:abstractNumId="66">
    <w:nsid w:val="BF72B14"/>
    <w:multiLevelType w:val="hybridMultilevel"/>
    <w:lvl w:ilvl="0">
      <w:lvlJc w:val="left"/>
      <w:lvlText w:val="(%1)"/>
      <w:numFmt w:val="lowerLetter"/>
      <w:start w:val="2"/>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lowerLetter"/>
      <w:start w:val="4"/>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lowerLetter"/>
      <w:start w:val="1"/>
    </w:lvl>
  </w:abstractNum>
  <w:abstractNum w:abstractNumId="73">
    <w:nsid w:val="68EB2F63"/>
    <w:multiLevelType w:val="hybridMultilevel"/>
    <w:lvl w:ilvl="0">
      <w:lvlJc w:val="left"/>
      <w:lvlText w:val="(%1)"/>
      <w:numFmt w:val="lowerLetter"/>
      <w:start w:val="2"/>
    </w:lvl>
  </w:abstractNum>
  <w:abstractNum w:abstractNumId="74">
    <w:nsid w:val="4962813B"/>
    <w:multiLevelType w:val="hybridMultilevel"/>
    <w:lvl w:ilvl="0">
      <w:lvlJc w:val="left"/>
      <w:lvlText w:val="%1"/>
      <w:numFmt w:val="lowerLetter"/>
      <w:start w:val="1"/>
    </w:lvl>
    <w:lvl w:ilvl="1">
      <w:lvlJc w:val="left"/>
      <w:lvlText w:val="(%2)"/>
      <w:numFmt w:val="lowerLetter"/>
      <w:start w:val="1"/>
    </w:lvl>
  </w:abstractNum>
  <w:abstractNum w:abstractNumId="75">
    <w:nsid w:val="60B6DF70"/>
    <w:multiLevelType w:val="hybridMultilevel"/>
    <w:lvl w:ilvl="0">
      <w:lvlJc w:val="left"/>
      <w:lvlText w:val="(%1)"/>
      <w:numFmt w:val="lowerLetter"/>
      <w:start w:val="9"/>
    </w:lvl>
    <w:lvl w:ilvl="1">
      <w:lvlJc w:val="left"/>
      <w:lvlText w:val="(%2)"/>
      <w:numFmt w:val="lowerLetter"/>
      <w:start w:val="3"/>
    </w:lvl>
  </w:abstractNum>
  <w:abstractNum w:abstractNumId="76">
    <w:nsid w:val="6A5EE64"/>
    <w:multiLevelType w:val="hybridMultilevel"/>
    <w:lvl w:ilvl="0">
      <w:lvlJc w:val="left"/>
      <w:lvlText w:val="(%1)"/>
      <w:numFmt w:val="lowerLetter"/>
      <w:start w:val="1"/>
    </w:lvl>
  </w:abstractNum>
  <w:abstractNum w:abstractNumId="77">
    <w:nsid w:val="14330624"/>
    <w:multiLevelType w:val="hybridMultilevel"/>
    <w:lvl w:ilvl="0">
      <w:lvlJc w:val="left"/>
      <w:lvlText w:val="(%1)"/>
      <w:numFmt w:val="lowerLetter"/>
      <w:start w:val="5"/>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1."/>
      <w:numFmt w:val="decimal"/>
      <w:start w:val="1"/>
    </w:lvl>
  </w:abstractNum>
  <w:abstractNum w:abstractNumId="81">
    <w:nsid w:val="100F59DC"/>
    <w:multiLevelType w:val="hybridMultilevel"/>
    <w:lvl w:ilvl="0">
      <w:lvlJc w:val="left"/>
      <w:lvlText w:val="%1."/>
      <w:numFmt w:val="decimal"/>
      <w:start w:val="3"/>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2020-11-10T06:24:46Z</dcterms:created>
  <dcterms:modified xsi:type="dcterms:W3CDTF">2020-11-10T06:24:46Z</dcterms:modified>
</cp:coreProperties>
</file>