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88"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Date of report (Date of earliest event reported): July 22,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Fulcrum Therapeutics, Inc.</w:t>
      </w:r>
    </w:p>
    <w:p>
      <w:pPr>
        <w:spacing w:after="0" w:line="5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tbl>
      <w:tblPr>
        <w:tblLayout w:type="fixed"/>
        <w:tblInd w:w="3480" w:type="dxa"/>
        <w:tblCellMar>
          <w:top w:w="0" w:type="dxa"/>
          <w:left w:w="0" w:type="dxa"/>
          <w:bottom w:w="0" w:type="dxa"/>
          <w:right w:w="0" w:type="dxa"/>
        </w:tblCellMar>
      </w:tblPr>
      <w:tr>
        <w:trPr>
          <w:trHeight w:val="218"/>
        </w:trPr>
        <w:tc>
          <w:tcPr>
            <w:tcW w:w="1360" w:type="dxa"/>
            <w:vAlign w:val="bottom"/>
          </w:tcPr>
          <w:p>
            <w:pPr>
              <w:jc w:val="center"/>
              <w:ind w:right="386"/>
              <w:spacing w:after="0"/>
              <w:rPr>
                <w:sz w:val="20"/>
                <w:szCs w:val="20"/>
                <w:color w:val="auto"/>
              </w:rPr>
            </w:pPr>
            <w:r>
              <w:rPr>
                <w:rFonts w:ascii="Arial" w:cs="Arial" w:eastAsia="Arial" w:hAnsi="Arial"/>
                <w:sz w:val="18"/>
                <w:szCs w:val="18"/>
                <w:b w:val="1"/>
                <w:bCs w:val="1"/>
                <w:color w:val="auto"/>
                <w:w w:val="88"/>
              </w:rPr>
              <w:t>Delaware</w:t>
            </w:r>
          </w:p>
        </w:tc>
        <w:tc>
          <w:tcPr>
            <w:tcW w:w="1700" w:type="dxa"/>
            <w:vAlign w:val="bottom"/>
          </w:tcPr>
          <w:p>
            <w:pPr>
              <w:ind w:left="480"/>
              <w:spacing w:after="0"/>
              <w:rPr>
                <w:sz w:val="20"/>
                <w:szCs w:val="20"/>
                <w:color w:val="auto"/>
              </w:rPr>
            </w:pPr>
            <w:r>
              <w:rPr>
                <w:rFonts w:ascii="Arial" w:cs="Arial" w:eastAsia="Arial" w:hAnsi="Arial"/>
                <w:sz w:val="18"/>
                <w:szCs w:val="18"/>
                <w:b w:val="1"/>
                <w:bCs w:val="1"/>
                <w:color w:val="auto"/>
              </w:rPr>
              <w:t>001-38978</w:t>
            </w:r>
          </w:p>
        </w:tc>
        <w:tc>
          <w:tcPr>
            <w:tcW w:w="1500" w:type="dxa"/>
            <w:vAlign w:val="bottom"/>
          </w:tcPr>
          <w:p>
            <w:pPr>
              <w:jc w:val="center"/>
              <w:ind w:left="346"/>
              <w:spacing w:after="0"/>
              <w:rPr>
                <w:sz w:val="20"/>
                <w:szCs w:val="20"/>
                <w:color w:val="auto"/>
              </w:rPr>
            </w:pPr>
            <w:r>
              <w:rPr>
                <w:rFonts w:ascii="Arial" w:cs="Arial" w:eastAsia="Arial" w:hAnsi="Arial"/>
                <w:sz w:val="18"/>
                <w:szCs w:val="18"/>
                <w:b w:val="1"/>
                <w:bCs w:val="1"/>
                <w:color w:val="auto"/>
                <w:w w:val="87"/>
              </w:rPr>
              <w:t>47-4839948</w:t>
            </w:r>
          </w:p>
        </w:tc>
      </w:tr>
      <w:tr>
        <w:trPr>
          <w:trHeight w:val="149"/>
        </w:trPr>
        <w:tc>
          <w:tcPr>
            <w:tcW w:w="1360" w:type="dxa"/>
            <w:vAlign w:val="bottom"/>
          </w:tcPr>
          <w:p>
            <w:pPr>
              <w:jc w:val="center"/>
              <w:ind w:right="406"/>
              <w:spacing w:after="0" w:line="149" w:lineRule="exact"/>
              <w:rPr>
                <w:sz w:val="20"/>
                <w:szCs w:val="20"/>
                <w:color w:val="auto"/>
              </w:rPr>
            </w:pPr>
            <w:r>
              <w:rPr>
                <w:rFonts w:ascii="Arial" w:cs="Arial" w:eastAsia="Arial" w:hAnsi="Arial"/>
                <w:sz w:val="14"/>
                <w:szCs w:val="14"/>
                <w:b w:val="1"/>
                <w:bCs w:val="1"/>
                <w:color w:val="auto"/>
                <w:w w:val="89"/>
              </w:rPr>
              <w:t>(State or Other</w:t>
            </w:r>
          </w:p>
        </w:tc>
        <w:tc>
          <w:tcPr>
            <w:tcW w:w="170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(Commission</w:t>
            </w:r>
          </w:p>
        </w:tc>
        <w:tc>
          <w:tcPr>
            <w:tcW w:w="1500" w:type="dxa"/>
            <w:vAlign w:val="bottom"/>
          </w:tcPr>
          <w:p>
            <w:pPr>
              <w:jc w:val="center"/>
              <w:ind w:left="3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63"/>
        </w:trPr>
        <w:tc>
          <w:tcPr>
            <w:tcW w:w="1360" w:type="dxa"/>
            <w:vAlign w:val="bottom"/>
          </w:tcPr>
          <w:p>
            <w:pPr>
              <w:jc w:val="center"/>
              <w:ind w:right="406"/>
              <w:spacing w:after="0"/>
              <w:rPr>
                <w:sz w:val="20"/>
                <w:szCs w:val="20"/>
                <w:color w:val="auto"/>
              </w:rPr>
            </w:pPr>
            <w:r>
              <w:rPr>
                <w:rFonts w:ascii="Arial" w:cs="Arial" w:eastAsia="Arial" w:hAnsi="Arial"/>
                <w:sz w:val="14"/>
                <w:szCs w:val="14"/>
                <w:b w:val="1"/>
                <w:bCs w:val="1"/>
                <w:color w:val="auto"/>
                <w:w w:val="85"/>
              </w:rPr>
              <w:t>Jurisdiction</w:t>
            </w:r>
          </w:p>
        </w:tc>
        <w:tc>
          <w:tcPr>
            <w:tcW w:w="1700" w:type="dxa"/>
            <w:vAlign w:val="bottom"/>
          </w:tcPr>
          <w:p>
            <w:pPr>
              <w:ind w:left="480"/>
              <w:spacing w:after="0"/>
              <w:rPr>
                <w:sz w:val="20"/>
                <w:szCs w:val="20"/>
                <w:color w:val="auto"/>
              </w:rPr>
            </w:pPr>
            <w:r>
              <w:rPr>
                <w:rFonts w:ascii="Arial" w:cs="Arial" w:eastAsia="Arial" w:hAnsi="Arial"/>
                <w:sz w:val="14"/>
                <w:szCs w:val="14"/>
                <w:b w:val="1"/>
                <w:bCs w:val="1"/>
                <w:color w:val="auto"/>
              </w:rPr>
              <w:t>File Number)</w:t>
            </w:r>
          </w:p>
        </w:tc>
        <w:tc>
          <w:tcPr>
            <w:tcW w:w="1500" w:type="dxa"/>
            <w:vAlign w:val="bottom"/>
          </w:tcPr>
          <w:p>
            <w:pPr>
              <w:jc w:val="center"/>
              <w:ind w:left="366"/>
              <w:spacing w:after="0"/>
              <w:rPr>
                <w:sz w:val="20"/>
                <w:szCs w:val="20"/>
                <w:color w:val="auto"/>
              </w:rPr>
            </w:pPr>
            <w:r>
              <w:rPr>
                <w:rFonts w:ascii="Arial" w:cs="Arial" w:eastAsia="Arial" w:hAnsi="Arial"/>
                <w:sz w:val="14"/>
                <w:szCs w:val="14"/>
                <w:b w:val="1"/>
                <w:bCs w:val="1"/>
                <w:color w:val="auto"/>
                <w:w w:val="89"/>
              </w:rPr>
              <w:t>Identification No.)</w:t>
            </w:r>
          </w:p>
        </w:tc>
      </w:tr>
    </w:tbl>
    <w:p>
      <w:pPr>
        <w:ind w:left="3420"/>
        <w:spacing w:after="0"/>
        <w:rPr>
          <w:sz w:val="20"/>
          <w:szCs w:val="20"/>
          <w:color w:val="auto"/>
        </w:rPr>
      </w:pPr>
      <w:r>
        <w:rPr>
          <w:rFonts w:ascii="Arial" w:cs="Arial" w:eastAsia="Arial" w:hAnsi="Arial"/>
          <w:sz w:val="14"/>
          <w:szCs w:val="14"/>
          <w:b w:val="1"/>
          <w:bCs w:val="1"/>
          <w:color w:val="auto"/>
        </w:rPr>
        <w:t>of Incorporation)</w:t>
      </w:r>
    </w:p>
    <w:p>
      <w:pPr>
        <w:spacing w:after="0" w:line="215" w:lineRule="exact"/>
        <w:rPr>
          <w:sz w:val="24"/>
          <w:szCs w:val="24"/>
          <w:color w:val="auto"/>
        </w:rPr>
      </w:pPr>
    </w:p>
    <w:tbl>
      <w:tblPr>
        <w:tblLayout w:type="fixed"/>
        <w:tblInd w:w="3440" w:type="dxa"/>
        <w:tblCellMar>
          <w:top w:w="0" w:type="dxa"/>
          <w:left w:w="0" w:type="dxa"/>
          <w:bottom w:w="0" w:type="dxa"/>
          <w:right w:w="0" w:type="dxa"/>
        </w:tblCellMar>
      </w:tblPr>
      <w:tr>
        <w:trPr>
          <w:trHeight w:val="216"/>
        </w:trPr>
        <w:tc>
          <w:tcPr>
            <w:tcW w:w="2620" w:type="dxa"/>
            <w:vAlign w:val="bottom"/>
          </w:tcPr>
          <w:p>
            <w:pPr>
              <w:jc w:val="center"/>
              <w:ind w:right="502"/>
              <w:spacing w:after="0"/>
              <w:rPr>
                <w:sz w:val="20"/>
                <w:szCs w:val="20"/>
                <w:color w:val="auto"/>
              </w:rPr>
            </w:pPr>
            <w:r>
              <w:rPr>
                <w:rFonts w:ascii="Arial" w:cs="Arial" w:eastAsia="Arial" w:hAnsi="Arial"/>
                <w:sz w:val="18"/>
                <w:szCs w:val="18"/>
                <w:b w:val="1"/>
                <w:bCs w:val="1"/>
                <w:color w:val="auto"/>
                <w:w w:val="87"/>
              </w:rPr>
              <w:t>26 Landsdowne Street</w:t>
            </w:r>
          </w:p>
        </w:tc>
        <w:tc>
          <w:tcPr>
            <w:tcW w:w="1220" w:type="dxa"/>
            <w:vAlign w:val="bottom"/>
          </w:tcPr>
          <w:p>
            <w:pPr>
              <w:spacing w:after="0"/>
              <w:rPr>
                <w:sz w:val="18"/>
                <w:szCs w:val="18"/>
                <w:color w:val="auto"/>
              </w:rPr>
            </w:pPr>
          </w:p>
        </w:tc>
      </w:tr>
      <w:tr>
        <w:trPr>
          <w:trHeight w:val="218"/>
        </w:trPr>
        <w:tc>
          <w:tcPr>
            <w:tcW w:w="2620" w:type="dxa"/>
            <w:vAlign w:val="bottom"/>
          </w:tcPr>
          <w:p>
            <w:pPr>
              <w:jc w:val="center"/>
              <w:ind w:right="522"/>
              <w:spacing w:after="0"/>
              <w:rPr>
                <w:sz w:val="20"/>
                <w:szCs w:val="20"/>
                <w:color w:val="auto"/>
              </w:rPr>
            </w:pPr>
            <w:r>
              <w:rPr>
                <w:rFonts w:ascii="Arial" w:cs="Arial" w:eastAsia="Arial" w:hAnsi="Arial"/>
                <w:sz w:val="18"/>
                <w:szCs w:val="18"/>
                <w:b w:val="1"/>
                <w:bCs w:val="1"/>
                <w:color w:val="auto"/>
                <w:w w:val="86"/>
              </w:rPr>
              <w:t>Cambridge, Massachusetts</w:t>
            </w:r>
          </w:p>
        </w:tc>
        <w:tc>
          <w:tcPr>
            <w:tcW w:w="1220" w:type="dxa"/>
            <w:vAlign w:val="bottom"/>
          </w:tcPr>
          <w:p>
            <w:pPr>
              <w:jc w:val="right"/>
              <w:ind w:right="22"/>
              <w:spacing w:after="0"/>
              <w:rPr>
                <w:sz w:val="20"/>
                <w:szCs w:val="20"/>
                <w:color w:val="auto"/>
              </w:rPr>
            </w:pPr>
            <w:r>
              <w:rPr>
                <w:rFonts w:ascii="Arial" w:cs="Arial" w:eastAsia="Arial" w:hAnsi="Arial"/>
                <w:sz w:val="18"/>
                <w:szCs w:val="18"/>
                <w:b w:val="1"/>
                <w:bCs w:val="1"/>
                <w:color w:val="auto"/>
              </w:rPr>
              <w:t>02139</w:t>
            </w:r>
          </w:p>
        </w:tc>
      </w:tr>
      <w:tr>
        <w:trPr>
          <w:trHeight w:val="149"/>
        </w:trPr>
        <w:tc>
          <w:tcPr>
            <w:tcW w:w="2620" w:type="dxa"/>
            <w:vAlign w:val="bottom"/>
          </w:tcPr>
          <w:p>
            <w:pPr>
              <w:jc w:val="center"/>
              <w:ind w:right="502"/>
              <w:spacing w:after="0" w:line="149" w:lineRule="exact"/>
              <w:rPr>
                <w:sz w:val="20"/>
                <w:szCs w:val="20"/>
                <w:color w:val="auto"/>
              </w:rPr>
            </w:pPr>
            <w:r>
              <w:rPr>
                <w:rFonts w:ascii="Arial" w:cs="Arial" w:eastAsia="Arial" w:hAnsi="Arial"/>
                <w:sz w:val="14"/>
                <w:szCs w:val="14"/>
                <w:b w:val="1"/>
                <w:bCs w:val="1"/>
                <w:color w:val="auto"/>
                <w:w w:val="87"/>
              </w:rPr>
              <w:t>(Address of Principal Executive</w:t>
            </w:r>
          </w:p>
        </w:tc>
        <w:tc>
          <w:tcPr>
            <w:tcW w:w="1220" w:type="dxa"/>
            <w:vAlign w:val="bottom"/>
          </w:tcPr>
          <w:p>
            <w:pPr>
              <w:jc w:val="center"/>
              <w:ind w:left="522"/>
              <w:spacing w:after="0" w:line="149" w:lineRule="exact"/>
              <w:rPr>
                <w:sz w:val="20"/>
                <w:szCs w:val="20"/>
                <w:color w:val="auto"/>
              </w:rPr>
            </w:pPr>
            <w:r>
              <w:rPr>
                <w:rFonts w:ascii="Arial" w:cs="Arial" w:eastAsia="Arial" w:hAnsi="Arial"/>
                <w:sz w:val="14"/>
                <w:szCs w:val="14"/>
                <w:b w:val="1"/>
                <w:bCs w:val="1"/>
                <w:color w:val="auto"/>
                <w:w w:val="89"/>
              </w:rPr>
              <w:t>(Zip Code)</w:t>
            </w:r>
          </w:p>
        </w:tc>
      </w:tr>
      <w:tr>
        <w:trPr>
          <w:trHeight w:val="174"/>
        </w:trPr>
        <w:tc>
          <w:tcPr>
            <w:tcW w:w="2620" w:type="dxa"/>
            <w:vAlign w:val="bottom"/>
          </w:tcPr>
          <w:p>
            <w:pPr>
              <w:jc w:val="center"/>
              <w:ind w:right="502"/>
              <w:spacing w:after="0"/>
              <w:rPr>
                <w:sz w:val="20"/>
                <w:szCs w:val="20"/>
                <w:color w:val="auto"/>
              </w:rPr>
            </w:pPr>
            <w:r>
              <w:rPr>
                <w:rFonts w:ascii="Arial" w:cs="Arial" w:eastAsia="Arial" w:hAnsi="Arial"/>
                <w:sz w:val="14"/>
                <w:szCs w:val="14"/>
                <w:b w:val="1"/>
                <w:bCs w:val="1"/>
                <w:color w:val="auto"/>
                <w:w w:val="84"/>
              </w:rPr>
              <w:t>Offices)</w:t>
            </w:r>
          </w:p>
        </w:tc>
        <w:tc>
          <w:tcPr>
            <w:tcW w:w="1220" w:type="dxa"/>
            <w:vAlign w:val="bottom"/>
          </w:tcPr>
          <w:p>
            <w:pPr>
              <w:spacing w:after="0"/>
              <w:rPr>
                <w:sz w:val="15"/>
                <w:szCs w:val="15"/>
                <w:color w:val="auto"/>
              </w:rPr>
            </w:pPr>
          </w:p>
        </w:tc>
      </w:tr>
    </w:tbl>
    <w:p>
      <w:pPr>
        <w:spacing w:after="0" w:line="1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Registrant's telephone number, including area code: (617) 651-8851</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ind w:right="26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335" w:lineRule="exact"/>
        <w:rPr>
          <w:sz w:val="24"/>
          <w:szCs w:val="24"/>
          <w:color w:val="auto"/>
        </w:rPr>
      </w:pPr>
    </w:p>
    <w:p>
      <w:pPr>
        <w:ind w:left="1500" w:hanging="300"/>
        <w:spacing w:after="0"/>
        <w:tabs>
          <w:tab w:leader="none" w:pos="1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ind w:left="1500" w:hanging="300"/>
        <w:spacing w:after="0"/>
        <w:tabs>
          <w:tab w:leader="none" w:pos="1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1500" w:hanging="300"/>
        <w:spacing w:after="0"/>
        <w:tabs>
          <w:tab w:leader="none" w:pos="1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Arial" w:cs="Arial" w:eastAsia="Arial" w:hAnsi="Arial"/>
          <w:sz w:val="18"/>
          <w:szCs w:val="18"/>
          <w:color w:val="auto"/>
        </w:rPr>
      </w:pPr>
    </w:p>
    <w:p>
      <w:pPr>
        <w:ind w:right="1940" w:firstLine="1200"/>
        <w:spacing w:after="0" w:line="505" w:lineRule="auto"/>
        <w:tabs>
          <w:tab w:leader="none" w:pos="1492"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170" w:type="dxa"/>
        <w:tblCellMar>
          <w:top w:w="0" w:type="dxa"/>
          <w:left w:w="0" w:type="dxa"/>
          <w:bottom w:w="0" w:type="dxa"/>
          <w:right w:w="0" w:type="dxa"/>
        </w:tblCellMar>
      </w:tblPr>
      <w:tr>
        <w:trPr>
          <w:trHeight w:val="203"/>
        </w:trPr>
        <w:tc>
          <w:tcPr>
            <w:tcW w:w="3940" w:type="dxa"/>
            <w:vAlign w:val="bottom"/>
            <w:tcBorders>
              <w:top w:val="single" w:sz="8" w:color="auto"/>
              <w:left w:val="single" w:sz="8" w:color="auto"/>
              <w:right w:val="single" w:sz="8" w:color="auto"/>
            </w:tcBorders>
          </w:tcPr>
          <w:p>
            <w:pPr>
              <w:ind w:left="1320"/>
              <w:spacing w:after="0" w:line="203" w:lineRule="exact"/>
              <w:rPr>
                <w:sz w:val="20"/>
                <w:szCs w:val="20"/>
                <w:color w:val="auto"/>
              </w:rPr>
            </w:pPr>
            <w:r>
              <w:rPr>
                <w:rFonts w:ascii="Arial" w:cs="Arial" w:eastAsia="Arial" w:hAnsi="Arial"/>
                <w:sz w:val="18"/>
                <w:szCs w:val="18"/>
                <w:color w:val="auto"/>
              </w:rPr>
              <w:t>Title of each class</w:t>
            </w:r>
          </w:p>
        </w:tc>
        <w:tc>
          <w:tcPr>
            <w:tcW w:w="1360" w:type="dxa"/>
            <w:vAlign w:val="bottom"/>
            <w:tcBorders>
              <w:top w:val="single" w:sz="8" w:color="auto"/>
              <w:right w:val="single" w:sz="8" w:color="auto"/>
            </w:tcBorders>
          </w:tcPr>
          <w:p>
            <w:pPr>
              <w:jc w:val="center"/>
              <w:ind w:right="112"/>
              <w:spacing w:after="0" w:line="203" w:lineRule="exact"/>
              <w:rPr>
                <w:sz w:val="20"/>
                <w:szCs w:val="20"/>
                <w:color w:val="auto"/>
              </w:rPr>
            </w:pPr>
            <w:r>
              <w:rPr>
                <w:rFonts w:ascii="Arial" w:cs="Arial" w:eastAsia="Arial" w:hAnsi="Arial"/>
                <w:sz w:val="18"/>
                <w:szCs w:val="18"/>
                <w:color w:val="auto"/>
                <w:w w:val="91"/>
              </w:rPr>
              <w:t>Trading</w:t>
            </w:r>
          </w:p>
        </w:tc>
        <w:tc>
          <w:tcPr>
            <w:tcW w:w="3880" w:type="dxa"/>
            <w:vAlign w:val="bottom"/>
            <w:tcBorders>
              <w:top w:val="single" w:sz="8" w:color="auto"/>
              <w:right w:val="single" w:sz="8" w:color="auto"/>
            </w:tcBorders>
          </w:tcPr>
          <w:p>
            <w:pPr>
              <w:jc w:val="center"/>
              <w:ind w:right="112"/>
              <w:spacing w:after="0" w:line="203" w:lineRule="exact"/>
              <w:rPr>
                <w:sz w:val="20"/>
                <w:szCs w:val="20"/>
                <w:color w:val="auto"/>
              </w:rPr>
            </w:pPr>
            <w:r>
              <w:rPr>
                <w:rFonts w:ascii="Arial" w:cs="Arial" w:eastAsia="Arial" w:hAnsi="Arial"/>
                <w:sz w:val="18"/>
                <w:szCs w:val="18"/>
                <w:color w:val="auto"/>
                <w:w w:val="87"/>
              </w:rPr>
              <w:t>Name of each exchange on which registered</w:t>
            </w:r>
          </w:p>
        </w:tc>
      </w:tr>
      <w:tr>
        <w:trPr>
          <w:trHeight w:val="223"/>
        </w:trPr>
        <w:tc>
          <w:tcPr>
            <w:tcW w:w="3940" w:type="dxa"/>
            <w:vAlign w:val="bottom"/>
            <w:tcBorders>
              <w:left w:val="single" w:sz="8" w:color="auto"/>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center"/>
              <w:ind w:right="112"/>
              <w:spacing w:after="0"/>
              <w:rPr>
                <w:sz w:val="20"/>
                <w:szCs w:val="20"/>
                <w:color w:val="auto"/>
              </w:rPr>
            </w:pPr>
            <w:r>
              <w:rPr>
                <w:rFonts w:ascii="Arial" w:cs="Arial" w:eastAsia="Arial" w:hAnsi="Arial"/>
                <w:sz w:val="18"/>
                <w:szCs w:val="18"/>
                <w:color w:val="auto"/>
                <w:w w:val="88"/>
              </w:rPr>
              <w:t>Symbol(s)</w:t>
            </w:r>
          </w:p>
        </w:tc>
        <w:tc>
          <w:tcPr>
            <w:tcW w:w="3880" w:type="dxa"/>
            <w:vAlign w:val="bottom"/>
            <w:tcBorders>
              <w:bottom w:val="single" w:sz="8" w:color="auto"/>
              <w:right w:val="single" w:sz="8" w:color="auto"/>
            </w:tcBorders>
          </w:tcPr>
          <w:p>
            <w:pPr>
              <w:spacing w:after="0"/>
              <w:rPr>
                <w:sz w:val="19"/>
                <w:szCs w:val="19"/>
                <w:color w:val="auto"/>
              </w:rPr>
            </w:pPr>
          </w:p>
        </w:tc>
      </w:tr>
      <w:tr>
        <w:trPr>
          <w:trHeight w:val="211"/>
        </w:trPr>
        <w:tc>
          <w:tcPr>
            <w:tcW w:w="3940" w:type="dxa"/>
            <w:vAlign w:val="bottom"/>
            <w:tcBorders>
              <w:left w:val="single" w:sz="8" w:color="auto"/>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Common stock, par value $0.001 per share</w:t>
            </w:r>
          </w:p>
        </w:tc>
        <w:tc>
          <w:tcPr>
            <w:tcW w:w="1360" w:type="dxa"/>
            <w:vAlign w:val="bottom"/>
            <w:tcBorders>
              <w:bottom w:val="single" w:sz="8" w:color="auto"/>
              <w:right w:val="single" w:sz="8" w:color="auto"/>
            </w:tcBorders>
          </w:tcPr>
          <w:p>
            <w:pPr>
              <w:jc w:val="center"/>
              <w:ind w:right="112"/>
              <w:spacing w:after="0"/>
              <w:rPr>
                <w:sz w:val="20"/>
                <w:szCs w:val="20"/>
                <w:color w:val="auto"/>
              </w:rPr>
            </w:pPr>
            <w:r>
              <w:rPr>
                <w:rFonts w:ascii="Arial" w:cs="Arial" w:eastAsia="Arial" w:hAnsi="Arial"/>
                <w:sz w:val="18"/>
                <w:szCs w:val="18"/>
                <w:color w:val="auto"/>
                <w:w w:val="93"/>
              </w:rPr>
              <w:t>FULC</w:t>
            </w:r>
          </w:p>
        </w:tc>
        <w:tc>
          <w:tcPr>
            <w:tcW w:w="3880" w:type="dxa"/>
            <w:vAlign w:val="bottom"/>
            <w:tcBorders>
              <w:bottom w:val="single" w:sz="8" w:color="auto"/>
              <w:right w:val="single" w:sz="8" w:color="auto"/>
            </w:tcBorders>
          </w:tcPr>
          <w:p>
            <w:pPr>
              <w:jc w:val="center"/>
              <w:ind w:right="112"/>
              <w:spacing w:after="0"/>
              <w:rPr>
                <w:sz w:val="20"/>
                <w:szCs w:val="20"/>
                <w:color w:val="auto"/>
              </w:rPr>
            </w:pPr>
            <w:r>
              <w:rPr>
                <w:rFonts w:ascii="Arial" w:cs="Arial" w:eastAsia="Arial" w:hAnsi="Arial"/>
                <w:sz w:val="18"/>
                <w:szCs w:val="18"/>
                <w:color w:val="auto"/>
                <w:w w:val="89"/>
              </w:rPr>
              <w:t>Nasdaq Global Market</w:t>
            </w:r>
          </w:p>
        </w:tc>
      </w:tr>
    </w:tbl>
    <w:p>
      <w:pPr>
        <w:spacing w:after="0" w:line="20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ectPr>
          <w:pgSz w:w="11900" w:h="16838" w:orient="portrait"/>
          <w:cols w:equalWidth="0" w:num="1">
            <w:col w:w="11280"/>
          </w:cols>
          <w:pgMar w:left="240" w:top="469" w:right="379" w:bottom="0" w:gutter="0" w:footer="0" w:header="0"/>
        </w:sectPr>
      </w:pPr>
    </w:p>
    <w:p>
      <w:pPr>
        <w:spacing w:after="0" w:line="302" w:lineRule="exact"/>
        <w:rPr>
          <w:sz w:val="24"/>
          <w:szCs w:val="24"/>
          <w:color w:val="auto"/>
        </w:rPr>
      </w:pPr>
    </w:p>
    <w:p>
      <w:pPr>
        <w:ind w:left="8020"/>
        <w:spacing w:after="0" w:line="207" w:lineRule="exact"/>
        <w:tabs>
          <w:tab w:leader="none" w:pos="1010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280"/>
          </w:cols>
          <w:pgMar w:left="240" w:top="469" w:right="379" w:bottom="0" w:gutter="0" w:footer="0" w:header="0"/>
          <w:type w:val="continuous"/>
        </w:sectPr>
      </w:pPr>
    </w:p>
    <w:bookmarkStart w:id="1" w:name="page2"/>
    <w:bookmarkEnd w:id="1"/>
    <w:p>
      <w:pPr>
        <w:spacing w:after="0" w:line="26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198755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131" w:right="6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31"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On July 22, 2019, Fulcrum Therapeutics, Inc. (the "Company") filed a restated certificate of incorporation (the "Restated Certificate") with the Secretary of State of the State of Delaware in connection with the closing of the Company's initial public offering (the "IPO"). The Company's board of directors and stockholders previously approved the Restated Certificate to be filed in connection with, and to be effective upon, the closing of the IPO.</w:t>
      </w:r>
    </w:p>
    <w:p>
      <w:pPr>
        <w:spacing w:after="0" w:line="16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Restated Certificate amends and restates the Company's certificate of incorporation in its entirety to, among other things: (i) increase the authorized number of shares of common stock to 200,000,000 shares; (ii) eliminate all references to the previously existing series of preferred stock; (iii) authorize 5,000,000 shares of undesignated preferred stock that may be issued from time to time by the Company's board of directors in one or more series; (iv) establish a classified board of directors, divided into three classes, each of whose members will serve for staggered three-year terms; (v) provide that directors may be removed from office only for cause and only by the affirmative vote of the holders of at least 75% of the votes that all of the Company's stockholders would be entitled to cast in an election of directors; (vi) provide that any vacancy on the Company's board of directors, including a vacancy resulting from an enlargement of its board of directors, may be filled only by vote of a majority of directors then in office; (vii) eliminate the ability of the Company's stockholders to take action by written consent in lieu of a meeting; and (viii) provide that the Court of Chancery of the State of Delaware (or, if the Court of Chancery of the State of Delaware does not have jurisdiction, the federal district court for the District of Delaware) shall be the sole and exclusive forum for (a) any derivative action or proceeding brought on behalf of the Company, (b) any action asserting a claim of breach of fiduciary duty owed by any director, officer, other employee or stockholder of the Company to the Company or its stockholders, (c) any action asserting a claim arising pursuant to any provision of the General Corporation Law of the State of Delaware or as to which the General Corporation Law of the State of Delaware confers jurisdiction on the Court of Chancery of the State of Delaware or (d) any action asserting a claim arising pursuant to any provision of the Restated Certificate or bylaws of the Company (in each case, as they may be amended from time to time) or governed by the internal affairs doctrine.</w:t>
      </w:r>
    </w:p>
    <w:p>
      <w:pPr>
        <w:spacing w:after="0" w:line="18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foregoing description of the amendments made by the Restated Certificate is qualified by reference to the Restated Certificate, a copy of which is attached hereto as Exhibit 3.1 and is incorporated herein by reference.</w:t>
      </w:r>
    </w:p>
    <w:p>
      <w:pPr>
        <w:spacing w:after="0" w:line="18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On July 22, 2019, in connection with the closing of the IPO, amended and restated bylaws of the Company (the "Amended and Restated Bylaws"), which were previously approved by the Company's board of directors and stockholders, became effective immediately following the closing of the IPO. The Amended and Restated Bylaws amend and restate the Company's bylaws in their entirety to, among other things: (i) eliminate the ability of the Company's stockholders to take action by written consent in lieu of a meeting; (ii) establish procedures relating to the presentation of stockholder proposals at stockholder meetings; (iii) establish procedures relating to the nomination of directors; and (iv) conform to the provisions of the Restated Certificate.</w:t>
      </w:r>
    </w:p>
    <w:p>
      <w:pPr>
        <w:spacing w:after="0" w:line="17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foregoing description of the amendments made by the Amended and Restated Bylaws is qualified by reference to the Amended and Restated Bylaws, a copy of which is attached hereto as Exhibit 3.2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000" w:type="dxa"/>
            <w:vAlign w:val="bottom"/>
          </w:tcPr>
          <w:p>
            <w:pPr>
              <w:jc w:val="right"/>
              <w:ind w:right="102"/>
              <w:spacing w:after="0"/>
              <w:rPr>
                <w:sz w:val="20"/>
                <w:szCs w:val="20"/>
                <w:color w:val="auto"/>
              </w:rPr>
            </w:pPr>
            <w:r>
              <w:rPr>
                <w:rFonts w:ascii="Arial" w:cs="Arial" w:eastAsia="Arial" w:hAnsi="Arial"/>
                <w:sz w:val="14"/>
                <w:szCs w:val="14"/>
                <w:b w:val="1"/>
                <w:bCs w:val="1"/>
                <w:color w:val="auto"/>
              </w:rPr>
              <w:t>Exhibit No.</w:t>
            </w:r>
          </w:p>
        </w:tc>
        <w:tc>
          <w:tcPr>
            <w:tcW w:w="160" w:type="dxa"/>
            <w:vAlign w:val="bottom"/>
          </w:tcPr>
          <w:p>
            <w:pPr>
              <w:spacing w:after="0"/>
              <w:rPr>
                <w:sz w:val="14"/>
                <w:szCs w:val="14"/>
                <w:color w:val="auto"/>
              </w:rPr>
            </w:pPr>
          </w:p>
        </w:tc>
        <w:tc>
          <w:tcPr>
            <w:tcW w:w="9100" w:type="dxa"/>
            <w:vAlign w:val="bottom"/>
            <w:gridSpan w:val="5"/>
          </w:tcPr>
          <w:p>
            <w:pPr>
              <w:spacing w:after="0"/>
              <w:rPr>
                <w:sz w:val="20"/>
                <w:szCs w:val="20"/>
                <w:color w:val="auto"/>
              </w:rPr>
            </w:pPr>
            <w:r>
              <w:rPr>
                <w:rFonts w:ascii="Arial" w:cs="Arial" w:eastAsia="Arial" w:hAnsi="Arial"/>
                <w:sz w:val="14"/>
                <w:szCs w:val="14"/>
                <w:b w:val="1"/>
                <w:bCs w:val="1"/>
                <w:color w:val="auto"/>
              </w:rPr>
              <w:t>Description</w:t>
            </w:r>
          </w:p>
        </w:tc>
      </w:tr>
      <w:tr>
        <w:trPr>
          <w:trHeight w:val="169"/>
        </w:trPr>
        <w:tc>
          <w:tcPr>
            <w:tcW w:w="1160" w:type="dxa"/>
            <w:vAlign w:val="bottom"/>
          </w:tcPr>
          <w:p>
            <w:pPr>
              <w:spacing w:after="0"/>
              <w:rPr>
                <w:sz w:val="14"/>
                <w:szCs w:val="14"/>
                <w:color w:val="auto"/>
              </w:rPr>
            </w:pPr>
          </w:p>
        </w:tc>
        <w:tc>
          <w:tcPr>
            <w:tcW w:w="1000" w:type="dxa"/>
            <w:vAlign w:val="bottom"/>
            <w:tcBorders>
              <w:top w:val="single" w:sz="8" w:color="auto"/>
            </w:tcBorders>
          </w:tcPr>
          <w:p>
            <w:pPr>
              <w:jc w:val="right"/>
              <w:ind w:right="722"/>
              <w:spacing w:after="0" w:line="170" w:lineRule="exact"/>
              <w:rPr>
                <w:sz w:val="20"/>
                <w:szCs w:val="20"/>
                <w:color w:val="auto"/>
              </w:rPr>
            </w:pPr>
            <w:r>
              <w:rPr>
                <w:rFonts w:ascii="Arial" w:cs="Arial" w:eastAsia="Arial" w:hAnsi="Arial"/>
                <w:sz w:val="18"/>
                <w:szCs w:val="18"/>
                <w:color w:val="auto"/>
                <w:w w:val="71"/>
              </w:rPr>
              <w:t>3.1</w:t>
            </w:r>
          </w:p>
        </w:tc>
        <w:tc>
          <w:tcPr>
            <w:tcW w:w="1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700" w:type="dxa"/>
            <w:vAlign w:val="bottom"/>
            <w:tcBorders>
              <w:top w:val="single" w:sz="8" w:color="auto"/>
              <w:bottom w:val="single" w:sz="8" w:color="0000EE"/>
            </w:tcBorders>
            <w:gridSpan w:val="2"/>
          </w:tcPr>
          <w:p>
            <w:pPr>
              <w:spacing w:after="0" w:line="170"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Restated Certificate of Incorporation of Fulcrum Therapeutics, Inc.</w:t>
              </w:r>
            </w:hyperlink>
          </w:p>
        </w:tc>
        <w:tc>
          <w:tcPr>
            <w:tcW w:w="3240" w:type="dxa"/>
            <w:vAlign w:val="bottom"/>
            <w:tcBorders>
              <w:top w:val="single" w:sz="8" w:color="auto"/>
            </w:tcBorders>
          </w:tcPr>
          <w:p>
            <w:pPr>
              <w:spacing w:after="0"/>
              <w:rPr>
                <w:sz w:val="14"/>
                <w:szCs w:val="14"/>
                <w:color w:val="auto"/>
              </w:rPr>
            </w:pPr>
          </w:p>
        </w:tc>
        <w:tc>
          <w:tcPr>
            <w:tcW w:w="1140" w:type="dxa"/>
            <w:vAlign w:val="bottom"/>
          </w:tcPr>
          <w:p>
            <w:pPr>
              <w:spacing w:after="0"/>
              <w:rPr>
                <w:sz w:val="14"/>
                <w:szCs w:val="14"/>
                <w:color w:val="auto"/>
              </w:rPr>
            </w:pPr>
          </w:p>
        </w:tc>
      </w:tr>
      <w:tr>
        <w:trPr>
          <w:trHeight w:val="196"/>
        </w:trPr>
        <w:tc>
          <w:tcPr>
            <w:tcW w:w="2160" w:type="dxa"/>
            <w:vAlign w:val="bottom"/>
            <w:gridSpan w:val="2"/>
          </w:tcPr>
          <w:p>
            <w:pPr>
              <w:jc w:val="right"/>
              <w:ind w:right="722"/>
              <w:spacing w:after="0" w:line="196" w:lineRule="exact"/>
              <w:rPr>
                <w:sz w:val="20"/>
                <w:szCs w:val="20"/>
                <w:color w:val="auto"/>
              </w:rPr>
            </w:pPr>
            <w:r>
              <w:rPr>
                <w:rFonts w:ascii="Arial" w:cs="Arial" w:eastAsia="Arial" w:hAnsi="Arial"/>
                <w:sz w:val="18"/>
                <w:szCs w:val="18"/>
                <w:color w:val="auto"/>
              </w:rPr>
              <w:t>3.2</w:t>
            </w:r>
          </w:p>
        </w:tc>
        <w:tc>
          <w:tcPr>
            <w:tcW w:w="160" w:type="dxa"/>
            <w:vAlign w:val="bottom"/>
          </w:tcPr>
          <w:p>
            <w:pPr>
              <w:spacing w:after="0"/>
              <w:rPr>
                <w:sz w:val="17"/>
                <w:szCs w:val="17"/>
                <w:color w:val="auto"/>
              </w:rPr>
            </w:pPr>
          </w:p>
        </w:tc>
        <w:tc>
          <w:tcPr>
            <w:tcW w:w="9100" w:type="dxa"/>
            <w:vAlign w:val="bottom"/>
            <w:gridSpan w:val="5"/>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Amended and Restated Bylaws of Fulcrum Therapeutics, Inc.</w:t>
              </w:r>
            </w:hyperlink>
          </w:p>
        </w:tc>
      </w:tr>
      <w:tr>
        <w:trPr>
          <w:trHeight w:val="139"/>
        </w:trPr>
        <w:tc>
          <w:tcPr>
            <w:tcW w:w="116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4320" w:type="dxa"/>
            <w:vAlign w:val="bottom"/>
            <w:tcBorders>
              <w:top w:val="single" w:sz="8" w:color="0000EE"/>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3240" w:type="dxa"/>
            <w:vAlign w:val="bottom"/>
            <w:tcBorders>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FULCRUM THERAPEUTICS, INC.</w:t>
      </w:r>
    </w:p>
    <w:p>
      <w:pPr>
        <w:spacing w:after="0" w:line="252" w:lineRule="exact"/>
        <w:rPr>
          <w:sz w:val="20"/>
          <w:szCs w:val="20"/>
          <w:color w:val="auto"/>
        </w:rPr>
      </w:pPr>
    </w:p>
    <w:p>
      <w:pPr>
        <w:ind w:left="1140"/>
        <w:spacing w:after="0"/>
        <w:tabs>
          <w:tab w:leader="none" w:pos="5540" w:val="left"/>
          <w:tab w:leader="none" w:pos="5980" w:val="left"/>
        </w:tabs>
        <w:rPr>
          <w:sz w:val="20"/>
          <w:szCs w:val="20"/>
          <w:color w:val="auto"/>
        </w:rPr>
      </w:pPr>
      <w:r>
        <w:rPr>
          <w:rFonts w:ascii="Arial" w:cs="Arial" w:eastAsia="Arial" w:hAnsi="Arial"/>
          <w:sz w:val="18"/>
          <w:szCs w:val="18"/>
          <w:color w:val="auto"/>
        </w:rPr>
        <w:t>Date: July 22,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71120</wp:posOffset>
            </wp:positionV>
            <wp:extent cx="2735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178"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Robert J. Gould</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341" w:right="71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SIGNATURES</w:t>
        </w:r>
      </w:hyperlink>
    </w:p>
    <w:p>
      <w:pPr>
        <w:sectPr>
          <w:pgSz w:w="11900" w:h="16838" w:orient="portrait"/>
          <w:cols w:equalWidth="0" w:num="1">
            <w:col w:w="10219"/>
          </w:cols>
          <w:pgMar w:left="240" w:top="820"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(originally incorporated on August 18, 2015)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The name of the Corporation is Fulcrum Therapeutics, Inc.</w:t>
      </w:r>
    </w:p>
    <w:p>
      <w:pPr>
        <w:spacing w:after="0" w:line="225"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SECOND: The address of the Corporation’s registered office in the State of Delaware is Corporation Trust Center, 1209 Orange Street, in the City of Wilmington, County of New Castle, 19801. The name of its registered agent at that address is The Corporation Trust Company.</w:t>
      </w:r>
    </w:p>
    <w:p>
      <w:pPr>
        <w:spacing w:after="0" w:line="14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THIRD: The nature of the business or purposes to be conducted or promoted by the Corporation is to engage in any lawful act or activity for which corporations may be organized under the General Corporation Law of the State of Delaware.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FOURTH: The total number of shares of all classes of stock that the Corporation shall have authority to issue is 205,000,000 shares, consisting of</w:t>
      </w:r>
    </w:p>
    <w:p>
      <w:pPr>
        <w:spacing w:after="0" w:line="46" w:lineRule="exact"/>
        <w:rPr>
          <w:sz w:val="20"/>
          <w:szCs w:val="20"/>
          <w:color w:val="auto"/>
        </w:rPr>
      </w:pPr>
    </w:p>
    <w:p>
      <w:pPr>
        <w:ind w:right="180" w:firstLine="8"/>
        <w:spacing w:after="0" w:line="261" w:lineRule="auto"/>
        <w:tabs>
          <w:tab w:leader="none" w:pos="215" w:val="left"/>
        </w:tabs>
        <w:numPr>
          <w:ilvl w:val="0"/>
          <w:numId w:val="2"/>
        </w:numPr>
        <w:rPr>
          <w:rFonts w:ascii="Arial" w:cs="Arial" w:eastAsia="Arial" w:hAnsi="Arial"/>
          <w:sz w:val="18"/>
          <w:szCs w:val="18"/>
          <w:color w:val="auto"/>
        </w:rPr>
      </w:pPr>
      <w:r>
        <w:rPr>
          <w:rFonts w:ascii="Arial" w:cs="Arial" w:eastAsia="Arial" w:hAnsi="Arial"/>
          <w:sz w:val="18"/>
          <w:szCs w:val="18"/>
          <w:color w:val="auto"/>
        </w:rPr>
        <w:t>200,000,000 shares of Common Stock, $0.001 par value per share (“Common Stock”), and (ii) 5,000,000 shares of Preferred Stock, $0.001 par value per share (“Preferred Stock”).</w:t>
      </w:r>
    </w:p>
    <w:p>
      <w:pPr>
        <w:spacing w:after="0" w:line="18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is a statement of the designations and the powers, privileges and rights, and the qualifications, limitations or restrictions thereof in respect of each class of capital stock of the Corporation.</w:t>
      </w:r>
    </w:p>
    <w:p>
      <w:pPr>
        <w:spacing w:after="0" w:line="170" w:lineRule="exact"/>
        <w:rPr>
          <w:sz w:val="20"/>
          <w:szCs w:val="20"/>
          <w:color w:val="auto"/>
        </w:rPr>
      </w:pPr>
    </w:p>
    <w:p>
      <w:pPr>
        <w:ind w:left="720" w:hanging="712"/>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80" w:firstLine="656"/>
        <w:spacing w:after="0" w:line="342" w:lineRule="auto"/>
        <w:tabs>
          <w:tab w:leader="none" w:pos="1368" w:val="left"/>
        </w:tabs>
        <w:numPr>
          <w:ilvl w:val="1"/>
          <w:numId w:val="3"/>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voting, dividend and liquidation rights of the holders of the Common Stock are subject to and qualified by the rights of the holders of the Preferred Stock of any series as may be designated by the Board of Directors upon any issuance of the Preferred Stock of any series.</w:t>
      </w:r>
    </w:p>
    <w:p>
      <w:pPr>
        <w:spacing w:after="0" w:line="123" w:lineRule="exact"/>
        <w:rPr>
          <w:rFonts w:ascii="Arial" w:cs="Arial" w:eastAsia="Arial" w:hAnsi="Arial"/>
          <w:sz w:val="16"/>
          <w:szCs w:val="16"/>
          <w:color w:val="auto"/>
        </w:rPr>
      </w:pPr>
    </w:p>
    <w:p>
      <w:pPr>
        <w:ind w:right="120" w:firstLine="656"/>
        <w:spacing w:after="0" w:line="255" w:lineRule="auto"/>
        <w:tabs>
          <w:tab w:leader="none" w:pos="1368"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 xml:space="preserve">. The holders of the Common Stock shall have voting rights at all meetings of stockholders, each such holder being entitled to one vote for each share thereof held by such 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except as otherwise required by law, holders of Common Stock shall not be entitled to vote on any amendment to this Certificate of Incorporation (which, as used herein, shall mean the certificate of incorporation of the Corporation, as amended from time to time, including the terms of any certificate of designations of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Certificate of Incorporation or the General Corporation Law of the State of Delaware. There shall be no cumulative voting.</w:t>
      </w:r>
    </w:p>
    <w:p>
      <w:pPr>
        <w:spacing w:after="0" w:line="18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number of authorized shares of Common Stock may be increased or decreased (but not below the number of shares thereof then outstanding) by the affirmative vote of the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ind w:right="180"/>
        <w:spacing w:after="0" w:line="277" w:lineRule="auto"/>
        <w:rPr>
          <w:sz w:val="20"/>
          <w:szCs w:val="20"/>
          <w:color w:val="auto"/>
        </w:rPr>
      </w:pPr>
      <w:r>
        <w:rPr>
          <w:rFonts w:ascii="Arial" w:cs="Arial" w:eastAsia="Arial" w:hAnsi="Arial"/>
          <w:sz w:val="18"/>
          <w:szCs w:val="18"/>
          <w:color w:val="auto"/>
        </w:rPr>
        <w:t>of a majority of the stock of the Corporation entitled to vote, irrespective of the provisions of Section 242(b)(2) of the General Corporation Law of the State of Delaware.</w:t>
      </w:r>
    </w:p>
    <w:p>
      <w:pPr>
        <w:spacing w:after="0" w:line="170" w:lineRule="exact"/>
        <w:rPr>
          <w:sz w:val="20"/>
          <w:szCs w:val="20"/>
          <w:color w:val="auto"/>
        </w:rPr>
      </w:pPr>
    </w:p>
    <w:p>
      <w:pPr>
        <w:ind w:right="100" w:firstLine="656"/>
        <w:spacing w:after="0" w:line="277" w:lineRule="auto"/>
        <w:tabs>
          <w:tab w:leader="none" w:pos="1368"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Dividends may be declared and paid on the Common Stock from funds lawfully available therefor if, as and when determined by the Board of Directors and subject to any preferential dividend or other rights of any then outstanding Preferred Stock.</w:t>
      </w:r>
    </w:p>
    <w:p>
      <w:pPr>
        <w:spacing w:after="0" w:line="170" w:lineRule="exact"/>
        <w:rPr>
          <w:rFonts w:ascii="Arial" w:cs="Arial" w:eastAsia="Arial" w:hAnsi="Arial"/>
          <w:sz w:val="18"/>
          <w:szCs w:val="18"/>
          <w:color w:val="auto"/>
        </w:rPr>
      </w:pPr>
    </w:p>
    <w:p>
      <w:pPr>
        <w:ind w:firstLine="656"/>
        <w:spacing w:after="0" w:line="264" w:lineRule="auto"/>
        <w:tabs>
          <w:tab w:leader="none" w:pos="1368"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Upon the dissolution, liquidation or winding up of the Corporation, whether voluntary or involuntary, holders of Common Stock will be entitled to receive all assets of the Corporation available for distribution to its stockholders, subject to any preferential or other rights of any then outstanding Preferred Stock.</w:t>
      </w:r>
    </w:p>
    <w:p>
      <w:pPr>
        <w:spacing w:after="0" w:line="181" w:lineRule="exact"/>
        <w:rPr>
          <w:sz w:val="20"/>
          <w:szCs w:val="20"/>
          <w:color w:val="auto"/>
        </w:rPr>
      </w:pPr>
    </w:p>
    <w:p>
      <w:pPr>
        <w:ind w:left="720" w:hanging="712"/>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Preferred Stock may be issued from time to time in one or more series, each of such series to have such terms as stated or expressed herein and in the resolution or resolutions providing for the issue of such series adopted by the Board of Directors of the Corporation as hereinafter provided. Any shares of Preferred Stock that may be redeemed, purchased or acquired by the Corporation may be reissued except as otherwise provided by law.</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Authority is hereby expressly granted to the Board of Directors from time to time to issue the Preferred Stock in one or more series, and in connection with the creation of any such series, by adopting a resolution or resolutions providing for the issuance of the shares thereof and by filing a certificate of designations relating thereto in accordance with the General Corporation Law of the State of Delaware, to determine and fix the number of shares of such series and such voting powers, full or limited, or no voting powers, and such designations, preferences and relative, participating, optional or other special rights, and qualifications, limitations or restrictions thereof, including dividend rights, conversion rights, redemption privileges and liquidation preferences, as shall be stated and expressed in such resolutions, all to the full extent now or hereafter permitted by the General Corporation Law of the State of Delaware. Without limiting the generality of the foregoing, the resolutions providing for issuance of any series of Preferred Stock may provide that such series shall be superior or rank equally or be junior to any other series of Preferred Stock to the extent permitted by law. The powers,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178"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The number of authorized shares of Preferred Stock may be increased or decreased (but not below the number of shares then outstanding) by the affirmative vote of the holders of a majority of the voting power of the capital stock of the Corporation entitled to vote thereon, voting as a single class, irrespective of the provisions of Section 242(b)(2) of the General Corporation Law of the State of Delaware.</w:t>
      </w:r>
    </w:p>
    <w:p>
      <w:pPr>
        <w:spacing w:after="0" w:line="166"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FIFTH: Except as otherwise provided herein, the Corporation reserves the right to amend, alter, change or repeal any provision contained in this Certificate of Incorporation, in the manner now or hereafter prescribed by statute and this Certificate of Incorporation, and all rights conferred upon stockholders herein are granted subject to this reservation.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ind w:firstLine="648"/>
        <w:spacing w:after="0" w:line="270" w:lineRule="auto"/>
        <w:rPr>
          <w:sz w:val="20"/>
          <w:szCs w:val="20"/>
          <w:color w:val="auto"/>
        </w:rPr>
      </w:pPr>
      <w:r>
        <w:rPr>
          <w:rFonts w:ascii="Arial" w:cs="Arial" w:eastAsia="Arial" w:hAnsi="Arial"/>
          <w:sz w:val="17"/>
          <w:szCs w:val="17"/>
          <w:color w:val="auto"/>
        </w:rPr>
        <w:t>SIXTH: In furtherance and not in limitation of the powers conferred upon it by the General Corporation Law of the State of Delaware, and subject to the terms of any series of Preferred Stock, the Board of Directors shall have the power to adopt, amend, alter or repeal the Bylaws of the Corporation by the affirmative vote of a majority of the directors present at any regular or special meeting of the Board of Directors at which a quorum is present. The stockholders may not adopt, amend, alter or repeal the Bylaws of the Corporation, or adopt any provision inconsistent therewith, unless such action is approved, in addition to any other vote required by this Certificate of Incorporation, by the affirmative vote of the holders of at least seventy-five percent (75%) of the votes that all the stockholders would be entitled to cast in an election of directors or class of directors. Notwithstanding any other provisions of law, this Certificate of Incorporation or the Bylaws of the Corporation, and notwithstanding the fact that a lesser percentage may be specified by law, the affirmative vote of the holders of at least seventy-five percent (75%) of the votes that all the stockholders would be entitled to cast in an election of directors or class of directors shall be required to amend or repeal, or to adopt any provision inconsistent with, this Article SIXTH.</w:t>
      </w:r>
    </w:p>
    <w:p>
      <w:pPr>
        <w:spacing w:after="0" w:line="18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SEVENTH: Except to the extent that the General Corporation Law of the State of Delaware prohibits the elimination or limitation of liability of directors for breaches of fiduciary duty, no director of the Corporation shall be personally liable to the Corporation or its stockholders for monetary damages for any breach of fiduciary duty as a director, notwithstanding any provision of law imposing such liability. No amendment to or repeal of this provision shall apply to or have any effect on the liability or alleged liability of any director of the Corporation for or with respect to any acts or omissions of such director occurring prior to such amendment or repeal. If the General Corporation Law of the State of Delaware is amended to permit further elimination or limitation of the personal liability of directors, then the liability of a director of the Corporation shall be eliminated or limited to the fullest extent permitted by the General Corporation Law of the State of Delaware as so amended.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EIGHTH: The Corporation shall provide indemnification and advancement of expenses as follows:</w:t>
      </w:r>
    </w:p>
    <w:p>
      <w:pPr>
        <w:spacing w:after="0" w:line="225" w:lineRule="exact"/>
        <w:rPr>
          <w:sz w:val="20"/>
          <w:szCs w:val="20"/>
          <w:color w:val="auto"/>
        </w:rPr>
      </w:pPr>
    </w:p>
    <w:p>
      <w:pPr>
        <w:ind w:right="40" w:firstLine="656"/>
        <w:spacing w:after="0" w:line="288" w:lineRule="auto"/>
        <w:tabs>
          <w:tab w:leader="none" w:pos="1368"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Actions, Suits and Proceedings Other than by or in the Right of the Corporation</w:t>
      </w:r>
      <w:r>
        <w:rPr>
          <w:rFonts w:ascii="Arial" w:cs="Arial" w:eastAsia="Arial" w:hAnsi="Arial"/>
          <w:sz w:val="16"/>
          <w:szCs w:val="16"/>
          <w:color w:val="auto"/>
        </w:rPr>
        <w:t>. The Corporation shall indemnify each person who was or is a party or threatened to be made a party to any threatened, pending or completed action, suit or proceeding, whether civil, criminal, administrative or investigative (other than an action by or in the right of the Corporation) by reason of the fact that he or she is or was, or has agreed to become, a director or officer of the Corporation, or is or was serving, or has agreed to serve, at the request of the Corporation, as a director, officer, partner, employee or trustee of, or in a similar capacity with, another corporation, partnership, joint venture, trust or other enterprise (including any employee benefit plan) (all such persons being referred to hereafter as an “Indemnitee”), or by reason of any action alleged to have been taken or omitted in such capacity, against all expenses (including attorneys’ fees), liabilities, losses, judgments, fines (including excise taxes and penalties arising under the Employee Retirement Income Security Act of 1974), and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Corporation, and, with respect to any criminal action or proceeding, had no reasonable cause to believe his 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jc w:val="both"/>
        <w:ind w:right="80"/>
        <w:spacing w:after="0" w:line="259" w:lineRule="auto"/>
        <w:rPr>
          <w:sz w:val="20"/>
          <w:szCs w:val="20"/>
          <w:color w:val="auto"/>
        </w:rPr>
      </w:pPr>
      <w:r>
        <w:rPr>
          <w:rFonts w:ascii="Arial" w:cs="Arial" w:eastAsia="Arial" w:hAnsi="Arial"/>
          <w:sz w:val="18"/>
          <w:szCs w:val="18"/>
          <w:color w:val="auto"/>
        </w:rPr>
        <w:t xml:space="preserve">her conduct was unlawful. The termination of any action, suit or proceeding by judgment, order, settlement, conviction or upon a plea of </w:t>
      </w:r>
      <w:r>
        <w:rPr>
          <w:rFonts w:ascii="Arial" w:cs="Arial" w:eastAsia="Arial" w:hAnsi="Arial"/>
          <w:sz w:val="18"/>
          <w:szCs w:val="18"/>
          <w:u w:val="single" w:color="auto"/>
          <w:color w:val="auto"/>
        </w:rPr>
        <w:t>nolo contendere</w:t>
      </w:r>
      <w:r>
        <w:rPr>
          <w:rFonts w:ascii="Arial" w:cs="Arial" w:eastAsia="Arial" w:hAnsi="Arial"/>
          <w:sz w:val="18"/>
          <w:szCs w:val="18"/>
          <w:color w:val="auto"/>
        </w:rPr>
        <w:t xml:space="preserve"> or its equivalent, shall not, of itself, create a presumption that Indemnitee did not act in good faith and in a manner which Indemnitee reasonably believed to be in, or not opposed to, the best interests of the Corporation, and, with respect to any criminal action or proceeding, had reasonable cause to believe that his or her conduct was unlawful.</w:t>
      </w:r>
    </w:p>
    <w:p>
      <w:pPr>
        <w:spacing w:after="0" w:line="187" w:lineRule="exact"/>
        <w:rPr>
          <w:sz w:val="20"/>
          <w:szCs w:val="20"/>
          <w:color w:val="auto"/>
        </w:rPr>
      </w:pPr>
    </w:p>
    <w:p>
      <w:pPr>
        <w:ind w:firstLine="656"/>
        <w:spacing w:after="0" w:line="287" w:lineRule="auto"/>
        <w:tabs>
          <w:tab w:leader="none" w:pos="1368"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Actions or Suits by or in the Right of the Corporation</w:t>
      </w:r>
      <w:r>
        <w:rPr>
          <w:rFonts w:ascii="Arial" w:cs="Arial" w:eastAsia="Arial" w:hAnsi="Arial"/>
          <w:sz w:val="16"/>
          <w:szCs w:val="16"/>
          <w:color w:val="auto"/>
        </w:rPr>
        <w:t>. The Corporation shall indemnify any Indemnitee who was or is a party to or threatened to be made a party to any threatened, pending or completed action or suit by or in the right of the Corporation to procure a judgment in its favor by reason of the fact that Indemnitee is or was, or has agreed to become, a director or officer of the Corporation, or is or was serving, or has agreed to serve, at the request of the Corporation, as a director, officer, partner, employee or trustee of, or in a similar capacity with, another corporation, partnership, joint venture, trust or other enterprise (including any employee benefit plan), or by reason of any action alleged to have been taken or omitted in such capacity, against all expenses (including attorneys’ fees) and, to the extent permitted by law,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Corporation, except that no indemnification shall be made under this Section 2 in respect of any claim, issue or matter as to which Indemnitee shall have been adjudged to be liable to the Corporation, unless, and only to the extent, that the Court of Chancery of Delaware or the court in which such action or suit was brought shall determine upon application that, despite the adjudication of such liability but in view of all the circumstances of the case, Indemnitee is fairly and reasonably entitled to indemnity for such expenses (including attorneys’ fees) which the Court of Chancery of Delaware or such other court shall deem proper.</w:t>
      </w:r>
    </w:p>
    <w:p>
      <w:pPr>
        <w:spacing w:after="0" w:line="168" w:lineRule="exact"/>
        <w:rPr>
          <w:rFonts w:ascii="Arial" w:cs="Arial" w:eastAsia="Arial" w:hAnsi="Arial"/>
          <w:sz w:val="16"/>
          <w:szCs w:val="16"/>
          <w:color w:val="auto"/>
        </w:rPr>
      </w:pPr>
    </w:p>
    <w:p>
      <w:pPr>
        <w:ind w:right="300" w:firstLine="656"/>
        <w:spacing w:after="0" w:line="274" w:lineRule="auto"/>
        <w:tabs>
          <w:tab w:leader="none" w:pos="1368"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Indemnification for Expenses of Successful Party</w:t>
      </w:r>
      <w:r>
        <w:rPr>
          <w:rFonts w:ascii="Arial" w:cs="Arial" w:eastAsia="Arial" w:hAnsi="Arial"/>
          <w:sz w:val="17"/>
          <w:szCs w:val="17"/>
          <w:color w:val="auto"/>
        </w:rPr>
        <w:t>. Notwithstanding any other provisions of this Article EIGHTH, to the extent that an Indemnitee has been successful, on the merits or otherwise, in defense of any action, suit or proceeding referred to in Sections 1 and 2 of this</w:t>
      </w:r>
    </w:p>
    <w:p>
      <w:pPr>
        <w:ind w:right="20"/>
        <w:spacing w:after="0" w:line="288" w:lineRule="auto"/>
        <w:rPr>
          <w:rFonts w:ascii="Arial" w:cs="Arial" w:eastAsia="Arial" w:hAnsi="Arial"/>
          <w:sz w:val="17"/>
          <w:szCs w:val="17"/>
          <w:color w:val="auto"/>
        </w:rPr>
      </w:pPr>
      <w:r>
        <w:rPr>
          <w:rFonts w:ascii="Arial" w:cs="Arial" w:eastAsia="Arial" w:hAnsi="Arial"/>
          <w:sz w:val="16"/>
          <w:szCs w:val="16"/>
          <w:color w:val="auto"/>
        </w:rPr>
        <w:t xml:space="preserve">Article EIGHTH, or in defense of any claim, issue or matter therein, or on appeal from any such action, suit or proceeding, Indemnitee shall be indemnified against all expenses (including attorneys’ fees) actually and reasonably incurred by or on behalf of Indemnitee in connection therewith. Without limiting the foregoing, if any action, suit or proceeding is disposed of, on the merits or otherwise (including a disposition without prejudice), without (i) the disposition being adverse to Indemnitee, (ii) an adjudication that Indemnitee was liable to the Corporation, (iii) a plea of guilty or </w:t>
      </w:r>
      <w:r>
        <w:rPr>
          <w:rFonts w:ascii="Arial" w:cs="Arial" w:eastAsia="Arial" w:hAnsi="Arial"/>
          <w:sz w:val="16"/>
          <w:szCs w:val="16"/>
          <w:u w:val="single" w:color="auto"/>
          <w:color w:val="auto"/>
        </w:rPr>
        <w:t>nolo contendere</w:t>
      </w:r>
      <w:r>
        <w:rPr>
          <w:rFonts w:ascii="Arial" w:cs="Arial" w:eastAsia="Arial" w:hAnsi="Arial"/>
          <w:sz w:val="16"/>
          <w:szCs w:val="16"/>
          <w:color w:val="auto"/>
        </w:rPr>
        <w:t xml:space="preserve"> by Indemnitee, (iv) an adjudication that Indemnitee did not act in good faith and in a manner he or she reasonably believed to be in or not opposed to the best interests of the Corporation, and (v) with respect to any criminal proceeding, an adjudication that Indemnitee had reasonable cause to believe his or her conduct was unlawful, Indemnitee shall be considered for the purposes hereof to have been wholly successful with respect thereto.</w:t>
      </w:r>
    </w:p>
    <w:p>
      <w:pPr>
        <w:spacing w:after="0" w:line="168" w:lineRule="exact"/>
        <w:rPr>
          <w:rFonts w:ascii="Arial" w:cs="Arial" w:eastAsia="Arial" w:hAnsi="Arial"/>
          <w:sz w:val="17"/>
          <w:szCs w:val="17"/>
          <w:color w:val="auto"/>
        </w:rPr>
      </w:pPr>
    </w:p>
    <w:p>
      <w:pPr>
        <w:jc w:val="both"/>
        <w:ind w:right="60" w:firstLine="656"/>
        <w:spacing w:after="0" w:line="259" w:lineRule="auto"/>
        <w:tabs>
          <w:tab w:leader="none" w:pos="1368"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Notification and Defense of Claim</w:t>
      </w:r>
      <w:r>
        <w:rPr>
          <w:rFonts w:ascii="Arial" w:cs="Arial" w:eastAsia="Arial" w:hAnsi="Arial"/>
          <w:sz w:val="18"/>
          <w:szCs w:val="18"/>
          <w:color w:val="auto"/>
        </w:rPr>
        <w:t>. As a condition precedent to an Indemnitee’s right to be indemnified, such Indemnitee must notify the Corporation in writing as soon as practicable of any action, suit, proceeding or investigation involving such Indemnitee for which indemnity will or could be sought. With respect to any action, suit, proceeding or investigation of which the Corporation is so notified, the Corporation will be entitled to participate therein at</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9" w:name="page10"/>
    <w:bookmarkEnd w:id="9"/>
    <w:p>
      <w:pPr>
        <w:spacing w:after="0" w:line="268" w:lineRule="auto"/>
        <w:rPr>
          <w:sz w:val="20"/>
          <w:szCs w:val="20"/>
          <w:color w:val="auto"/>
        </w:rPr>
      </w:pPr>
      <w:r>
        <w:rPr>
          <w:rFonts w:ascii="Arial" w:cs="Arial" w:eastAsia="Arial" w:hAnsi="Arial"/>
          <w:sz w:val="17"/>
          <w:szCs w:val="17"/>
          <w:color w:val="auto"/>
        </w:rPr>
        <w:t>its own expense and/or to assume the defense thereof at its own expense, with legal counsel reasonably acceptable to Indemnitee. After notice from the Corporation to Indemnitee of its election so to assume such defense, the Corporation shall not be liable to Indemnitee for any legal or other expenses subsequently incurred by Indemnitee in connection with such action, suit, proceeding or investigation, other than as provided below in this Section 4. Indemnitee shall have the right to employ his or her own counsel in connection with such action, suit, proceeding or investigation, but the fees and expenses of such counsel incurred after notice from the Corporation of its assumption of the defense thereof shall be at the expense of Indemnitee unless (i) the employment of counsel by Indemnitee has been authorized by the Corporation, (ii) counsel to Indemnitee shall have reasonably concluded that there may be a conflict of interest or position on any significant issue between the Corporation and Indemnitee in the conduct of the defense of such action, suit, proceeding or investigation or (iii) the Corporation shall not in fact have employed counsel to assume the defense of such action, suit, proceeding or investigation, in each of which cases the fees and expenses of counsel for Indemnitee shall be at the expense of the Corporation, except as otherwise expressly provided by this Article EIGHTH. The Corporation shall not be entitled, without the consent of Indemnitee, to assume the defense of any claim brought by or in the right of the Corporation or as to which counsel for Indemnitee shall have reasonably made the conclusion provided for in clause (ii) above. The Corporation shall not be required to indemnify Indemnitee under this Article EIGHTH for any amounts paid in settlement of any action, suit, proceeding or investigation effected without its written consent. The Corporation shall not settle any action, suit, proceeding or investigation in any manner which would impose any penalty or limitation on Indemnitee without Indemnitee’s written consent. Neither the Corporation nor Indemnitee will unreasonably withhold or delay its consent to any proposed settlement.</w:t>
      </w:r>
    </w:p>
    <w:p>
      <w:pPr>
        <w:spacing w:after="0" w:line="183" w:lineRule="exact"/>
        <w:rPr>
          <w:sz w:val="20"/>
          <w:szCs w:val="20"/>
          <w:color w:val="auto"/>
        </w:rPr>
      </w:pPr>
    </w:p>
    <w:p>
      <w:pPr>
        <w:ind w:right="80" w:firstLine="656"/>
        <w:spacing w:after="0" w:line="253" w:lineRule="auto"/>
        <w:tabs>
          <w:tab w:leader="none" w:pos="1368"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Advancement of Expenses</w:t>
      </w:r>
      <w:r>
        <w:rPr>
          <w:rFonts w:ascii="Arial" w:cs="Arial" w:eastAsia="Arial" w:hAnsi="Arial"/>
          <w:sz w:val="18"/>
          <w:szCs w:val="18"/>
          <w:color w:val="auto"/>
        </w:rPr>
        <w:t xml:space="preserve">. Subject to the provisions of Section 6 of this Article EIGHTH, in the event of any threatened or pending action, suit, proceeding or investigation of which the Corporation receives notice under this Article EIGHTH, any expenses (including attorneys’ fees) incurred by or on behalf of Indemnitee in defending an action, suit, proceeding or investigation or any appeal therefrom shall be paid by the Corporation in advance of the final disposition of such matter;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payment of such expenses incurred by or on behalf of Indemnitee in advance of the final disposition of such matter shall be made only upon receipt of an undertaking by or on behalf of Indemnitee to repay all amounts so advanced in the event that it shall ultimately be determined by final judicial decision from which there is no further right to appeal that Indemnitee is not entitled to be indemnified by the Corporation as authorized in this Article EIGHTH;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no such advancement of expenses shall be made under this Article EIGHTH if it is determined (in the manner described in Section 6) that (i) Indemnitee did not act in good faith and in a manner he or she reasonably believed to be in, or not opposed to, the best interests of the Corporation, or (ii) with respect to any criminal action or proceeding, Indemnitee had reasonable cause to believe his or her conduct was unlawful. Such undertaking shall be accepted without reference to the financial ability of Indemnitee to make such repayment.</w:t>
      </w:r>
    </w:p>
    <w:p>
      <w:pPr>
        <w:spacing w:after="0" w:line="192" w:lineRule="exact"/>
        <w:rPr>
          <w:rFonts w:ascii="Arial" w:cs="Arial" w:eastAsia="Arial" w:hAnsi="Arial"/>
          <w:sz w:val="18"/>
          <w:szCs w:val="18"/>
          <w:color w:val="auto"/>
        </w:rPr>
      </w:pPr>
    </w:p>
    <w:p>
      <w:pPr>
        <w:ind w:right="80" w:firstLine="656"/>
        <w:spacing w:after="0" w:line="264" w:lineRule="auto"/>
        <w:tabs>
          <w:tab w:leader="none" w:pos="1368"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Procedure for Indemnification and Advancement of Expenses</w:t>
      </w:r>
      <w:r>
        <w:rPr>
          <w:rFonts w:ascii="Arial" w:cs="Arial" w:eastAsia="Arial" w:hAnsi="Arial"/>
          <w:sz w:val="18"/>
          <w:szCs w:val="18"/>
          <w:color w:val="auto"/>
        </w:rPr>
        <w:t>. In order to obtain indemnification or advancement of expenses pursuant to Section 1, 2, 3 or 5 of this Article EIGHTH, an Indemnitee shall submit to the Corporation a written request. Any such advancement of expenses shall be made promptly, and in any event within 60 days after receipt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 w:name="page11"/>
    <w:bookmarkEnd w:id="10"/>
    <w:p>
      <w:pPr>
        <w:ind w:right="40"/>
        <w:spacing w:after="0" w:line="269" w:lineRule="auto"/>
        <w:rPr>
          <w:sz w:val="20"/>
          <w:szCs w:val="20"/>
          <w:color w:val="auto"/>
        </w:rPr>
      </w:pPr>
      <w:r>
        <w:rPr>
          <w:rFonts w:ascii="Arial" w:cs="Arial" w:eastAsia="Arial" w:hAnsi="Arial"/>
          <w:sz w:val="17"/>
          <w:szCs w:val="17"/>
          <w:color w:val="auto"/>
        </w:rPr>
        <w:t>by the Corporation of the written request of Indemnitee, unless (i) the Corporation has assumed the defense pursuant to Section 4 of this Article EIGHTH (and none of the circumstances described in Section 4 of this Article EIGHTH that would nonetheless entitle the Indemnitee to indemnification for the fees and expenses of separate counsel have occurred) or (ii) the Corporation determines within such 60-day period that Indemnitee did not meet the applicable standard of conduct set forth in Section 1, 2 or 5 of this Article EIGHTH, as the case may be. Any such indemnification, unless ordered by a court, shall be made with respect to requests under Section 1 or 2 of this Article EIGHTH only as authorized in the specific case upon a determination by the Corporation that the indemnification of Indemnitee is proper because Indemnitee has met the applicable standard of conduct set forth in Section 1 or 2, as the case may be. Such determination shall be made in each instance (a) by a majority vote of the directors of the Corporation consisting of persons who are not at that time parties to the action, suit or proceeding in question (“disinterested directors”), whether or not a quorum, (b) by a committee of disinterested directors designated by majority vote of disinterested directors, whether or not a quorum, (c) if there are no disinterested directors, or if the disinterested directors so direct, by independent legal counsel (who may, to the extent permitted by law, be regular legal counsel to the Corporation) in a written opinion, or (d) by the stockholders of the Corporation.</w:t>
      </w:r>
    </w:p>
    <w:p>
      <w:pPr>
        <w:spacing w:after="0" w:line="183" w:lineRule="exact"/>
        <w:rPr>
          <w:sz w:val="20"/>
          <w:szCs w:val="20"/>
          <w:color w:val="auto"/>
        </w:rPr>
      </w:pPr>
    </w:p>
    <w:p>
      <w:pPr>
        <w:ind w:right="40" w:firstLine="656"/>
        <w:spacing w:after="0" w:line="269" w:lineRule="auto"/>
        <w:tabs>
          <w:tab w:leader="none" w:pos="1368"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Subject to Article TWELFTH, the right to indemnification or advancement of expenses as granted by this Article EIGHTH shall be enforceable by Indemnitee in any court of competent jurisdiction. Neither the failure of the Corporation to have made a determination prior to the commencement of such action that indemnification is proper in the circumstances because Indemnitee has met the applicable standard of conduct, nor an actual determination by the Corporation pursuant to Section 6 of this Article EIGHTH that Indemnitee has not met such applicable standard of conduct, shall be a defense to the action or create a presumption that Indemnitee has not met the applicable standard of conduct. In any suit brought by Indemnitee to enforce a right to indemnification or advancement of expenses, or brought by the Corporation to recover an advancement of expenses pursuant to the terms of an undertaking, the Corporation shall have the burden of proving that Indemnitee is not entitled to be indemnified, or to such advancement of expenses, under this Article EIGHTH. Indemnitee’s expenses (including attorneys’ fees) reasonably incurred in connection with successfully establishing Indemnitee’s right to indemnification or advancement of expenses, in whole or in part, in any such proceeding shall also be indemnified by the Corporation to the fullest extent permitted by applicable law. Notwithstanding the foregoing, in any suit brought by Indemnitee to enforce a right to indemnification or advancement of expenses hereunder it shall be a defense that the Indemnitee has not met any applicable standard for indemnification set forth in the General Corporation Law of the State of Delaware.</w:t>
      </w:r>
    </w:p>
    <w:p>
      <w:pPr>
        <w:spacing w:after="0" w:line="179" w:lineRule="exact"/>
        <w:rPr>
          <w:rFonts w:ascii="Arial" w:cs="Arial" w:eastAsia="Arial" w:hAnsi="Arial"/>
          <w:sz w:val="17"/>
          <w:szCs w:val="17"/>
          <w:color w:val="auto"/>
        </w:rPr>
      </w:pPr>
    </w:p>
    <w:p>
      <w:pPr>
        <w:ind w:right="20" w:firstLine="656"/>
        <w:spacing w:after="0" w:line="288" w:lineRule="auto"/>
        <w:tabs>
          <w:tab w:leader="none" w:pos="1368"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Limitations</w:t>
      </w:r>
      <w:r>
        <w:rPr>
          <w:rFonts w:ascii="Arial" w:cs="Arial" w:eastAsia="Arial" w:hAnsi="Arial"/>
          <w:sz w:val="16"/>
          <w:szCs w:val="16"/>
          <w:color w:val="auto"/>
        </w:rPr>
        <w:t>. Notwithstanding anything to the contrary in this Article EIGHTH, except as set forth in Section 7 of this Article EIGHTH, the Corporation shall not indemnify, or advance expenses to, an Indemnitee pursuant to this Article EIGHTH in connection with a proceeding (or part thereof) initiated by such Indemnitee unless the initiation thereof was approved by the Board of Directors. Notwithstanding anything to the contrary in this</w:t>
      </w:r>
    </w:p>
    <w:p>
      <w:pPr>
        <w:ind w:right="20"/>
        <w:spacing w:after="0" w:line="255" w:lineRule="auto"/>
        <w:rPr>
          <w:rFonts w:ascii="Arial" w:cs="Arial" w:eastAsia="Arial" w:hAnsi="Arial"/>
          <w:sz w:val="16"/>
          <w:szCs w:val="16"/>
          <w:color w:val="auto"/>
        </w:rPr>
      </w:pPr>
      <w:r>
        <w:rPr>
          <w:rFonts w:ascii="Arial" w:cs="Arial" w:eastAsia="Arial" w:hAnsi="Arial"/>
          <w:sz w:val="18"/>
          <w:szCs w:val="18"/>
          <w:color w:val="auto"/>
        </w:rPr>
        <w:t>Article EIGHTH, the Corporation shall not indemnify or advance expenses to an Indemnitee to the extent such Indemnitee is reimbursed from the proceeds of insurance, and in the event the Corporation makes any indemnification or advancement payments to an Indemnitee and such Indemnitee is subsequently reimbursed from the proceeds of insurance, such Indemnitee shall</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promptly refund indemnification or advancement payments to the Corporation to the extent of such insurance reimbursement.</w:t>
      </w:r>
    </w:p>
    <w:p>
      <w:pPr>
        <w:spacing w:after="0" w:line="225" w:lineRule="exact"/>
        <w:rPr>
          <w:sz w:val="20"/>
          <w:szCs w:val="20"/>
          <w:color w:val="auto"/>
        </w:rPr>
      </w:pPr>
    </w:p>
    <w:p>
      <w:pPr>
        <w:ind w:right="80" w:firstLine="656"/>
        <w:spacing w:after="0" w:line="279" w:lineRule="auto"/>
        <w:tabs>
          <w:tab w:leader="none" w:pos="1368"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Subsequent Amendment</w:t>
      </w:r>
      <w:r>
        <w:rPr>
          <w:rFonts w:ascii="Arial" w:cs="Arial" w:eastAsia="Arial" w:hAnsi="Arial"/>
          <w:sz w:val="17"/>
          <w:szCs w:val="17"/>
          <w:color w:val="auto"/>
        </w:rPr>
        <w:t>. No amendment, termination or repeal of this Article EIGHTH or of the relevant provisions of the General Corporation Law of the State of Delaware or any other applicable laws shall adversely affect or diminish in any way the rights of any Indemnitee to indemnification or advancement of expenses under the provisions hereof with respect to any action, suit, proceeding or investigation arising out of or relating to any actions, transactions or facts occurring prior to the final adoption of such amendment, termination or repeal.</w:t>
      </w:r>
    </w:p>
    <w:p>
      <w:pPr>
        <w:spacing w:after="0" w:line="171" w:lineRule="exact"/>
        <w:rPr>
          <w:rFonts w:ascii="Arial" w:cs="Arial" w:eastAsia="Arial" w:hAnsi="Arial"/>
          <w:sz w:val="17"/>
          <w:szCs w:val="17"/>
          <w:color w:val="auto"/>
        </w:rPr>
      </w:pPr>
    </w:p>
    <w:p>
      <w:pPr>
        <w:ind w:firstLine="656"/>
        <w:spacing w:after="0" w:line="270" w:lineRule="auto"/>
        <w:tabs>
          <w:tab w:leader="none" w:pos="1323"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Other Rights</w:t>
      </w:r>
      <w:r>
        <w:rPr>
          <w:rFonts w:ascii="Arial" w:cs="Arial" w:eastAsia="Arial" w:hAnsi="Arial"/>
          <w:sz w:val="17"/>
          <w:szCs w:val="17"/>
          <w:color w:val="auto"/>
        </w:rPr>
        <w:t>. The indemnification and advancement of expenses provided by this Article EIGHTH shall not be deemed exclusive of any other rights to which an Indemnitee seeking indemnification or advancement of expenses may be entitled under any law (common or statutory), agreement or vote of stockholders or disinterested directors or otherwise, both as to action in Indemnitee’s official capacity and as to action in any other capacity while holding office for the Corporation, and shall continue as to an Indemnitee who has ceased to be a director or officer, and shall inure to the benefit of the estate, heirs, executors and administrators of Indemnitee. Nothing contained in this Article EIGHTH shall be deemed to prohibit, and the Corporation is specifically authorized to enter into, agreements with officers and directors providing indemnification and advancement rights and procedures different from those set forth in this Article EIGHTH. In addition, the Corporation may, to the extent authorized from time to time by its Board of Directors, grant indemnification and advancement rights to other employees or agents of the Corporation or other persons serving the Corporation and such rights may be equivalent to, or greater or less than, those set forth in this Article EIGHTH.</w:t>
      </w:r>
    </w:p>
    <w:p>
      <w:pPr>
        <w:spacing w:after="0" w:line="181" w:lineRule="exact"/>
        <w:rPr>
          <w:rFonts w:ascii="Arial" w:cs="Arial" w:eastAsia="Arial" w:hAnsi="Arial"/>
          <w:sz w:val="17"/>
          <w:szCs w:val="17"/>
          <w:color w:val="auto"/>
        </w:rPr>
      </w:pPr>
    </w:p>
    <w:p>
      <w:pPr>
        <w:ind w:right="20" w:firstLine="656"/>
        <w:spacing w:after="0" w:line="293" w:lineRule="auto"/>
        <w:tabs>
          <w:tab w:leader="none" w:pos="1317"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Partial Indemnification</w:t>
      </w:r>
      <w:r>
        <w:rPr>
          <w:rFonts w:ascii="Arial" w:cs="Arial" w:eastAsia="Arial" w:hAnsi="Arial"/>
          <w:sz w:val="16"/>
          <w:szCs w:val="16"/>
          <w:color w:val="auto"/>
        </w:rPr>
        <w:t>. If an Indemnitee is entitled under any provision of this Article EIGHTH to indemnification by the Corporation for some or a portion of the expenses (including attorneys’ fees), liabilities, losses, judgments, fines (including excise taxes and penalties arising under the Employee Retirement Income Security Act of 1974) or amounts paid in settlement actually and reasonably incurred by or on behalf of Indemnitee in connection with any action, suit, proceeding or investigation and any appeal therefrom but not, however, for the total amount thereof, the Corporation shall nevertheless indemnify Indemnitee for the portion of such expenses (including attorneys’ fees), liabilities, losses, judgments, fines (including excise taxes and penalties arising under the Employee Retirement Income Security Act of 1974) or amounts paid in settlement to which Indemnitee is entitled.</w:t>
      </w:r>
    </w:p>
    <w:p>
      <w:pPr>
        <w:spacing w:after="0" w:line="164" w:lineRule="exact"/>
        <w:rPr>
          <w:rFonts w:ascii="Arial" w:cs="Arial" w:eastAsia="Arial" w:hAnsi="Arial"/>
          <w:sz w:val="16"/>
          <w:szCs w:val="16"/>
          <w:color w:val="auto"/>
        </w:rPr>
      </w:pPr>
    </w:p>
    <w:p>
      <w:pPr>
        <w:ind w:right="40" w:firstLine="656"/>
        <w:spacing w:after="0" w:line="279" w:lineRule="auto"/>
        <w:tabs>
          <w:tab w:leader="none" w:pos="1323"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The Corporation may purchase and maintain insurance, at its expense, to protect itself and any director, officer, employee or agent of the Corporation or another corporation, partnership, joint venture, trust or other enterprise (including any employee benefit plan) against any expense, liability or loss incurred by him or her in any such capacity, or arising out of his or her status as such, whether or not the Corporation would have the power to indemnify such person against such expense, liability or loss under the General Corporation Law of the State of Delaware.</w:t>
      </w:r>
    </w:p>
    <w:p>
      <w:pPr>
        <w:spacing w:after="0" w:line="171" w:lineRule="exact"/>
        <w:rPr>
          <w:rFonts w:ascii="Arial" w:cs="Arial" w:eastAsia="Arial" w:hAnsi="Arial"/>
          <w:sz w:val="17"/>
          <w:szCs w:val="17"/>
          <w:color w:val="auto"/>
        </w:rPr>
      </w:pPr>
    </w:p>
    <w:p>
      <w:pPr>
        <w:ind w:right="220" w:firstLine="656"/>
        <w:spacing w:after="0" w:line="277" w:lineRule="auto"/>
        <w:tabs>
          <w:tab w:leader="none" w:pos="1323"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Savings Clause</w:t>
      </w:r>
      <w:r>
        <w:rPr>
          <w:rFonts w:ascii="Arial" w:cs="Arial" w:eastAsia="Arial" w:hAnsi="Arial"/>
          <w:sz w:val="18"/>
          <w:szCs w:val="18"/>
          <w:color w:val="auto"/>
        </w:rPr>
        <w:t>. If this Article EIGHTH or any portion hereof shall be invalidated on any ground by any court of competent jurisdiction, then the Corporation shall nevertheless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spacing w:after="0" w:line="279" w:lineRule="auto"/>
        <w:rPr>
          <w:sz w:val="20"/>
          <w:szCs w:val="20"/>
          <w:color w:val="auto"/>
        </w:rPr>
      </w:pPr>
      <w:r>
        <w:rPr>
          <w:rFonts w:ascii="Arial" w:cs="Arial" w:eastAsia="Arial" w:hAnsi="Arial"/>
          <w:sz w:val="17"/>
          <w:szCs w:val="17"/>
          <w:color w:val="auto"/>
        </w:rPr>
        <w:t>indemnify each Indemnitee as to any expenses (including attorneys’ fees), liabilities, losses, judgments, fines (including excise taxes and penalties arising under the Employee Retirement Income Security Act of 1974) and amounts paid in settlement in connection with any action, suit, proceeding or investigation, whether civil, criminal or administrative, including an action by or in the right of the Corporation, to the fullest extent permitted by any applicable portion of this Article EIGHTH that shall not have been invalidated and to the fullest extent permitted by applicable law.</w:t>
      </w:r>
    </w:p>
    <w:p>
      <w:pPr>
        <w:spacing w:after="0" w:line="171" w:lineRule="exact"/>
        <w:rPr>
          <w:sz w:val="20"/>
          <w:szCs w:val="20"/>
          <w:color w:val="auto"/>
        </w:rPr>
      </w:pPr>
    </w:p>
    <w:p>
      <w:pPr>
        <w:ind w:right="120" w:firstLine="656"/>
        <w:spacing w:after="0" w:line="277" w:lineRule="auto"/>
        <w:tabs>
          <w:tab w:leader="none" w:pos="1323"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Terms used herein and defined in Section 145(h) and Section 145(i) of the General Corporation Law of the State of Delaware shall have the respective meanings assigned to such terms in such Section 145(h) and Section 145(i).</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NINTH: This Article NINTH is inserted for the management of the business and for the conduct of the affairs of the Corporation.</w:t>
      </w:r>
    </w:p>
    <w:p>
      <w:pPr>
        <w:spacing w:after="0" w:line="225" w:lineRule="exact"/>
        <w:rPr>
          <w:sz w:val="20"/>
          <w:szCs w:val="20"/>
          <w:color w:val="auto"/>
        </w:rPr>
      </w:pPr>
    </w:p>
    <w:p>
      <w:pPr>
        <w:ind w:left="1380" w:hanging="724"/>
        <w:spacing w:after="0"/>
        <w:tabs>
          <w:tab w:leader="none" w:pos="138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General Powers</w:t>
      </w:r>
      <w:r>
        <w:rPr>
          <w:rFonts w:ascii="Arial" w:cs="Arial" w:eastAsia="Arial" w:hAnsi="Arial"/>
          <w:sz w:val="17"/>
          <w:szCs w:val="17"/>
          <w:color w:val="auto"/>
        </w:rPr>
        <w:t>. The business and affairs of the Corporation shall be managed by or under the direction of the Board of Directors.</w:t>
      </w:r>
    </w:p>
    <w:p>
      <w:pPr>
        <w:spacing w:after="0" w:line="236" w:lineRule="exact"/>
        <w:rPr>
          <w:rFonts w:ascii="Arial" w:cs="Arial" w:eastAsia="Arial" w:hAnsi="Arial"/>
          <w:sz w:val="17"/>
          <w:szCs w:val="17"/>
          <w:color w:val="auto"/>
        </w:rPr>
      </w:pPr>
    </w:p>
    <w:p>
      <w:pPr>
        <w:jc w:val="both"/>
        <w:ind w:right="100" w:firstLine="656"/>
        <w:spacing w:after="0" w:line="264" w:lineRule="auto"/>
        <w:tabs>
          <w:tab w:leader="none" w:pos="1368"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Number of Directors; Election of Directors</w:t>
      </w:r>
      <w:r>
        <w:rPr>
          <w:rFonts w:ascii="Arial" w:cs="Arial" w:eastAsia="Arial" w:hAnsi="Arial"/>
          <w:sz w:val="18"/>
          <w:szCs w:val="18"/>
          <w:color w:val="auto"/>
        </w:rPr>
        <w:t>. Subject to the rights of holders of any series of Preferred Stock to elect directors, the number of directors of the Corporation shall be established from time to time by the Board of Directors. Election of directors need not be by written ballot, except as and to the extent provided in the Bylaws of the Corporation.</w:t>
      </w:r>
    </w:p>
    <w:p>
      <w:pPr>
        <w:spacing w:after="0" w:line="181" w:lineRule="exact"/>
        <w:rPr>
          <w:rFonts w:ascii="Arial" w:cs="Arial" w:eastAsia="Arial" w:hAnsi="Arial"/>
          <w:sz w:val="18"/>
          <w:szCs w:val="18"/>
          <w:color w:val="auto"/>
        </w:rPr>
      </w:pPr>
    </w:p>
    <w:p>
      <w:pPr>
        <w:jc w:val="both"/>
        <w:ind w:right="80" w:firstLine="656"/>
        <w:spacing w:after="0" w:line="259" w:lineRule="auto"/>
        <w:tabs>
          <w:tab w:leader="none" w:pos="1368"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Classes of Directors</w:t>
      </w:r>
      <w:r>
        <w:rPr>
          <w:rFonts w:ascii="Arial" w:cs="Arial" w:eastAsia="Arial" w:hAnsi="Arial"/>
          <w:sz w:val="18"/>
          <w:szCs w:val="18"/>
          <w:color w:val="auto"/>
        </w:rPr>
        <w:t>. Subject to the rights of holders of any series of Preferred Stock to elect directors, the Board of Directors shall be and is divided into three classes, designated Class I, Class II and Class III. Each class shall consist, as nearly as may be possible, of one-third of the total number of directors constituting the entire Board of Directors. The Board of Directors is authorized to assign members of the Board of Directors already in office to Class I, Class II or Class III at the time such classification becomes effective.</w:t>
      </w:r>
    </w:p>
    <w:p>
      <w:pPr>
        <w:spacing w:after="0" w:line="186" w:lineRule="exact"/>
        <w:rPr>
          <w:rFonts w:ascii="Arial" w:cs="Arial" w:eastAsia="Arial" w:hAnsi="Arial"/>
          <w:sz w:val="18"/>
          <w:szCs w:val="18"/>
          <w:color w:val="auto"/>
        </w:rPr>
      </w:pPr>
    </w:p>
    <w:p>
      <w:pPr>
        <w:ind w:firstLine="656"/>
        <w:spacing w:after="0" w:line="254" w:lineRule="auto"/>
        <w:tabs>
          <w:tab w:leader="none" w:pos="1368"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Terms of Office</w:t>
      </w:r>
      <w:r>
        <w:rPr>
          <w:rFonts w:ascii="Arial" w:cs="Arial" w:eastAsia="Arial" w:hAnsi="Arial"/>
          <w:sz w:val="18"/>
          <w:szCs w:val="18"/>
          <w:color w:val="auto"/>
        </w:rPr>
        <w:t xml:space="preserve">. Subject to the rights of holders of any series of Preferred Stock to elect directors, each director shall serve for a term ending on the date of the third annual meeting of stockholders following the annual meeting of stockholders at which such director was elected;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director initially assigned to Class I shall serve for a term expiring at the Corporation’s first annual meeting of stockholders held after the effectiveness of this Restated Certificate of Incorporation; each director initially assigned to Class II shall serve for a term expiring at the Corporation’s second annual meeting of stockholders held after the effectiveness of this Restated Certificate of Incorporation; and each director initially assigned to Class III shall serve for a term expiring at the Corporation’s third annual meeting of stockholders held after the effectiveness of this Restated Certificate of Incorporation;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term of each director shall continue until the election and qualification of his or her successor and be subject to his or her earlier death, resignation or removal.</w:t>
      </w:r>
    </w:p>
    <w:p>
      <w:pPr>
        <w:spacing w:after="0" w:line="192" w:lineRule="exact"/>
        <w:rPr>
          <w:rFonts w:ascii="Arial" w:cs="Arial" w:eastAsia="Arial" w:hAnsi="Arial"/>
          <w:sz w:val="18"/>
          <w:szCs w:val="18"/>
          <w:color w:val="auto"/>
        </w:rPr>
      </w:pPr>
    </w:p>
    <w:p>
      <w:pPr>
        <w:ind w:right="100" w:firstLine="656"/>
        <w:spacing w:after="0" w:line="264" w:lineRule="auto"/>
        <w:tabs>
          <w:tab w:leader="none" w:pos="1368"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Quorum</w:t>
      </w:r>
      <w:r>
        <w:rPr>
          <w:rFonts w:ascii="Arial" w:cs="Arial" w:eastAsia="Arial" w:hAnsi="Arial"/>
          <w:sz w:val="18"/>
          <w:szCs w:val="18"/>
          <w:color w:val="auto"/>
        </w:rPr>
        <w:t>. The greater of (a) a majority of the directors at any time in office and (b) one-third of the number of directors fixed pursuant to Section 2 of this Article NINTH shall constitute a quorum of the Board of Directors. If at any meeting of the Board of Directors there shall be less than such a quorum, a majority of the directors present may adjourn the meeting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from time to time without further notice other than announcement at the meeting, until a quorum shall be present.</w:t>
      </w:r>
    </w:p>
    <w:p>
      <w:pPr>
        <w:spacing w:after="0" w:line="225" w:lineRule="exact"/>
        <w:rPr>
          <w:sz w:val="20"/>
          <w:szCs w:val="20"/>
          <w:color w:val="auto"/>
        </w:rPr>
      </w:pPr>
    </w:p>
    <w:p>
      <w:pPr>
        <w:ind w:right="120" w:firstLine="656"/>
        <w:spacing w:after="0" w:line="342" w:lineRule="auto"/>
        <w:tabs>
          <w:tab w:leader="none" w:pos="1368"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Action at Meeting</w:t>
      </w:r>
      <w:r>
        <w:rPr>
          <w:rFonts w:ascii="Arial" w:cs="Arial" w:eastAsia="Arial" w:hAnsi="Arial"/>
          <w:sz w:val="16"/>
          <w:szCs w:val="16"/>
          <w:color w:val="auto"/>
        </w:rPr>
        <w:t>. Every act or decision done or made by a majority of the directors present at a meeting duly held at which a quorum is present shall be regarded as the act of the Board of Directors unless a greater number is required by law or by this Certificate of Incorporation.</w:t>
      </w:r>
    </w:p>
    <w:p>
      <w:pPr>
        <w:spacing w:after="0" w:line="123" w:lineRule="exact"/>
        <w:rPr>
          <w:rFonts w:ascii="Arial" w:cs="Arial" w:eastAsia="Arial" w:hAnsi="Arial"/>
          <w:sz w:val="16"/>
          <w:szCs w:val="16"/>
          <w:color w:val="auto"/>
        </w:rPr>
      </w:pPr>
    </w:p>
    <w:p>
      <w:pPr>
        <w:ind w:firstLine="656"/>
        <w:spacing w:after="0" w:line="264" w:lineRule="auto"/>
        <w:tabs>
          <w:tab w:leader="none" w:pos="1368"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Removal</w:t>
      </w:r>
      <w:r>
        <w:rPr>
          <w:rFonts w:ascii="Arial" w:cs="Arial" w:eastAsia="Arial" w:hAnsi="Arial"/>
          <w:sz w:val="18"/>
          <w:szCs w:val="18"/>
          <w:color w:val="auto"/>
        </w:rPr>
        <w:t>. Subject to the rights of holders of any series of Preferred Stock, directors of the Corporation may be removed only for cause and only by the affirmative vote of the holders of at least seventy-five percent (75%) of the votes that all the stockholders would be entitled to cast in an election of directors or class of directors.</w:t>
      </w:r>
    </w:p>
    <w:p>
      <w:pPr>
        <w:spacing w:after="0" w:line="181" w:lineRule="exact"/>
        <w:rPr>
          <w:rFonts w:ascii="Arial" w:cs="Arial" w:eastAsia="Arial" w:hAnsi="Arial"/>
          <w:sz w:val="18"/>
          <w:szCs w:val="18"/>
          <w:color w:val="auto"/>
        </w:rPr>
      </w:pPr>
    </w:p>
    <w:p>
      <w:pPr>
        <w:ind w:right="140" w:firstLine="656"/>
        <w:spacing w:after="0" w:line="257" w:lineRule="auto"/>
        <w:tabs>
          <w:tab w:leader="none" w:pos="1368"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Vacancies</w:t>
      </w:r>
      <w:r>
        <w:rPr>
          <w:rFonts w:ascii="Arial" w:cs="Arial" w:eastAsia="Arial" w:hAnsi="Arial"/>
          <w:sz w:val="18"/>
          <w:szCs w:val="18"/>
          <w:color w:val="auto"/>
        </w:rPr>
        <w:t>. Subject to the rights of holders of any series of Preferred Stock, any vacancies or newly-created directorships on the Board of Directors, however occurring, shall be filled only by vote of a majority of the directors then in office, although less than a quorum, or by a sole remaining director and shall not be filled by the stockholders. A director elected to fill a vacancy or to fill a position resulting from a newly-created directorship shall hold office until the next election of the class for which such director shall have been chosen, subject to the election and qualification of a successor and to such director’s earlier death, resignation or removal.</w:t>
      </w:r>
    </w:p>
    <w:p>
      <w:pPr>
        <w:spacing w:after="0" w:line="188" w:lineRule="exact"/>
        <w:rPr>
          <w:rFonts w:ascii="Arial" w:cs="Arial" w:eastAsia="Arial" w:hAnsi="Arial"/>
          <w:sz w:val="18"/>
          <w:szCs w:val="18"/>
          <w:color w:val="auto"/>
        </w:rPr>
      </w:pPr>
    </w:p>
    <w:p>
      <w:pPr>
        <w:ind w:firstLine="656"/>
        <w:spacing w:after="0" w:line="308" w:lineRule="auto"/>
        <w:tabs>
          <w:tab w:leader="none" w:pos="1368"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Stockholder Nominations and Introduction of Business, Etc</w:t>
      </w:r>
      <w:r>
        <w:rPr>
          <w:rFonts w:ascii="Arial" w:cs="Arial" w:eastAsia="Arial" w:hAnsi="Arial"/>
          <w:sz w:val="17"/>
          <w:szCs w:val="17"/>
          <w:color w:val="auto"/>
        </w:rPr>
        <w:t>. Advance notice of stockholder nominations for election of directors and other business to be brought by stockholders before a meeting of stockholders shall be given in the manner provided by the Bylaws of the Corporation.</w:t>
      </w:r>
    </w:p>
    <w:p>
      <w:pPr>
        <w:spacing w:after="0" w:line="146" w:lineRule="exact"/>
        <w:rPr>
          <w:rFonts w:ascii="Arial" w:cs="Arial" w:eastAsia="Arial" w:hAnsi="Arial"/>
          <w:sz w:val="17"/>
          <w:szCs w:val="17"/>
          <w:color w:val="auto"/>
        </w:rPr>
      </w:pPr>
    </w:p>
    <w:p>
      <w:pPr>
        <w:ind w:right="100" w:firstLine="656"/>
        <w:spacing w:after="0" w:line="259" w:lineRule="auto"/>
        <w:tabs>
          <w:tab w:leader="none" w:pos="1323"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Amendments to Article</w:t>
      </w:r>
      <w:r>
        <w:rPr>
          <w:rFonts w:ascii="Arial" w:cs="Arial" w:eastAsia="Arial" w:hAnsi="Arial"/>
          <w:sz w:val="18"/>
          <w:szCs w:val="18"/>
          <w:color w:val="auto"/>
        </w:rPr>
        <w:t>. Notwithstanding any other provisions of law, this Certificate of Incorporation or the Bylaws of the Corporation, and notwithstanding the fact that a lesser percentage may be specified by law, the affirmative vote of the holders of at least seventy-five percent (75%) of the votes that all the stockholders would be entitled to cast in an election of directors or class of directors shall be required to amend or repeal, or to adopt any provision inconsistent with, this Article NINTH.</w:t>
      </w:r>
    </w:p>
    <w:p>
      <w:pPr>
        <w:spacing w:after="0" w:line="18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TENTH: Stockholders of the Corporation may not take any action by written consent in lieu of a meeting. Notwithstanding any other provisions of law, this Certificate of Incorporation or the Bylaws of the Corporation, and notwithstanding the fact that a lesser percentage may be specified by law, the affirmative vote of the holders of at least seventy-five percent (75%) of the votes that all the stockholders would be entitled to cast in an election of directors or class of directors shall be required to amend or repeal, or to adopt any provision inconsistent with, this Article TENTH.</w:t>
      </w:r>
    </w:p>
    <w:p>
      <w:pPr>
        <w:spacing w:after="0" w:line="171"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ELEVENTH: Special meetings of stockholders for any purpose or purposes may be called at any time only by the Board of Directors, and may not be called by any other person or persons. Business transacted at any special meeting of stockholders shall be limited to matters relating to the purpose or purposes stated in the notice of meeting. Notwithstanding any other provisions of law, this Certificate of Incorporation or the Bylaws of the Corporation, and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 w:name="page14"/>
    <w:bookmarkEnd w:id="13"/>
    <w:p>
      <w:pPr>
        <w:ind w:right="240"/>
        <w:spacing w:after="0" w:line="264" w:lineRule="auto"/>
        <w:rPr>
          <w:sz w:val="20"/>
          <w:szCs w:val="20"/>
          <w:color w:val="auto"/>
        </w:rPr>
      </w:pPr>
      <w:r>
        <w:rPr>
          <w:rFonts w:ascii="Arial" w:cs="Arial" w:eastAsia="Arial" w:hAnsi="Arial"/>
          <w:sz w:val="18"/>
          <w:szCs w:val="18"/>
          <w:color w:val="auto"/>
        </w:rPr>
        <w:t>notwithstanding the fact that a lesser percentage may be specified by law, the affirmative vote of the holders of at least seventy-five percent (75%) of the votes that all the stockholders would be entitled to cast in an election of directors or class of directors shall be required to amend or repeal, or to adopt any provision inconsistent with, this Article ELEVENTH.</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TWELFTH: Unless the Corporation consents in writing to the selection of an alternative forum, the Court of Chancery of the State of Delaware (or, if the Court of Chancery of the State of Delaware does not have jurisdiction, the federal district court for the District of Delaware) shall, to the fullest extent permitted by law, be the sole and exclusive forum for: (i) any derivative action or proceeding brought on behalf of the Corporation, (ii) any action asserting a claim of breach of a fiduciary duty owed by any director, officer, other employee or stockholder of the Corporation to the Corporation or the Corporation’s stockholders, (iii) any action asserting a claim arising pursuant to any provision of the General Corporation Law of the State of Delaware or as to which the General Corporation Law of the State of Delaware confers jurisdiction on the Court of Chancery of the State of Delaware, or (iv) any action asserting a claim arising pursuant to any provision of this Certificate of Incorporation or the Bylaws of the Corporation (in each case, as they may be amended from time to time) or governed by the internal affairs doctrine; provided that this sentence shall not apply to suits brought to enforce any duty or liability created by the Securities Act of 1933 or the rules and regulations thereunder or the Securities Exchange Act of 1934 or the rules and regulations thereunder or any claim for which the federal courts have exclusive jurisdiction.</w:t>
      </w:r>
    </w:p>
    <w:p>
      <w:pPr>
        <w:spacing w:after="0" w:line="17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Any person or entity purchasing or otherwise acquiring or holding any interest in shares of capital stock of the Corporation shall be deemed to have notice of and consented to the provisions of this Article TWELFTH.</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4" w:name="page15"/>
    <w:bookmarkEnd w:id="14"/>
    <w:p>
      <w:pPr>
        <w:jc w:val="both"/>
        <w:ind w:firstLine="648"/>
        <w:spacing w:after="0" w:line="264" w:lineRule="auto"/>
        <w:rPr>
          <w:sz w:val="20"/>
          <w:szCs w:val="20"/>
          <w:color w:val="auto"/>
        </w:rPr>
      </w:pPr>
      <w:r>
        <w:rPr>
          <w:rFonts w:ascii="Arial" w:cs="Arial" w:eastAsia="Arial" w:hAnsi="Arial"/>
          <w:sz w:val="18"/>
          <w:szCs w:val="18"/>
          <w:color w:val="auto"/>
        </w:rPr>
        <w:t>IN WITNESS WHEREOF, this Restated Certificate of Incorporation, which restates, integrates and amends the certificate of incorporation of the Corporation, and which has been duly adopted in accordance with Sections 228, 242 and 245 of the General Corporation Law of the State of Delaware, has been executed by its duly authorized officer this 22nd day of July, 2019.</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FULCRUM THERAPEUTICS, INC.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J. Gould</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President and Chief Executive Officer</w:t>
      </w: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240" w:top="341" w:right="45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AMENDED AND RESTATED BYLAWS</w:t>
      </w: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FULCRUM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p>
        </w:tc>
        <w:tc>
          <w:tcPr>
            <w:tcW w:w="9400" w:type="dxa"/>
            <w:vAlign w:val="bottom"/>
          </w:tcPr>
          <w:p>
            <w:pPr>
              <w:ind w:left="3620"/>
              <w:spacing w:after="0"/>
              <w:rPr>
                <w:sz w:val="20"/>
                <w:szCs w:val="20"/>
                <w:color w:val="auto"/>
              </w:rPr>
            </w:pPr>
            <w:r>
              <w:rPr>
                <w:rFonts w:ascii="Arial" w:cs="Arial" w:eastAsia="Arial" w:hAnsi="Arial"/>
                <w:sz w:val="18"/>
                <w:szCs w:val="18"/>
                <w:color w:val="auto"/>
              </w:rPr>
              <w:t>TABLE OF CONTENTS</w:t>
            </w:r>
          </w:p>
        </w:tc>
        <w:tc>
          <w:tcPr>
            <w:tcW w:w="840" w:type="dxa"/>
            <w:vAlign w:val="bottom"/>
          </w:tcPr>
          <w:p>
            <w:pPr>
              <w:spacing w:after="0"/>
              <w:rPr>
                <w:sz w:val="20"/>
                <w:szCs w:val="20"/>
                <w:color w:val="auto"/>
              </w:rPr>
            </w:pPr>
          </w:p>
        </w:tc>
      </w:tr>
      <w:tr>
        <w:trPr>
          <w:trHeight w:val="365"/>
        </w:trPr>
        <w:tc>
          <w:tcPr>
            <w:tcW w:w="1180" w:type="dxa"/>
            <w:vAlign w:val="bottom"/>
          </w:tcPr>
          <w:p>
            <w:pPr>
              <w:spacing w:after="0"/>
              <w:rPr>
                <w:sz w:val="24"/>
                <w:szCs w:val="24"/>
                <w:color w:val="auto"/>
              </w:rPr>
            </w:pPr>
          </w:p>
        </w:tc>
        <w:tc>
          <w:tcPr>
            <w:tcW w:w="9400" w:type="dxa"/>
            <w:vAlign w:val="bottom"/>
          </w:tcPr>
          <w:p>
            <w:pPr>
              <w:spacing w:after="0"/>
              <w:rPr>
                <w:sz w:val="24"/>
                <w:szCs w:val="24"/>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Page</w:t>
            </w:r>
          </w:p>
        </w:tc>
      </w:tr>
      <w:tr>
        <w:trPr>
          <w:trHeight w:val="426"/>
        </w:trPr>
        <w:tc>
          <w:tcPr>
            <w:tcW w:w="1180" w:type="dxa"/>
            <w:vAlign w:val="bottom"/>
          </w:tcPr>
          <w:p>
            <w:pPr>
              <w:spacing w:after="0"/>
              <w:rPr>
                <w:sz w:val="20"/>
                <w:szCs w:val="20"/>
                <w:color w:val="auto"/>
              </w:rPr>
            </w:pPr>
            <w:r>
              <w:rPr>
                <w:rFonts w:ascii="Arial" w:cs="Arial" w:eastAsia="Arial" w:hAnsi="Arial"/>
                <w:sz w:val="18"/>
                <w:szCs w:val="18"/>
                <w:color w:val="auto"/>
              </w:rPr>
              <w:t>ARTICLE I</w:t>
            </w:r>
          </w:p>
        </w:tc>
        <w:tc>
          <w:tcPr>
            <w:tcW w:w="9400" w:type="dxa"/>
            <w:vAlign w:val="bottom"/>
          </w:tcPr>
          <w:p>
            <w:pPr>
              <w:ind w:left="440"/>
              <w:spacing w:after="0"/>
              <w:rPr>
                <w:sz w:val="20"/>
                <w:szCs w:val="20"/>
                <w:color w:val="auto"/>
              </w:rPr>
            </w:pPr>
            <w:r>
              <w:rPr>
                <w:rFonts w:ascii="Arial" w:cs="Arial" w:eastAsia="Arial" w:hAnsi="Arial"/>
                <w:sz w:val="18"/>
                <w:szCs w:val="18"/>
                <w:color w:val="auto"/>
              </w:rPr>
              <w:t>STOCKHOLDERS</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1180" w:type="dxa"/>
            <w:vAlign w:val="bottom"/>
          </w:tcPr>
          <w:p>
            <w:pPr>
              <w:ind w:left="540"/>
              <w:spacing w:after="0"/>
              <w:rPr>
                <w:sz w:val="20"/>
                <w:szCs w:val="20"/>
                <w:color w:val="auto"/>
              </w:rPr>
            </w:pPr>
            <w:r>
              <w:rPr>
                <w:rFonts w:ascii="Arial" w:cs="Arial" w:eastAsia="Arial" w:hAnsi="Arial"/>
                <w:sz w:val="18"/>
                <w:szCs w:val="18"/>
                <w:color w:val="auto"/>
              </w:rPr>
              <w:t>1.1</w:t>
            </w:r>
          </w:p>
        </w:tc>
        <w:tc>
          <w:tcPr>
            <w:tcW w:w="9400" w:type="dxa"/>
            <w:vAlign w:val="bottom"/>
          </w:tcPr>
          <w:p>
            <w:pPr>
              <w:ind w:left="260"/>
              <w:spacing w:after="0"/>
              <w:rPr>
                <w:sz w:val="20"/>
                <w:szCs w:val="20"/>
                <w:color w:val="auto"/>
              </w:rPr>
            </w:pPr>
            <w:r>
              <w:rPr>
                <w:rFonts w:ascii="Arial" w:cs="Arial" w:eastAsia="Arial" w:hAnsi="Arial"/>
                <w:sz w:val="18"/>
                <w:szCs w:val="18"/>
                <w:color w:val="auto"/>
              </w:rPr>
              <w:t>Place of Meetings</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1.2</w:t>
            </w:r>
          </w:p>
        </w:tc>
        <w:tc>
          <w:tcPr>
            <w:tcW w:w="9400" w:type="dxa"/>
            <w:vAlign w:val="bottom"/>
          </w:tcPr>
          <w:p>
            <w:pPr>
              <w:ind w:left="260"/>
              <w:spacing w:after="0"/>
              <w:rPr>
                <w:sz w:val="20"/>
                <w:szCs w:val="20"/>
                <w:color w:val="auto"/>
              </w:rPr>
            </w:pPr>
            <w:r>
              <w:rPr>
                <w:rFonts w:ascii="Arial" w:cs="Arial" w:eastAsia="Arial" w:hAnsi="Arial"/>
                <w:sz w:val="18"/>
                <w:szCs w:val="18"/>
                <w:color w:val="auto"/>
              </w:rPr>
              <w:t>Annual Meeting</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1.3</w:t>
            </w:r>
          </w:p>
        </w:tc>
        <w:tc>
          <w:tcPr>
            <w:tcW w:w="9400" w:type="dxa"/>
            <w:vAlign w:val="bottom"/>
          </w:tcPr>
          <w:p>
            <w:pPr>
              <w:ind w:left="260"/>
              <w:spacing w:after="0"/>
              <w:rPr>
                <w:sz w:val="20"/>
                <w:szCs w:val="20"/>
                <w:color w:val="auto"/>
              </w:rPr>
            </w:pPr>
            <w:r>
              <w:rPr>
                <w:rFonts w:ascii="Arial" w:cs="Arial" w:eastAsia="Arial" w:hAnsi="Arial"/>
                <w:sz w:val="18"/>
                <w:szCs w:val="18"/>
                <w:color w:val="auto"/>
              </w:rPr>
              <w:t>Special Meetings</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1.4</w:t>
            </w:r>
          </w:p>
        </w:tc>
        <w:tc>
          <w:tcPr>
            <w:tcW w:w="9400" w:type="dxa"/>
            <w:vAlign w:val="bottom"/>
          </w:tcPr>
          <w:p>
            <w:pPr>
              <w:ind w:left="260"/>
              <w:spacing w:after="0"/>
              <w:rPr>
                <w:sz w:val="20"/>
                <w:szCs w:val="20"/>
                <w:color w:val="auto"/>
              </w:rPr>
            </w:pPr>
            <w:r>
              <w:rPr>
                <w:rFonts w:ascii="Arial" w:cs="Arial" w:eastAsia="Arial" w:hAnsi="Arial"/>
                <w:sz w:val="18"/>
                <w:szCs w:val="18"/>
                <w:color w:val="auto"/>
              </w:rPr>
              <w:t>Record Date for Stockholder Meetings</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1.5</w:t>
            </w:r>
          </w:p>
        </w:tc>
        <w:tc>
          <w:tcPr>
            <w:tcW w:w="9400" w:type="dxa"/>
            <w:vAlign w:val="bottom"/>
          </w:tcPr>
          <w:p>
            <w:pPr>
              <w:ind w:left="260"/>
              <w:spacing w:after="0"/>
              <w:rPr>
                <w:sz w:val="20"/>
                <w:szCs w:val="20"/>
                <w:color w:val="auto"/>
              </w:rPr>
            </w:pPr>
            <w:r>
              <w:rPr>
                <w:rFonts w:ascii="Arial" w:cs="Arial" w:eastAsia="Arial" w:hAnsi="Arial"/>
                <w:sz w:val="18"/>
                <w:szCs w:val="18"/>
                <w:color w:val="auto"/>
              </w:rPr>
              <w:t>Notice of Meetings</w:t>
            </w: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1.6</w:t>
            </w:r>
          </w:p>
        </w:tc>
        <w:tc>
          <w:tcPr>
            <w:tcW w:w="9400" w:type="dxa"/>
            <w:vAlign w:val="bottom"/>
          </w:tcPr>
          <w:p>
            <w:pPr>
              <w:ind w:left="260"/>
              <w:spacing w:after="0"/>
              <w:rPr>
                <w:sz w:val="20"/>
                <w:szCs w:val="20"/>
                <w:color w:val="auto"/>
              </w:rPr>
            </w:pPr>
            <w:r>
              <w:rPr>
                <w:rFonts w:ascii="Arial" w:cs="Arial" w:eastAsia="Arial" w:hAnsi="Arial"/>
                <w:sz w:val="18"/>
                <w:szCs w:val="18"/>
                <w:color w:val="auto"/>
              </w:rPr>
              <w:t>Voting List</w:t>
            </w: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1.7</w:t>
            </w:r>
          </w:p>
        </w:tc>
        <w:tc>
          <w:tcPr>
            <w:tcW w:w="9400" w:type="dxa"/>
            <w:vAlign w:val="bottom"/>
          </w:tcPr>
          <w:p>
            <w:pPr>
              <w:ind w:left="260"/>
              <w:spacing w:after="0"/>
              <w:rPr>
                <w:sz w:val="20"/>
                <w:szCs w:val="20"/>
                <w:color w:val="auto"/>
              </w:rPr>
            </w:pPr>
            <w:r>
              <w:rPr>
                <w:rFonts w:ascii="Arial" w:cs="Arial" w:eastAsia="Arial" w:hAnsi="Arial"/>
                <w:sz w:val="18"/>
                <w:szCs w:val="18"/>
                <w:color w:val="auto"/>
              </w:rPr>
              <w:t>Quorum</w:t>
            </w: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1.8</w:t>
            </w:r>
          </w:p>
        </w:tc>
        <w:tc>
          <w:tcPr>
            <w:tcW w:w="9400" w:type="dxa"/>
            <w:vAlign w:val="bottom"/>
          </w:tcPr>
          <w:p>
            <w:pPr>
              <w:ind w:left="260"/>
              <w:spacing w:after="0"/>
              <w:rPr>
                <w:sz w:val="20"/>
                <w:szCs w:val="20"/>
                <w:color w:val="auto"/>
              </w:rPr>
            </w:pPr>
            <w:r>
              <w:rPr>
                <w:rFonts w:ascii="Arial" w:cs="Arial" w:eastAsia="Arial" w:hAnsi="Arial"/>
                <w:sz w:val="18"/>
                <w:szCs w:val="18"/>
                <w:color w:val="auto"/>
              </w:rPr>
              <w:t>Adjournments</w:t>
            </w: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1.9</w:t>
            </w:r>
          </w:p>
        </w:tc>
        <w:tc>
          <w:tcPr>
            <w:tcW w:w="9400" w:type="dxa"/>
            <w:vAlign w:val="bottom"/>
          </w:tcPr>
          <w:p>
            <w:pPr>
              <w:ind w:left="260"/>
              <w:spacing w:after="0"/>
              <w:rPr>
                <w:sz w:val="20"/>
                <w:szCs w:val="20"/>
                <w:color w:val="auto"/>
              </w:rPr>
            </w:pPr>
            <w:r>
              <w:rPr>
                <w:rFonts w:ascii="Arial" w:cs="Arial" w:eastAsia="Arial" w:hAnsi="Arial"/>
                <w:sz w:val="18"/>
                <w:szCs w:val="18"/>
                <w:color w:val="auto"/>
              </w:rPr>
              <w:t>Voting and Proxies</w:t>
            </w: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1.10</w:t>
            </w:r>
          </w:p>
        </w:tc>
        <w:tc>
          <w:tcPr>
            <w:tcW w:w="9400" w:type="dxa"/>
            <w:vAlign w:val="bottom"/>
          </w:tcPr>
          <w:p>
            <w:pPr>
              <w:ind w:left="260"/>
              <w:spacing w:after="0"/>
              <w:rPr>
                <w:sz w:val="20"/>
                <w:szCs w:val="20"/>
                <w:color w:val="auto"/>
              </w:rPr>
            </w:pPr>
            <w:r>
              <w:rPr>
                <w:rFonts w:ascii="Arial" w:cs="Arial" w:eastAsia="Arial" w:hAnsi="Arial"/>
                <w:sz w:val="18"/>
                <w:szCs w:val="18"/>
                <w:color w:val="auto"/>
              </w:rPr>
              <w:t>Action at Meeting</w:t>
            </w: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1.11</w:t>
            </w:r>
          </w:p>
        </w:tc>
        <w:tc>
          <w:tcPr>
            <w:tcW w:w="9400" w:type="dxa"/>
            <w:vAlign w:val="bottom"/>
          </w:tcPr>
          <w:p>
            <w:pPr>
              <w:ind w:left="260"/>
              <w:spacing w:after="0"/>
              <w:rPr>
                <w:sz w:val="20"/>
                <w:szCs w:val="20"/>
                <w:color w:val="auto"/>
              </w:rPr>
            </w:pPr>
            <w:r>
              <w:rPr>
                <w:rFonts w:ascii="Arial" w:cs="Arial" w:eastAsia="Arial" w:hAnsi="Arial"/>
                <w:sz w:val="18"/>
                <w:szCs w:val="18"/>
                <w:color w:val="auto"/>
              </w:rPr>
              <w:t>Nomination of Directors</w:t>
            </w: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1.12</w:t>
            </w:r>
          </w:p>
        </w:tc>
        <w:tc>
          <w:tcPr>
            <w:tcW w:w="9400" w:type="dxa"/>
            <w:vAlign w:val="bottom"/>
          </w:tcPr>
          <w:p>
            <w:pPr>
              <w:ind w:left="260"/>
              <w:spacing w:after="0"/>
              <w:rPr>
                <w:sz w:val="20"/>
                <w:szCs w:val="20"/>
                <w:color w:val="auto"/>
              </w:rPr>
            </w:pPr>
            <w:r>
              <w:rPr>
                <w:rFonts w:ascii="Arial" w:cs="Arial" w:eastAsia="Arial" w:hAnsi="Arial"/>
                <w:sz w:val="18"/>
                <w:szCs w:val="18"/>
                <w:color w:val="auto"/>
              </w:rPr>
              <w:t>Notice of Business at Annual Meetings</w:t>
            </w: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1.13</w:t>
            </w:r>
          </w:p>
        </w:tc>
        <w:tc>
          <w:tcPr>
            <w:tcW w:w="9400" w:type="dxa"/>
            <w:vAlign w:val="bottom"/>
          </w:tcPr>
          <w:p>
            <w:pPr>
              <w:ind w:left="260"/>
              <w:spacing w:after="0"/>
              <w:rPr>
                <w:sz w:val="20"/>
                <w:szCs w:val="20"/>
                <w:color w:val="auto"/>
              </w:rPr>
            </w:pPr>
            <w:r>
              <w:rPr>
                <w:rFonts w:ascii="Arial" w:cs="Arial" w:eastAsia="Arial" w:hAnsi="Arial"/>
                <w:sz w:val="18"/>
                <w:szCs w:val="18"/>
                <w:color w:val="auto"/>
              </w:rPr>
              <w:t>Conduct of Meetings</w:t>
            </w: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180" w:type="dxa"/>
            <w:vAlign w:val="bottom"/>
          </w:tcPr>
          <w:p>
            <w:pPr>
              <w:ind w:left="540"/>
              <w:spacing w:after="0"/>
              <w:rPr>
                <w:sz w:val="20"/>
                <w:szCs w:val="20"/>
                <w:color w:val="auto"/>
              </w:rPr>
            </w:pPr>
            <w:r>
              <w:rPr>
                <w:rFonts w:ascii="Arial" w:cs="Arial" w:eastAsia="Arial" w:hAnsi="Arial"/>
                <w:sz w:val="18"/>
                <w:szCs w:val="18"/>
                <w:color w:val="auto"/>
              </w:rPr>
              <w:t>1.14</w:t>
            </w:r>
          </w:p>
        </w:tc>
        <w:tc>
          <w:tcPr>
            <w:tcW w:w="9400" w:type="dxa"/>
            <w:vAlign w:val="bottom"/>
          </w:tcPr>
          <w:p>
            <w:pPr>
              <w:ind w:left="260"/>
              <w:spacing w:after="0"/>
              <w:rPr>
                <w:sz w:val="20"/>
                <w:szCs w:val="20"/>
                <w:color w:val="auto"/>
              </w:rPr>
            </w:pPr>
            <w:r>
              <w:rPr>
                <w:rFonts w:ascii="Arial" w:cs="Arial" w:eastAsia="Arial" w:hAnsi="Arial"/>
                <w:sz w:val="18"/>
                <w:szCs w:val="18"/>
                <w:color w:val="auto"/>
              </w:rPr>
              <w:t>No Action by Consent in Lieu of a Meeting</w:t>
            </w: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ARTICLE II</w:t>
            </w:r>
          </w:p>
        </w:tc>
        <w:tc>
          <w:tcPr>
            <w:tcW w:w="9400" w:type="dxa"/>
            <w:vAlign w:val="bottom"/>
          </w:tcPr>
          <w:p>
            <w:pPr>
              <w:ind w:left="440"/>
              <w:spacing w:after="0"/>
              <w:rPr>
                <w:sz w:val="20"/>
                <w:szCs w:val="20"/>
                <w:color w:val="auto"/>
              </w:rPr>
            </w:pPr>
            <w:r>
              <w:rPr>
                <w:rFonts w:ascii="Arial" w:cs="Arial" w:eastAsia="Arial" w:hAnsi="Arial"/>
                <w:sz w:val="18"/>
                <w:szCs w:val="18"/>
                <w:color w:val="auto"/>
              </w:rPr>
              <w:t>DIRECTORS</w:t>
            </w: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8"/>
        </w:trPr>
        <w:tc>
          <w:tcPr>
            <w:tcW w:w="1180" w:type="dxa"/>
            <w:vAlign w:val="bottom"/>
          </w:tcPr>
          <w:p>
            <w:pPr>
              <w:ind w:left="540"/>
              <w:spacing w:after="0"/>
              <w:rPr>
                <w:sz w:val="20"/>
                <w:szCs w:val="20"/>
                <w:color w:val="auto"/>
              </w:rPr>
            </w:pPr>
            <w:r>
              <w:rPr>
                <w:rFonts w:ascii="Arial" w:cs="Arial" w:eastAsia="Arial" w:hAnsi="Arial"/>
                <w:sz w:val="18"/>
                <w:szCs w:val="18"/>
                <w:color w:val="auto"/>
              </w:rPr>
              <w:t>2.1</w:t>
            </w:r>
          </w:p>
        </w:tc>
        <w:tc>
          <w:tcPr>
            <w:tcW w:w="9400" w:type="dxa"/>
            <w:vAlign w:val="bottom"/>
          </w:tcPr>
          <w:p>
            <w:pPr>
              <w:ind w:left="260"/>
              <w:spacing w:after="0"/>
              <w:rPr>
                <w:sz w:val="20"/>
                <w:szCs w:val="20"/>
                <w:color w:val="auto"/>
              </w:rPr>
            </w:pPr>
            <w:r>
              <w:rPr>
                <w:rFonts w:ascii="Arial" w:cs="Arial" w:eastAsia="Arial" w:hAnsi="Arial"/>
                <w:sz w:val="18"/>
                <w:szCs w:val="18"/>
                <w:color w:val="auto"/>
              </w:rPr>
              <w:t>General Powers</w:t>
            </w: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2.2</w:t>
            </w:r>
          </w:p>
        </w:tc>
        <w:tc>
          <w:tcPr>
            <w:tcW w:w="9400" w:type="dxa"/>
            <w:vAlign w:val="bottom"/>
          </w:tcPr>
          <w:p>
            <w:pPr>
              <w:ind w:left="260"/>
              <w:spacing w:after="0"/>
              <w:rPr>
                <w:sz w:val="20"/>
                <w:szCs w:val="20"/>
                <w:color w:val="auto"/>
              </w:rPr>
            </w:pPr>
            <w:r>
              <w:rPr>
                <w:rFonts w:ascii="Arial" w:cs="Arial" w:eastAsia="Arial" w:hAnsi="Arial"/>
                <w:sz w:val="18"/>
                <w:szCs w:val="18"/>
                <w:color w:val="auto"/>
              </w:rPr>
              <w:t>Number, Election and Qualification</w:t>
            </w: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2.3</w:t>
            </w:r>
          </w:p>
        </w:tc>
        <w:tc>
          <w:tcPr>
            <w:tcW w:w="9400" w:type="dxa"/>
            <w:vAlign w:val="bottom"/>
          </w:tcPr>
          <w:p>
            <w:pPr>
              <w:ind w:left="260"/>
              <w:spacing w:after="0"/>
              <w:rPr>
                <w:sz w:val="20"/>
                <w:szCs w:val="20"/>
                <w:color w:val="auto"/>
              </w:rPr>
            </w:pPr>
            <w:r>
              <w:rPr>
                <w:rFonts w:ascii="Arial" w:cs="Arial" w:eastAsia="Arial" w:hAnsi="Arial"/>
                <w:sz w:val="18"/>
                <w:szCs w:val="18"/>
                <w:color w:val="auto"/>
              </w:rPr>
              <w:t>Chairman of the Board; Vice Chairman of the Board</w:t>
            </w: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2.4</w:t>
            </w:r>
          </w:p>
        </w:tc>
        <w:tc>
          <w:tcPr>
            <w:tcW w:w="9400" w:type="dxa"/>
            <w:vAlign w:val="bottom"/>
          </w:tcPr>
          <w:p>
            <w:pPr>
              <w:ind w:left="260"/>
              <w:spacing w:after="0"/>
              <w:rPr>
                <w:sz w:val="20"/>
                <w:szCs w:val="20"/>
                <w:color w:val="auto"/>
              </w:rPr>
            </w:pPr>
            <w:r>
              <w:rPr>
                <w:rFonts w:ascii="Arial" w:cs="Arial" w:eastAsia="Arial" w:hAnsi="Arial"/>
                <w:sz w:val="18"/>
                <w:szCs w:val="18"/>
                <w:color w:val="auto"/>
              </w:rPr>
              <w:t>Terms of Office</w:t>
            </w: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2.5</w:t>
            </w:r>
          </w:p>
        </w:tc>
        <w:tc>
          <w:tcPr>
            <w:tcW w:w="9400" w:type="dxa"/>
            <w:vAlign w:val="bottom"/>
          </w:tcPr>
          <w:p>
            <w:pPr>
              <w:ind w:left="260"/>
              <w:spacing w:after="0"/>
              <w:rPr>
                <w:sz w:val="20"/>
                <w:szCs w:val="20"/>
                <w:color w:val="auto"/>
              </w:rPr>
            </w:pPr>
            <w:r>
              <w:rPr>
                <w:rFonts w:ascii="Arial" w:cs="Arial" w:eastAsia="Arial" w:hAnsi="Arial"/>
                <w:sz w:val="18"/>
                <w:szCs w:val="18"/>
                <w:color w:val="auto"/>
              </w:rPr>
              <w:t>Quorum</w:t>
            </w: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2.6</w:t>
            </w:r>
          </w:p>
        </w:tc>
        <w:tc>
          <w:tcPr>
            <w:tcW w:w="9400" w:type="dxa"/>
            <w:vAlign w:val="bottom"/>
          </w:tcPr>
          <w:p>
            <w:pPr>
              <w:ind w:left="260"/>
              <w:spacing w:after="0"/>
              <w:rPr>
                <w:sz w:val="20"/>
                <w:szCs w:val="20"/>
                <w:color w:val="auto"/>
              </w:rPr>
            </w:pPr>
            <w:r>
              <w:rPr>
                <w:rFonts w:ascii="Arial" w:cs="Arial" w:eastAsia="Arial" w:hAnsi="Arial"/>
                <w:sz w:val="18"/>
                <w:szCs w:val="18"/>
                <w:color w:val="auto"/>
              </w:rPr>
              <w:t>Action at Meeting</w:t>
            </w: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2.7</w:t>
            </w:r>
          </w:p>
        </w:tc>
        <w:tc>
          <w:tcPr>
            <w:tcW w:w="9400" w:type="dxa"/>
            <w:vAlign w:val="bottom"/>
          </w:tcPr>
          <w:p>
            <w:pPr>
              <w:ind w:left="260"/>
              <w:spacing w:after="0"/>
              <w:rPr>
                <w:sz w:val="20"/>
                <w:szCs w:val="20"/>
                <w:color w:val="auto"/>
              </w:rPr>
            </w:pPr>
            <w:r>
              <w:rPr>
                <w:rFonts w:ascii="Arial" w:cs="Arial" w:eastAsia="Arial" w:hAnsi="Arial"/>
                <w:sz w:val="18"/>
                <w:szCs w:val="18"/>
                <w:color w:val="auto"/>
              </w:rPr>
              <w:t>Removal</w:t>
            </w: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2.8</w:t>
            </w:r>
          </w:p>
        </w:tc>
        <w:tc>
          <w:tcPr>
            <w:tcW w:w="9400" w:type="dxa"/>
            <w:vAlign w:val="bottom"/>
          </w:tcPr>
          <w:p>
            <w:pPr>
              <w:ind w:left="260"/>
              <w:spacing w:after="0"/>
              <w:rPr>
                <w:sz w:val="20"/>
                <w:szCs w:val="20"/>
                <w:color w:val="auto"/>
              </w:rPr>
            </w:pPr>
            <w:r>
              <w:rPr>
                <w:rFonts w:ascii="Arial" w:cs="Arial" w:eastAsia="Arial" w:hAnsi="Arial"/>
                <w:sz w:val="18"/>
                <w:szCs w:val="18"/>
                <w:color w:val="auto"/>
              </w:rPr>
              <w:t>Vacancies</w:t>
            </w: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2.9</w:t>
            </w:r>
          </w:p>
        </w:tc>
        <w:tc>
          <w:tcPr>
            <w:tcW w:w="9400" w:type="dxa"/>
            <w:vAlign w:val="bottom"/>
          </w:tcPr>
          <w:p>
            <w:pPr>
              <w:ind w:left="260"/>
              <w:spacing w:after="0"/>
              <w:rPr>
                <w:sz w:val="20"/>
                <w:szCs w:val="20"/>
                <w:color w:val="auto"/>
              </w:rPr>
            </w:pPr>
            <w:r>
              <w:rPr>
                <w:rFonts w:ascii="Arial" w:cs="Arial" w:eastAsia="Arial" w:hAnsi="Arial"/>
                <w:sz w:val="18"/>
                <w:szCs w:val="18"/>
                <w:color w:val="auto"/>
              </w:rPr>
              <w:t>Resignation</w:t>
            </w: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2.10</w:t>
            </w:r>
          </w:p>
        </w:tc>
        <w:tc>
          <w:tcPr>
            <w:tcW w:w="9400" w:type="dxa"/>
            <w:vAlign w:val="bottom"/>
          </w:tcPr>
          <w:p>
            <w:pPr>
              <w:ind w:left="260"/>
              <w:spacing w:after="0"/>
              <w:rPr>
                <w:sz w:val="20"/>
                <w:szCs w:val="20"/>
                <w:color w:val="auto"/>
              </w:rPr>
            </w:pPr>
            <w:r>
              <w:rPr>
                <w:rFonts w:ascii="Arial" w:cs="Arial" w:eastAsia="Arial" w:hAnsi="Arial"/>
                <w:sz w:val="18"/>
                <w:szCs w:val="18"/>
                <w:color w:val="auto"/>
              </w:rPr>
              <w:t>Regular Meetings</w:t>
            </w: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2.11</w:t>
            </w:r>
          </w:p>
        </w:tc>
        <w:tc>
          <w:tcPr>
            <w:tcW w:w="9400" w:type="dxa"/>
            <w:vAlign w:val="bottom"/>
          </w:tcPr>
          <w:p>
            <w:pPr>
              <w:ind w:left="260"/>
              <w:spacing w:after="0"/>
              <w:rPr>
                <w:sz w:val="20"/>
                <w:szCs w:val="20"/>
                <w:color w:val="auto"/>
              </w:rPr>
            </w:pPr>
            <w:r>
              <w:rPr>
                <w:rFonts w:ascii="Arial" w:cs="Arial" w:eastAsia="Arial" w:hAnsi="Arial"/>
                <w:sz w:val="18"/>
                <w:szCs w:val="18"/>
                <w:color w:val="auto"/>
              </w:rPr>
              <w:t>Special Meetings</w:t>
            </w: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180" w:type="dxa"/>
            <w:vAlign w:val="bottom"/>
          </w:tcPr>
          <w:p>
            <w:pPr>
              <w:ind w:left="540"/>
              <w:spacing w:after="0"/>
              <w:rPr>
                <w:sz w:val="20"/>
                <w:szCs w:val="20"/>
                <w:color w:val="auto"/>
              </w:rPr>
            </w:pPr>
            <w:r>
              <w:rPr>
                <w:rFonts w:ascii="Arial" w:cs="Arial" w:eastAsia="Arial" w:hAnsi="Arial"/>
                <w:sz w:val="18"/>
                <w:szCs w:val="18"/>
                <w:color w:val="auto"/>
              </w:rPr>
              <w:t>2.12</w:t>
            </w:r>
          </w:p>
        </w:tc>
        <w:tc>
          <w:tcPr>
            <w:tcW w:w="9400" w:type="dxa"/>
            <w:vAlign w:val="bottom"/>
          </w:tcPr>
          <w:p>
            <w:pPr>
              <w:ind w:left="260"/>
              <w:spacing w:after="0"/>
              <w:rPr>
                <w:sz w:val="20"/>
                <w:szCs w:val="20"/>
                <w:color w:val="auto"/>
              </w:rPr>
            </w:pPr>
            <w:r>
              <w:rPr>
                <w:rFonts w:ascii="Arial" w:cs="Arial" w:eastAsia="Arial" w:hAnsi="Arial"/>
                <w:sz w:val="18"/>
                <w:szCs w:val="18"/>
                <w:color w:val="auto"/>
              </w:rPr>
              <w:t>Notice of Special Meetings</w:t>
            </w: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2.13</w:t>
            </w:r>
          </w:p>
        </w:tc>
        <w:tc>
          <w:tcPr>
            <w:tcW w:w="7300" w:type="dxa"/>
            <w:vAlign w:val="bottom"/>
          </w:tcPr>
          <w:p>
            <w:pPr>
              <w:ind w:left="220"/>
              <w:spacing w:after="0"/>
              <w:rPr>
                <w:sz w:val="20"/>
                <w:szCs w:val="20"/>
                <w:color w:val="auto"/>
              </w:rPr>
            </w:pPr>
            <w:r>
              <w:rPr>
                <w:rFonts w:ascii="Arial" w:cs="Arial" w:eastAsia="Arial" w:hAnsi="Arial"/>
                <w:sz w:val="18"/>
                <w:szCs w:val="18"/>
                <w:color w:val="auto"/>
              </w:rPr>
              <w:t>Meetings by Conference Communications Equipment</w:t>
            </w:r>
          </w:p>
        </w:tc>
        <w:tc>
          <w:tcPr>
            <w:tcW w:w="2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2.14</w:t>
            </w:r>
          </w:p>
        </w:tc>
        <w:tc>
          <w:tcPr>
            <w:tcW w:w="7300" w:type="dxa"/>
            <w:vAlign w:val="bottom"/>
          </w:tcPr>
          <w:p>
            <w:pPr>
              <w:ind w:left="220"/>
              <w:spacing w:after="0"/>
              <w:rPr>
                <w:sz w:val="20"/>
                <w:szCs w:val="20"/>
                <w:color w:val="auto"/>
              </w:rPr>
            </w:pPr>
            <w:r>
              <w:rPr>
                <w:rFonts w:ascii="Arial" w:cs="Arial" w:eastAsia="Arial" w:hAnsi="Arial"/>
                <w:sz w:val="18"/>
                <w:szCs w:val="18"/>
                <w:color w:val="auto"/>
              </w:rPr>
              <w:t>Action by Consent</w:t>
            </w:r>
          </w:p>
        </w:tc>
        <w:tc>
          <w:tcPr>
            <w:tcW w:w="2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2.15</w:t>
            </w:r>
          </w:p>
        </w:tc>
        <w:tc>
          <w:tcPr>
            <w:tcW w:w="7300" w:type="dxa"/>
            <w:vAlign w:val="bottom"/>
          </w:tcPr>
          <w:p>
            <w:pPr>
              <w:ind w:left="220"/>
              <w:spacing w:after="0"/>
              <w:rPr>
                <w:sz w:val="20"/>
                <w:szCs w:val="20"/>
                <w:color w:val="auto"/>
              </w:rPr>
            </w:pPr>
            <w:r>
              <w:rPr>
                <w:rFonts w:ascii="Arial" w:cs="Arial" w:eastAsia="Arial" w:hAnsi="Arial"/>
                <w:sz w:val="18"/>
                <w:szCs w:val="18"/>
                <w:color w:val="auto"/>
              </w:rPr>
              <w:t>Committees</w:t>
            </w:r>
          </w:p>
        </w:tc>
        <w:tc>
          <w:tcPr>
            <w:tcW w:w="2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1220" w:type="dxa"/>
            <w:vAlign w:val="bottom"/>
          </w:tcPr>
          <w:p>
            <w:pPr>
              <w:ind w:left="540"/>
              <w:spacing w:after="0"/>
              <w:rPr>
                <w:sz w:val="20"/>
                <w:szCs w:val="20"/>
                <w:color w:val="auto"/>
              </w:rPr>
            </w:pPr>
            <w:r>
              <w:rPr>
                <w:rFonts w:ascii="Arial" w:cs="Arial" w:eastAsia="Arial" w:hAnsi="Arial"/>
                <w:sz w:val="18"/>
                <w:szCs w:val="18"/>
                <w:color w:val="auto"/>
              </w:rPr>
              <w:t>2.16</w:t>
            </w:r>
          </w:p>
        </w:tc>
        <w:tc>
          <w:tcPr>
            <w:tcW w:w="7300" w:type="dxa"/>
            <w:vAlign w:val="bottom"/>
          </w:tcPr>
          <w:p>
            <w:pPr>
              <w:ind w:left="220"/>
              <w:spacing w:after="0"/>
              <w:rPr>
                <w:sz w:val="20"/>
                <w:szCs w:val="20"/>
                <w:color w:val="auto"/>
              </w:rPr>
            </w:pPr>
            <w:r>
              <w:rPr>
                <w:rFonts w:ascii="Arial" w:cs="Arial" w:eastAsia="Arial" w:hAnsi="Arial"/>
                <w:sz w:val="18"/>
                <w:szCs w:val="18"/>
                <w:color w:val="auto"/>
              </w:rPr>
              <w:t>Compensation of Directors</w:t>
            </w:r>
          </w:p>
        </w:tc>
        <w:tc>
          <w:tcPr>
            <w:tcW w:w="29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220" w:type="dxa"/>
            <w:vAlign w:val="bottom"/>
          </w:tcPr>
          <w:p>
            <w:pPr>
              <w:spacing w:after="0"/>
              <w:rPr>
                <w:sz w:val="20"/>
                <w:szCs w:val="20"/>
                <w:color w:val="auto"/>
              </w:rPr>
            </w:pPr>
            <w:r>
              <w:rPr>
                <w:rFonts w:ascii="Arial" w:cs="Arial" w:eastAsia="Arial" w:hAnsi="Arial"/>
                <w:sz w:val="18"/>
                <w:szCs w:val="18"/>
                <w:color w:val="auto"/>
              </w:rPr>
              <w:t>ARTICLE III</w:t>
            </w:r>
          </w:p>
        </w:tc>
        <w:tc>
          <w:tcPr>
            <w:tcW w:w="7300" w:type="dxa"/>
            <w:vAlign w:val="bottom"/>
          </w:tcPr>
          <w:p>
            <w:pPr>
              <w:ind w:left="400"/>
              <w:spacing w:after="0"/>
              <w:rPr>
                <w:sz w:val="20"/>
                <w:szCs w:val="20"/>
                <w:color w:val="auto"/>
              </w:rPr>
            </w:pPr>
            <w:r>
              <w:rPr>
                <w:rFonts w:ascii="Arial" w:cs="Arial" w:eastAsia="Arial" w:hAnsi="Arial"/>
                <w:sz w:val="18"/>
                <w:szCs w:val="18"/>
                <w:color w:val="auto"/>
              </w:rPr>
              <w:t>OFFICERS</w:t>
            </w:r>
          </w:p>
        </w:tc>
        <w:tc>
          <w:tcPr>
            <w:tcW w:w="29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18"/>
        </w:trPr>
        <w:tc>
          <w:tcPr>
            <w:tcW w:w="1220" w:type="dxa"/>
            <w:vAlign w:val="bottom"/>
          </w:tcPr>
          <w:p>
            <w:pPr>
              <w:ind w:left="540"/>
              <w:spacing w:after="0"/>
              <w:rPr>
                <w:sz w:val="20"/>
                <w:szCs w:val="20"/>
                <w:color w:val="auto"/>
              </w:rPr>
            </w:pPr>
            <w:r>
              <w:rPr>
                <w:rFonts w:ascii="Arial" w:cs="Arial" w:eastAsia="Arial" w:hAnsi="Arial"/>
                <w:sz w:val="18"/>
                <w:szCs w:val="18"/>
                <w:color w:val="auto"/>
              </w:rPr>
              <w:t>3.1</w:t>
            </w:r>
          </w:p>
        </w:tc>
        <w:tc>
          <w:tcPr>
            <w:tcW w:w="7300" w:type="dxa"/>
            <w:vAlign w:val="bottom"/>
          </w:tcPr>
          <w:p>
            <w:pPr>
              <w:ind w:left="220"/>
              <w:spacing w:after="0"/>
              <w:rPr>
                <w:sz w:val="20"/>
                <w:szCs w:val="20"/>
                <w:color w:val="auto"/>
              </w:rPr>
            </w:pPr>
            <w:r>
              <w:rPr>
                <w:rFonts w:ascii="Arial" w:cs="Arial" w:eastAsia="Arial" w:hAnsi="Arial"/>
                <w:sz w:val="18"/>
                <w:szCs w:val="18"/>
                <w:color w:val="auto"/>
              </w:rPr>
              <w:t>Titles</w:t>
            </w:r>
          </w:p>
        </w:tc>
        <w:tc>
          <w:tcPr>
            <w:tcW w:w="29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3.2</w:t>
            </w:r>
          </w:p>
        </w:tc>
        <w:tc>
          <w:tcPr>
            <w:tcW w:w="7300" w:type="dxa"/>
            <w:vAlign w:val="bottom"/>
          </w:tcPr>
          <w:p>
            <w:pPr>
              <w:ind w:left="220"/>
              <w:spacing w:after="0"/>
              <w:rPr>
                <w:sz w:val="20"/>
                <w:szCs w:val="20"/>
                <w:color w:val="auto"/>
              </w:rPr>
            </w:pPr>
            <w:r>
              <w:rPr>
                <w:rFonts w:ascii="Arial" w:cs="Arial" w:eastAsia="Arial" w:hAnsi="Arial"/>
                <w:sz w:val="18"/>
                <w:szCs w:val="18"/>
                <w:color w:val="auto"/>
              </w:rPr>
              <w:t>Election</w:t>
            </w:r>
          </w:p>
        </w:tc>
        <w:tc>
          <w:tcPr>
            <w:tcW w:w="29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3.3</w:t>
            </w:r>
          </w:p>
        </w:tc>
        <w:tc>
          <w:tcPr>
            <w:tcW w:w="7300" w:type="dxa"/>
            <w:vAlign w:val="bottom"/>
          </w:tcPr>
          <w:p>
            <w:pPr>
              <w:ind w:left="220"/>
              <w:spacing w:after="0"/>
              <w:rPr>
                <w:sz w:val="20"/>
                <w:szCs w:val="20"/>
                <w:color w:val="auto"/>
              </w:rPr>
            </w:pPr>
            <w:r>
              <w:rPr>
                <w:rFonts w:ascii="Arial" w:cs="Arial" w:eastAsia="Arial" w:hAnsi="Arial"/>
                <w:sz w:val="18"/>
                <w:szCs w:val="18"/>
                <w:color w:val="auto"/>
              </w:rPr>
              <w:t>Qualification</w:t>
            </w:r>
          </w:p>
        </w:tc>
        <w:tc>
          <w:tcPr>
            <w:tcW w:w="29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3.4</w:t>
            </w:r>
          </w:p>
        </w:tc>
        <w:tc>
          <w:tcPr>
            <w:tcW w:w="7300" w:type="dxa"/>
            <w:vAlign w:val="bottom"/>
          </w:tcPr>
          <w:p>
            <w:pPr>
              <w:ind w:left="220"/>
              <w:spacing w:after="0"/>
              <w:rPr>
                <w:sz w:val="20"/>
                <w:szCs w:val="20"/>
                <w:color w:val="auto"/>
              </w:rPr>
            </w:pPr>
            <w:r>
              <w:rPr>
                <w:rFonts w:ascii="Arial" w:cs="Arial" w:eastAsia="Arial" w:hAnsi="Arial"/>
                <w:sz w:val="18"/>
                <w:szCs w:val="18"/>
                <w:color w:val="auto"/>
              </w:rPr>
              <w:t>Tenure</w:t>
            </w:r>
          </w:p>
        </w:tc>
        <w:tc>
          <w:tcPr>
            <w:tcW w:w="29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3.5</w:t>
            </w:r>
          </w:p>
        </w:tc>
        <w:tc>
          <w:tcPr>
            <w:tcW w:w="7300" w:type="dxa"/>
            <w:vAlign w:val="bottom"/>
          </w:tcPr>
          <w:p>
            <w:pPr>
              <w:ind w:left="220"/>
              <w:spacing w:after="0"/>
              <w:rPr>
                <w:sz w:val="20"/>
                <w:szCs w:val="20"/>
                <w:color w:val="auto"/>
              </w:rPr>
            </w:pPr>
            <w:r>
              <w:rPr>
                <w:rFonts w:ascii="Arial" w:cs="Arial" w:eastAsia="Arial" w:hAnsi="Arial"/>
                <w:sz w:val="18"/>
                <w:szCs w:val="18"/>
                <w:color w:val="auto"/>
              </w:rPr>
              <w:t>Resignation and Removal</w:t>
            </w:r>
          </w:p>
        </w:tc>
        <w:tc>
          <w:tcPr>
            <w:tcW w:w="29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3.6</w:t>
            </w:r>
          </w:p>
        </w:tc>
        <w:tc>
          <w:tcPr>
            <w:tcW w:w="7300" w:type="dxa"/>
            <w:vAlign w:val="bottom"/>
          </w:tcPr>
          <w:p>
            <w:pPr>
              <w:ind w:left="220"/>
              <w:spacing w:after="0"/>
              <w:rPr>
                <w:sz w:val="20"/>
                <w:szCs w:val="20"/>
                <w:color w:val="auto"/>
              </w:rPr>
            </w:pPr>
            <w:r>
              <w:rPr>
                <w:rFonts w:ascii="Arial" w:cs="Arial" w:eastAsia="Arial" w:hAnsi="Arial"/>
                <w:sz w:val="18"/>
                <w:szCs w:val="18"/>
                <w:color w:val="auto"/>
              </w:rPr>
              <w:t>Vacancies</w:t>
            </w:r>
          </w:p>
        </w:tc>
        <w:tc>
          <w:tcPr>
            <w:tcW w:w="29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3.7</w:t>
            </w:r>
          </w:p>
        </w:tc>
        <w:tc>
          <w:tcPr>
            <w:tcW w:w="7300" w:type="dxa"/>
            <w:vAlign w:val="bottom"/>
          </w:tcPr>
          <w:p>
            <w:pPr>
              <w:ind w:left="220"/>
              <w:spacing w:after="0"/>
              <w:rPr>
                <w:sz w:val="20"/>
                <w:szCs w:val="20"/>
                <w:color w:val="auto"/>
              </w:rPr>
            </w:pPr>
            <w:r>
              <w:rPr>
                <w:rFonts w:ascii="Arial" w:cs="Arial" w:eastAsia="Arial" w:hAnsi="Arial"/>
                <w:sz w:val="18"/>
                <w:szCs w:val="18"/>
                <w:color w:val="auto"/>
              </w:rPr>
              <w:t>President; Chief Executive Officer</w:t>
            </w:r>
          </w:p>
        </w:tc>
        <w:tc>
          <w:tcPr>
            <w:tcW w:w="29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3.8</w:t>
            </w:r>
          </w:p>
        </w:tc>
        <w:tc>
          <w:tcPr>
            <w:tcW w:w="7300" w:type="dxa"/>
            <w:vAlign w:val="bottom"/>
          </w:tcPr>
          <w:p>
            <w:pPr>
              <w:ind w:left="220"/>
              <w:spacing w:after="0"/>
              <w:rPr>
                <w:sz w:val="20"/>
                <w:szCs w:val="20"/>
                <w:color w:val="auto"/>
              </w:rPr>
            </w:pPr>
            <w:r>
              <w:rPr>
                <w:rFonts w:ascii="Arial" w:cs="Arial" w:eastAsia="Arial" w:hAnsi="Arial"/>
                <w:sz w:val="18"/>
                <w:szCs w:val="18"/>
                <w:color w:val="auto"/>
              </w:rPr>
              <w:t>Vice Presidents</w:t>
            </w:r>
          </w:p>
        </w:tc>
        <w:tc>
          <w:tcPr>
            <w:tcW w:w="29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3.9</w:t>
            </w:r>
          </w:p>
        </w:tc>
        <w:tc>
          <w:tcPr>
            <w:tcW w:w="7300" w:type="dxa"/>
            <w:vAlign w:val="bottom"/>
          </w:tcPr>
          <w:p>
            <w:pPr>
              <w:ind w:left="220"/>
              <w:spacing w:after="0"/>
              <w:rPr>
                <w:sz w:val="20"/>
                <w:szCs w:val="20"/>
                <w:color w:val="auto"/>
              </w:rPr>
            </w:pPr>
            <w:r>
              <w:rPr>
                <w:rFonts w:ascii="Arial" w:cs="Arial" w:eastAsia="Arial" w:hAnsi="Arial"/>
                <w:sz w:val="18"/>
                <w:szCs w:val="18"/>
                <w:color w:val="auto"/>
              </w:rPr>
              <w:t>Secretary and Assistant Secretaries</w:t>
            </w:r>
          </w:p>
        </w:tc>
        <w:tc>
          <w:tcPr>
            <w:tcW w:w="29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3.10</w:t>
            </w:r>
          </w:p>
        </w:tc>
        <w:tc>
          <w:tcPr>
            <w:tcW w:w="7300" w:type="dxa"/>
            <w:vAlign w:val="bottom"/>
          </w:tcPr>
          <w:p>
            <w:pPr>
              <w:ind w:left="220"/>
              <w:spacing w:after="0"/>
              <w:rPr>
                <w:sz w:val="20"/>
                <w:szCs w:val="20"/>
                <w:color w:val="auto"/>
              </w:rPr>
            </w:pPr>
            <w:r>
              <w:rPr>
                <w:rFonts w:ascii="Arial" w:cs="Arial" w:eastAsia="Arial" w:hAnsi="Arial"/>
                <w:sz w:val="18"/>
                <w:szCs w:val="18"/>
                <w:color w:val="auto"/>
              </w:rPr>
              <w:t>Treasurer and Assistant Treasurers</w:t>
            </w:r>
          </w:p>
        </w:tc>
        <w:tc>
          <w:tcPr>
            <w:tcW w:w="29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3.11</w:t>
            </w:r>
          </w:p>
        </w:tc>
        <w:tc>
          <w:tcPr>
            <w:tcW w:w="7300" w:type="dxa"/>
            <w:vAlign w:val="bottom"/>
          </w:tcPr>
          <w:p>
            <w:pPr>
              <w:ind w:left="220"/>
              <w:spacing w:after="0"/>
              <w:rPr>
                <w:sz w:val="20"/>
                <w:szCs w:val="20"/>
                <w:color w:val="auto"/>
              </w:rPr>
            </w:pPr>
            <w:r>
              <w:rPr>
                <w:rFonts w:ascii="Arial" w:cs="Arial" w:eastAsia="Arial" w:hAnsi="Arial"/>
                <w:sz w:val="18"/>
                <w:szCs w:val="18"/>
                <w:color w:val="auto"/>
              </w:rPr>
              <w:t>Salaries</w:t>
            </w:r>
          </w:p>
        </w:tc>
        <w:tc>
          <w:tcPr>
            <w:tcW w:w="29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220" w:type="dxa"/>
            <w:vAlign w:val="bottom"/>
          </w:tcPr>
          <w:p>
            <w:pPr>
              <w:ind w:left="540"/>
              <w:spacing w:after="0"/>
              <w:rPr>
                <w:sz w:val="20"/>
                <w:szCs w:val="20"/>
                <w:color w:val="auto"/>
              </w:rPr>
            </w:pPr>
            <w:r>
              <w:rPr>
                <w:rFonts w:ascii="Arial" w:cs="Arial" w:eastAsia="Arial" w:hAnsi="Arial"/>
                <w:sz w:val="18"/>
                <w:szCs w:val="18"/>
                <w:color w:val="auto"/>
              </w:rPr>
              <w:t>3.12</w:t>
            </w:r>
          </w:p>
        </w:tc>
        <w:tc>
          <w:tcPr>
            <w:tcW w:w="7300" w:type="dxa"/>
            <w:vAlign w:val="bottom"/>
          </w:tcPr>
          <w:p>
            <w:pPr>
              <w:ind w:left="220"/>
              <w:spacing w:after="0"/>
              <w:rPr>
                <w:sz w:val="20"/>
                <w:szCs w:val="20"/>
                <w:color w:val="auto"/>
              </w:rPr>
            </w:pPr>
            <w:r>
              <w:rPr>
                <w:rFonts w:ascii="Arial" w:cs="Arial" w:eastAsia="Arial" w:hAnsi="Arial"/>
                <w:sz w:val="18"/>
                <w:szCs w:val="18"/>
                <w:color w:val="auto"/>
              </w:rPr>
              <w:t>Delegation of Authority</w:t>
            </w:r>
          </w:p>
        </w:tc>
        <w:tc>
          <w:tcPr>
            <w:tcW w:w="29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1220" w:type="dxa"/>
            <w:vAlign w:val="bottom"/>
          </w:tcPr>
          <w:p>
            <w:pPr>
              <w:spacing w:after="0"/>
              <w:rPr>
                <w:sz w:val="20"/>
                <w:szCs w:val="20"/>
                <w:color w:val="auto"/>
              </w:rPr>
            </w:pPr>
            <w:r>
              <w:rPr>
                <w:rFonts w:ascii="Arial" w:cs="Arial" w:eastAsia="Arial" w:hAnsi="Arial"/>
                <w:sz w:val="18"/>
                <w:szCs w:val="18"/>
                <w:color w:val="auto"/>
              </w:rPr>
              <w:t>ARTICLE IV</w:t>
            </w:r>
          </w:p>
        </w:tc>
        <w:tc>
          <w:tcPr>
            <w:tcW w:w="7300" w:type="dxa"/>
            <w:vAlign w:val="bottom"/>
          </w:tcPr>
          <w:p>
            <w:pPr>
              <w:ind w:left="400"/>
              <w:spacing w:after="0"/>
              <w:rPr>
                <w:sz w:val="20"/>
                <w:szCs w:val="20"/>
                <w:color w:val="auto"/>
              </w:rPr>
            </w:pPr>
            <w:r>
              <w:rPr>
                <w:rFonts w:ascii="Arial" w:cs="Arial" w:eastAsia="Arial" w:hAnsi="Arial"/>
                <w:sz w:val="18"/>
                <w:szCs w:val="18"/>
                <w:color w:val="auto"/>
              </w:rPr>
              <w:t>CAPITAL STOCK</w:t>
            </w:r>
          </w:p>
        </w:tc>
        <w:tc>
          <w:tcPr>
            <w:tcW w:w="29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18"/>
        </w:trPr>
        <w:tc>
          <w:tcPr>
            <w:tcW w:w="1220" w:type="dxa"/>
            <w:vAlign w:val="bottom"/>
          </w:tcPr>
          <w:p>
            <w:pPr>
              <w:ind w:left="540"/>
              <w:spacing w:after="0"/>
              <w:rPr>
                <w:sz w:val="20"/>
                <w:szCs w:val="20"/>
                <w:color w:val="auto"/>
              </w:rPr>
            </w:pPr>
            <w:r>
              <w:rPr>
                <w:rFonts w:ascii="Arial" w:cs="Arial" w:eastAsia="Arial" w:hAnsi="Arial"/>
                <w:sz w:val="18"/>
                <w:szCs w:val="18"/>
                <w:color w:val="auto"/>
              </w:rPr>
              <w:t>4.1</w:t>
            </w:r>
          </w:p>
        </w:tc>
        <w:tc>
          <w:tcPr>
            <w:tcW w:w="7300" w:type="dxa"/>
            <w:vAlign w:val="bottom"/>
          </w:tcPr>
          <w:p>
            <w:pPr>
              <w:ind w:left="220"/>
              <w:spacing w:after="0"/>
              <w:rPr>
                <w:sz w:val="20"/>
                <w:szCs w:val="20"/>
                <w:color w:val="auto"/>
              </w:rPr>
            </w:pPr>
            <w:r>
              <w:rPr>
                <w:rFonts w:ascii="Arial" w:cs="Arial" w:eastAsia="Arial" w:hAnsi="Arial"/>
                <w:sz w:val="18"/>
                <w:szCs w:val="18"/>
                <w:color w:val="auto"/>
              </w:rPr>
              <w:t>Issuance of Stock</w:t>
            </w:r>
          </w:p>
        </w:tc>
        <w:tc>
          <w:tcPr>
            <w:tcW w:w="29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4.2</w:t>
            </w:r>
          </w:p>
        </w:tc>
        <w:tc>
          <w:tcPr>
            <w:tcW w:w="7300" w:type="dxa"/>
            <w:vAlign w:val="bottom"/>
          </w:tcPr>
          <w:p>
            <w:pPr>
              <w:ind w:left="220"/>
              <w:spacing w:after="0"/>
              <w:rPr>
                <w:sz w:val="20"/>
                <w:szCs w:val="20"/>
                <w:color w:val="auto"/>
              </w:rPr>
            </w:pPr>
            <w:r>
              <w:rPr>
                <w:rFonts w:ascii="Arial" w:cs="Arial" w:eastAsia="Arial" w:hAnsi="Arial"/>
                <w:sz w:val="18"/>
                <w:szCs w:val="18"/>
                <w:color w:val="auto"/>
              </w:rPr>
              <w:t>Stock Certificates; Uncertificated Shares</w:t>
            </w:r>
          </w:p>
        </w:tc>
        <w:tc>
          <w:tcPr>
            <w:tcW w:w="29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4.3</w:t>
            </w:r>
          </w:p>
        </w:tc>
        <w:tc>
          <w:tcPr>
            <w:tcW w:w="7300" w:type="dxa"/>
            <w:vAlign w:val="bottom"/>
          </w:tcPr>
          <w:p>
            <w:pPr>
              <w:ind w:left="220"/>
              <w:spacing w:after="0"/>
              <w:rPr>
                <w:sz w:val="20"/>
                <w:szCs w:val="20"/>
                <w:color w:val="auto"/>
              </w:rPr>
            </w:pPr>
            <w:r>
              <w:rPr>
                <w:rFonts w:ascii="Arial" w:cs="Arial" w:eastAsia="Arial" w:hAnsi="Arial"/>
                <w:sz w:val="18"/>
                <w:szCs w:val="18"/>
                <w:color w:val="auto"/>
              </w:rPr>
              <w:t>Transfers</w:t>
            </w:r>
          </w:p>
        </w:tc>
        <w:tc>
          <w:tcPr>
            <w:tcW w:w="29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4.4</w:t>
            </w:r>
          </w:p>
        </w:tc>
        <w:tc>
          <w:tcPr>
            <w:tcW w:w="7300" w:type="dxa"/>
            <w:vAlign w:val="bottom"/>
          </w:tcPr>
          <w:p>
            <w:pPr>
              <w:ind w:left="220"/>
              <w:spacing w:after="0"/>
              <w:rPr>
                <w:sz w:val="20"/>
                <w:szCs w:val="20"/>
                <w:color w:val="auto"/>
              </w:rPr>
            </w:pPr>
            <w:r>
              <w:rPr>
                <w:rFonts w:ascii="Arial" w:cs="Arial" w:eastAsia="Arial" w:hAnsi="Arial"/>
                <w:sz w:val="18"/>
                <w:szCs w:val="18"/>
                <w:color w:val="auto"/>
              </w:rPr>
              <w:t>Lost, Stolen or Destroyed Certificates</w:t>
            </w:r>
          </w:p>
        </w:tc>
        <w:tc>
          <w:tcPr>
            <w:tcW w:w="2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220" w:type="dxa"/>
            <w:vAlign w:val="bottom"/>
          </w:tcPr>
          <w:p>
            <w:pPr>
              <w:ind w:left="540"/>
              <w:spacing w:after="0"/>
              <w:rPr>
                <w:sz w:val="20"/>
                <w:szCs w:val="20"/>
                <w:color w:val="auto"/>
              </w:rPr>
            </w:pPr>
            <w:r>
              <w:rPr>
                <w:rFonts w:ascii="Arial" w:cs="Arial" w:eastAsia="Arial" w:hAnsi="Arial"/>
                <w:sz w:val="18"/>
                <w:szCs w:val="18"/>
                <w:color w:val="auto"/>
              </w:rPr>
              <w:t>4.5</w:t>
            </w:r>
          </w:p>
        </w:tc>
        <w:tc>
          <w:tcPr>
            <w:tcW w:w="7300" w:type="dxa"/>
            <w:vAlign w:val="bottom"/>
          </w:tcPr>
          <w:p>
            <w:pPr>
              <w:ind w:left="220"/>
              <w:spacing w:after="0"/>
              <w:rPr>
                <w:sz w:val="20"/>
                <w:szCs w:val="20"/>
                <w:color w:val="auto"/>
              </w:rPr>
            </w:pPr>
            <w:r>
              <w:rPr>
                <w:rFonts w:ascii="Arial" w:cs="Arial" w:eastAsia="Arial" w:hAnsi="Arial"/>
                <w:sz w:val="18"/>
                <w:szCs w:val="18"/>
                <w:color w:val="auto"/>
              </w:rPr>
              <w:t>Regulations</w:t>
            </w:r>
          </w:p>
        </w:tc>
        <w:tc>
          <w:tcPr>
            <w:tcW w:w="2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220" w:type="dxa"/>
            <w:vAlign w:val="bottom"/>
          </w:tcPr>
          <w:p>
            <w:pPr>
              <w:spacing w:after="0"/>
              <w:rPr>
                <w:sz w:val="20"/>
                <w:szCs w:val="20"/>
                <w:color w:val="auto"/>
              </w:rPr>
            </w:pPr>
            <w:r>
              <w:rPr>
                <w:rFonts w:ascii="Arial" w:cs="Arial" w:eastAsia="Arial" w:hAnsi="Arial"/>
                <w:sz w:val="18"/>
                <w:szCs w:val="18"/>
                <w:color w:val="auto"/>
              </w:rPr>
              <w:t>ARTICLE V</w:t>
            </w:r>
          </w:p>
        </w:tc>
        <w:tc>
          <w:tcPr>
            <w:tcW w:w="7300" w:type="dxa"/>
            <w:vAlign w:val="bottom"/>
          </w:tcPr>
          <w:p>
            <w:pPr>
              <w:ind w:left="400"/>
              <w:spacing w:after="0"/>
              <w:rPr>
                <w:sz w:val="20"/>
                <w:szCs w:val="20"/>
                <w:color w:val="auto"/>
              </w:rPr>
            </w:pPr>
            <w:r>
              <w:rPr>
                <w:rFonts w:ascii="Arial" w:cs="Arial" w:eastAsia="Arial" w:hAnsi="Arial"/>
                <w:sz w:val="18"/>
                <w:szCs w:val="18"/>
                <w:color w:val="auto"/>
              </w:rPr>
              <w:t>GENERAL PROVISIONS</w:t>
            </w:r>
          </w:p>
        </w:tc>
        <w:tc>
          <w:tcPr>
            <w:tcW w:w="2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8"/>
        </w:trPr>
        <w:tc>
          <w:tcPr>
            <w:tcW w:w="1220" w:type="dxa"/>
            <w:vAlign w:val="bottom"/>
          </w:tcPr>
          <w:p>
            <w:pPr>
              <w:ind w:left="540"/>
              <w:spacing w:after="0"/>
              <w:rPr>
                <w:sz w:val="20"/>
                <w:szCs w:val="20"/>
                <w:color w:val="auto"/>
              </w:rPr>
            </w:pPr>
            <w:r>
              <w:rPr>
                <w:rFonts w:ascii="Arial" w:cs="Arial" w:eastAsia="Arial" w:hAnsi="Arial"/>
                <w:sz w:val="18"/>
                <w:szCs w:val="18"/>
                <w:color w:val="auto"/>
              </w:rPr>
              <w:t>5.1</w:t>
            </w:r>
          </w:p>
        </w:tc>
        <w:tc>
          <w:tcPr>
            <w:tcW w:w="7300" w:type="dxa"/>
            <w:vAlign w:val="bottom"/>
          </w:tcPr>
          <w:p>
            <w:pPr>
              <w:ind w:left="220"/>
              <w:spacing w:after="0"/>
              <w:rPr>
                <w:sz w:val="20"/>
                <w:szCs w:val="20"/>
                <w:color w:val="auto"/>
              </w:rPr>
            </w:pPr>
            <w:r>
              <w:rPr>
                <w:rFonts w:ascii="Arial" w:cs="Arial" w:eastAsia="Arial" w:hAnsi="Arial"/>
                <w:sz w:val="18"/>
                <w:szCs w:val="18"/>
                <w:color w:val="auto"/>
              </w:rPr>
              <w:t>Fiscal Year</w:t>
            </w:r>
          </w:p>
        </w:tc>
        <w:tc>
          <w:tcPr>
            <w:tcW w:w="2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5.2</w:t>
            </w:r>
          </w:p>
        </w:tc>
        <w:tc>
          <w:tcPr>
            <w:tcW w:w="7300" w:type="dxa"/>
            <w:vAlign w:val="bottom"/>
          </w:tcPr>
          <w:p>
            <w:pPr>
              <w:ind w:left="220"/>
              <w:spacing w:after="0"/>
              <w:rPr>
                <w:sz w:val="20"/>
                <w:szCs w:val="20"/>
                <w:color w:val="auto"/>
              </w:rPr>
            </w:pPr>
            <w:r>
              <w:rPr>
                <w:rFonts w:ascii="Arial" w:cs="Arial" w:eastAsia="Arial" w:hAnsi="Arial"/>
                <w:sz w:val="18"/>
                <w:szCs w:val="18"/>
                <w:color w:val="auto"/>
              </w:rPr>
              <w:t>Corporate Seal</w:t>
            </w:r>
          </w:p>
        </w:tc>
        <w:tc>
          <w:tcPr>
            <w:tcW w:w="2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5.3</w:t>
            </w:r>
          </w:p>
        </w:tc>
        <w:tc>
          <w:tcPr>
            <w:tcW w:w="7300" w:type="dxa"/>
            <w:vAlign w:val="bottom"/>
          </w:tcPr>
          <w:p>
            <w:pPr>
              <w:ind w:left="220"/>
              <w:spacing w:after="0"/>
              <w:rPr>
                <w:sz w:val="20"/>
                <w:szCs w:val="20"/>
                <w:color w:val="auto"/>
              </w:rPr>
            </w:pPr>
            <w:r>
              <w:rPr>
                <w:rFonts w:ascii="Arial" w:cs="Arial" w:eastAsia="Arial" w:hAnsi="Arial"/>
                <w:sz w:val="18"/>
                <w:szCs w:val="18"/>
                <w:color w:val="auto"/>
              </w:rPr>
              <w:t>Record Date for Purposes Other Than Stockholder Meetings</w:t>
            </w:r>
          </w:p>
        </w:tc>
        <w:tc>
          <w:tcPr>
            <w:tcW w:w="2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5.4</w:t>
            </w:r>
          </w:p>
        </w:tc>
        <w:tc>
          <w:tcPr>
            <w:tcW w:w="7300" w:type="dxa"/>
            <w:vAlign w:val="bottom"/>
          </w:tcPr>
          <w:p>
            <w:pPr>
              <w:ind w:left="220"/>
              <w:spacing w:after="0"/>
              <w:rPr>
                <w:sz w:val="20"/>
                <w:szCs w:val="20"/>
                <w:color w:val="auto"/>
              </w:rPr>
            </w:pPr>
            <w:r>
              <w:rPr>
                <w:rFonts w:ascii="Arial" w:cs="Arial" w:eastAsia="Arial" w:hAnsi="Arial"/>
                <w:sz w:val="18"/>
                <w:szCs w:val="18"/>
                <w:color w:val="auto"/>
              </w:rPr>
              <w:t>Waiver of Notice</w:t>
            </w:r>
          </w:p>
        </w:tc>
        <w:tc>
          <w:tcPr>
            <w:tcW w:w="2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5.5</w:t>
            </w:r>
          </w:p>
        </w:tc>
        <w:tc>
          <w:tcPr>
            <w:tcW w:w="7300" w:type="dxa"/>
            <w:vAlign w:val="bottom"/>
          </w:tcPr>
          <w:p>
            <w:pPr>
              <w:ind w:left="220"/>
              <w:spacing w:after="0"/>
              <w:rPr>
                <w:sz w:val="20"/>
                <w:szCs w:val="20"/>
                <w:color w:val="auto"/>
              </w:rPr>
            </w:pPr>
            <w:r>
              <w:rPr>
                <w:rFonts w:ascii="Arial" w:cs="Arial" w:eastAsia="Arial" w:hAnsi="Arial"/>
                <w:sz w:val="18"/>
                <w:szCs w:val="18"/>
                <w:color w:val="auto"/>
              </w:rPr>
              <w:t>Voting of Securities</w:t>
            </w:r>
          </w:p>
        </w:tc>
        <w:tc>
          <w:tcPr>
            <w:tcW w:w="2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220" w:type="dxa"/>
            <w:vAlign w:val="bottom"/>
          </w:tcPr>
          <w:p>
            <w:pPr>
              <w:ind w:left="540"/>
              <w:spacing w:after="0"/>
              <w:rPr>
                <w:sz w:val="20"/>
                <w:szCs w:val="20"/>
                <w:color w:val="auto"/>
              </w:rPr>
            </w:pPr>
            <w:r>
              <w:rPr>
                <w:rFonts w:ascii="Arial" w:cs="Arial" w:eastAsia="Arial" w:hAnsi="Arial"/>
                <w:sz w:val="18"/>
                <w:szCs w:val="18"/>
                <w:color w:val="auto"/>
              </w:rPr>
              <w:t>5.6</w:t>
            </w:r>
          </w:p>
        </w:tc>
        <w:tc>
          <w:tcPr>
            <w:tcW w:w="7300" w:type="dxa"/>
            <w:vAlign w:val="bottom"/>
          </w:tcPr>
          <w:p>
            <w:pPr>
              <w:ind w:left="220"/>
              <w:spacing w:after="0"/>
              <w:rPr>
                <w:sz w:val="20"/>
                <w:szCs w:val="20"/>
                <w:color w:val="auto"/>
              </w:rPr>
            </w:pPr>
            <w:r>
              <w:rPr>
                <w:rFonts w:ascii="Arial" w:cs="Arial" w:eastAsia="Arial" w:hAnsi="Arial"/>
                <w:sz w:val="18"/>
                <w:szCs w:val="18"/>
                <w:color w:val="auto"/>
              </w:rPr>
              <w:t>Evidence of Authority</w:t>
            </w:r>
          </w:p>
        </w:tc>
        <w:tc>
          <w:tcPr>
            <w:tcW w:w="290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1220" w:type="dxa"/>
            <w:vAlign w:val="bottom"/>
          </w:tcPr>
          <w:p>
            <w:pPr>
              <w:jc w:val="right"/>
              <w:ind w:right="350"/>
              <w:spacing w:after="0"/>
              <w:rPr>
                <w:sz w:val="20"/>
                <w:szCs w:val="20"/>
                <w:color w:val="auto"/>
              </w:rPr>
            </w:pPr>
            <w:r>
              <w:rPr>
                <w:rFonts w:ascii="Arial" w:cs="Arial" w:eastAsia="Arial" w:hAnsi="Arial"/>
                <w:sz w:val="18"/>
                <w:szCs w:val="18"/>
                <w:color w:val="auto"/>
              </w:rPr>
              <w:t>5.7</w:t>
            </w:r>
          </w:p>
        </w:tc>
        <w:tc>
          <w:tcPr>
            <w:tcW w:w="6100" w:type="dxa"/>
            <w:vAlign w:val="bottom"/>
          </w:tcPr>
          <w:p>
            <w:pPr>
              <w:ind w:left="220"/>
              <w:spacing w:after="0"/>
              <w:rPr>
                <w:sz w:val="20"/>
                <w:szCs w:val="20"/>
                <w:color w:val="auto"/>
              </w:rPr>
            </w:pPr>
            <w:r>
              <w:rPr>
                <w:rFonts w:ascii="Arial" w:cs="Arial" w:eastAsia="Arial" w:hAnsi="Arial"/>
                <w:sz w:val="18"/>
                <w:szCs w:val="18"/>
                <w:color w:val="auto"/>
              </w:rPr>
              <w:t>Certificate of Incorporation</w:t>
            </w:r>
          </w:p>
        </w:tc>
        <w:tc>
          <w:tcPr>
            <w:tcW w:w="4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220" w:type="dxa"/>
            <w:vAlign w:val="bottom"/>
          </w:tcPr>
          <w:p>
            <w:pPr>
              <w:jc w:val="right"/>
              <w:ind w:right="350"/>
              <w:spacing w:after="0"/>
              <w:rPr>
                <w:sz w:val="20"/>
                <w:szCs w:val="20"/>
                <w:color w:val="auto"/>
              </w:rPr>
            </w:pPr>
            <w:r>
              <w:rPr>
                <w:rFonts w:ascii="Arial" w:cs="Arial" w:eastAsia="Arial" w:hAnsi="Arial"/>
                <w:sz w:val="18"/>
                <w:szCs w:val="18"/>
                <w:color w:val="auto"/>
              </w:rPr>
              <w:t>5.8</w:t>
            </w:r>
          </w:p>
        </w:tc>
        <w:tc>
          <w:tcPr>
            <w:tcW w:w="6100" w:type="dxa"/>
            <w:vAlign w:val="bottom"/>
          </w:tcPr>
          <w:p>
            <w:pPr>
              <w:ind w:left="220"/>
              <w:spacing w:after="0"/>
              <w:rPr>
                <w:sz w:val="20"/>
                <w:szCs w:val="20"/>
                <w:color w:val="auto"/>
              </w:rPr>
            </w:pPr>
            <w:r>
              <w:rPr>
                <w:rFonts w:ascii="Arial" w:cs="Arial" w:eastAsia="Arial" w:hAnsi="Arial"/>
                <w:sz w:val="18"/>
                <w:szCs w:val="18"/>
                <w:color w:val="auto"/>
              </w:rPr>
              <w:t>Severability</w:t>
            </w:r>
          </w:p>
        </w:tc>
        <w:tc>
          <w:tcPr>
            <w:tcW w:w="4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220" w:type="dxa"/>
            <w:vAlign w:val="bottom"/>
          </w:tcPr>
          <w:p>
            <w:pPr>
              <w:jc w:val="right"/>
              <w:ind w:right="350"/>
              <w:spacing w:after="0"/>
              <w:rPr>
                <w:sz w:val="20"/>
                <w:szCs w:val="20"/>
                <w:color w:val="auto"/>
              </w:rPr>
            </w:pPr>
            <w:r>
              <w:rPr>
                <w:rFonts w:ascii="Arial" w:cs="Arial" w:eastAsia="Arial" w:hAnsi="Arial"/>
                <w:sz w:val="18"/>
                <w:szCs w:val="18"/>
                <w:color w:val="auto"/>
              </w:rPr>
              <w:t>5.9</w:t>
            </w:r>
          </w:p>
        </w:tc>
        <w:tc>
          <w:tcPr>
            <w:tcW w:w="6100" w:type="dxa"/>
            <w:vAlign w:val="bottom"/>
          </w:tcPr>
          <w:p>
            <w:pPr>
              <w:ind w:left="220"/>
              <w:spacing w:after="0"/>
              <w:rPr>
                <w:sz w:val="20"/>
                <w:szCs w:val="20"/>
                <w:color w:val="auto"/>
              </w:rPr>
            </w:pPr>
            <w:r>
              <w:rPr>
                <w:rFonts w:ascii="Arial" w:cs="Arial" w:eastAsia="Arial" w:hAnsi="Arial"/>
                <w:sz w:val="18"/>
                <w:szCs w:val="18"/>
                <w:color w:val="auto"/>
              </w:rPr>
              <w:t>Pronouns</w:t>
            </w:r>
          </w:p>
        </w:tc>
        <w:tc>
          <w:tcPr>
            <w:tcW w:w="41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1220" w:type="dxa"/>
            <w:vAlign w:val="bottom"/>
          </w:tcPr>
          <w:p>
            <w:pPr>
              <w:jc w:val="right"/>
              <w:ind w:right="150"/>
              <w:spacing w:after="0"/>
              <w:rPr>
                <w:sz w:val="20"/>
                <w:szCs w:val="20"/>
                <w:color w:val="auto"/>
              </w:rPr>
            </w:pPr>
            <w:r>
              <w:rPr>
                <w:rFonts w:ascii="Arial" w:cs="Arial" w:eastAsia="Arial" w:hAnsi="Arial"/>
                <w:sz w:val="18"/>
                <w:szCs w:val="18"/>
                <w:color w:val="auto"/>
                <w:w w:val="97"/>
              </w:rPr>
              <w:t>ARTICLE VI</w:t>
            </w:r>
          </w:p>
        </w:tc>
        <w:tc>
          <w:tcPr>
            <w:tcW w:w="6100" w:type="dxa"/>
            <w:vAlign w:val="bottom"/>
          </w:tcPr>
          <w:p>
            <w:pPr>
              <w:ind w:left="400"/>
              <w:spacing w:after="0"/>
              <w:rPr>
                <w:sz w:val="20"/>
                <w:szCs w:val="20"/>
                <w:color w:val="auto"/>
              </w:rPr>
            </w:pPr>
            <w:r>
              <w:rPr>
                <w:rFonts w:ascii="Arial" w:cs="Arial" w:eastAsia="Arial" w:hAnsi="Arial"/>
                <w:sz w:val="18"/>
                <w:szCs w:val="18"/>
                <w:color w:val="auto"/>
              </w:rPr>
              <w:t>AMENDMENTS</w:t>
            </w:r>
          </w:p>
        </w:tc>
        <w:tc>
          <w:tcPr>
            <w:tcW w:w="410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Place of Meetings</w:t>
      </w:r>
      <w:r>
        <w:rPr>
          <w:rFonts w:ascii="Arial" w:cs="Arial" w:eastAsia="Arial" w:hAnsi="Arial"/>
          <w:sz w:val="18"/>
          <w:szCs w:val="18"/>
          <w:color w:val="auto"/>
        </w:rPr>
        <w:t>. All meetings of stockholders shall be held at such place, if any, as may be designated from time to time by the Board of Directors, the Chairman of the Board or the Chief Executive Officer or, if not so designated, at the principal executive office of the corporation. The Board of Directors may, in its sole discretion, determine that a meeting shall not be held at any place, but shall instead be held solely by means of remote communication in a manner consistent with the General Corporation Law of the State of Delaware.</w:t>
      </w:r>
    </w:p>
    <w:p>
      <w:pPr>
        <w:spacing w:after="0" w:line="18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Annual Meeting</w:t>
      </w:r>
      <w:r>
        <w:rPr>
          <w:rFonts w:ascii="Arial" w:cs="Arial" w:eastAsia="Arial" w:hAnsi="Arial"/>
          <w:sz w:val="18"/>
          <w:szCs w:val="18"/>
          <w:color w:val="auto"/>
        </w:rPr>
        <w:t>. The annual meeting of stockholders for the election of directors to succeed those whose terms expire and for the transaction of such other business as may properly be brought before the meeting shall be held on a date and at a time designated by the Board of Directors, the Chairman of the Board or the Chief Executive Officer. The Board of Directors may postpone, reschedule or cancel any previously scheduled annual meeting of stockholders.</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stockholders for any purpose or purposes may be called at any time only by the Board of Directors, and may not be called by any other person or persons. Business transacted at any special meeting of stockholders shall be limited to matters relating to the purpose or purposes stated in the notice of meeting. The Board of Directors may postpone, reschedule or cancel any previously scheduled special meeting of stockholders.</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Record Date for Stockholder Meetings</w:t>
      </w:r>
      <w:r>
        <w:rPr>
          <w:rFonts w:ascii="Arial" w:cs="Arial" w:eastAsia="Arial" w:hAnsi="Arial"/>
          <w:sz w:val="18"/>
          <w:szCs w:val="18"/>
          <w:color w:val="auto"/>
        </w:rPr>
        <w:t>. 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spacing w:after="0" w:line="291" w:lineRule="auto"/>
        <w:rPr>
          <w:sz w:val="20"/>
          <w:szCs w:val="20"/>
          <w:color w:val="auto"/>
        </w:rPr>
      </w:pPr>
      <w:r>
        <w:rPr>
          <w:rFonts w:ascii="Arial" w:cs="Arial" w:eastAsia="Arial" w:hAnsi="Arial"/>
          <w:sz w:val="16"/>
          <w:szCs w:val="16"/>
          <w:color w:val="auto"/>
        </w:rPr>
        <w:t>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6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u w:val="single" w:color="auto"/>
          <w:color w:val="auto"/>
        </w:rPr>
        <w:t>Notice of Meetings</w:t>
      </w:r>
      <w:r>
        <w:rPr>
          <w:rFonts w:ascii="Arial" w:cs="Arial" w:eastAsia="Arial" w:hAnsi="Arial"/>
          <w:sz w:val="16"/>
          <w:szCs w:val="16"/>
          <w:color w:val="auto"/>
        </w:rPr>
        <w:t>. Except as otherwise provided by law, the Certificate of Incorporation or these bylaws, notice of each meeting of stockholders, whether annual or special, shall be given not less than 10 nor more than 60 days before the date of the meeting to each stockholder entitled to vote at such meeting. Without limiting the manner by which notice otherwise may be given to stockholders, any notice shall be effective if given by a form of electronic transmission consented to (in a manner consistent with the General Corporation Law of the State of Delaware) by the stockholder to whom the notice is given. The notices of all meetings shall state the place, if any, date and time of the meeting and the means of remote communications, if any, by which stockholders and proxyholders may be deemed to be present in person and vote at such meeting. The notice of a special meeting shall state, in addition, the purpose or purposes for which the meeting is called. If notice is given by mail, such notice shall be deemed given when deposited in the United States mail, postage prepaid, directed to the stockholder at such stockholder’s address as it appears on the records of the corporation. If notice is given by electronic transmission, such notice shall be deemed given at the time specified in Section 232 of the General Corporation Law of the State of Delaware.</w:t>
      </w:r>
    </w:p>
    <w:p>
      <w:pPr>
        <w:spacing w:after="0" w:line="167"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color w:val="auto"/>
        </w:rPr>
        <w:t xml:space="preserve">1.6 </w:t>
      </w:r>
      <w:r>
        <w:rPr>
          <w:rFonts w:ascii="Arial" w:cs="Arial" w:eastAsia="Arial" w:hAnsi="Arial"/>
          <w:sz w:val="17"/>
          <w:szCs w:val="17"/>
          <w:u w:val="single" w:color="auto"/>
          <w:color w:val="auto"/>
        </w:rPr>
        <w:t>Voting List</w:t>
      </w:r>
      <w:r>
        <w:rPr>
          <w:rFonts w:ascii="Arial" w:cs="Arial" w:eastAsia="Arial" w:hAnsi="Arial"/>
          <w:sz w:val="17"/>
          <w:szCs w:val="17"/>
          <w:color w:val="auto"/>
        </w:rPr>
        <w:t>. The corporation shall prepare, at least 10 days before every meeting of stockholders, a complete list of the stockholders entitled to vote at the meeting (provided, however, if the record date for determining the stockholders entitled to vote is less than 10 days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spacing w:after="0" w:line="288" w:lineRule="auto"/>
        <w:rPr>
          <w:sz w:val="20"/>
          <w:szCs w:val="20"/>
          <w:color w:val="auto"/>
        </w:rPr>
      </w:pPr>
      <w:r>
        <w:rPr>
          <w:rFonts w:ascii="Arial" w:cs="Arial" w:eastAsia="Arial" w:hAnsi="Arial"/>
          <w:sz w:val="16"/>
          <w:szCs w:val="16"/>
          <w:color w:val="auto"/>
        </w:rPr>
        <w:t>before the meeting date, the list shall reflect the stockholders entitled to vote as of the tenth day before the meeting), arranged in alphabetical order, and showing the address of each stockholder and the number of shares registered in the name of each stockholder. Such list shall be open to the examination of any stockholder, for any purpose germane to the meeting for a period of at least 10 days prior to the meeting: (a) on a reasonably accessible electronic network, provided that the information required to gain access to such list is provided with the notice of the meeting, or (b) during ordinary business hours, at the principal place of business of the corporation. If the meeting is to be held at a physical location (and not solely by means of remote communication), then the list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such list shall be the only evidence as to who are the stockholders entitled to examine the list of stockholders required by this Section 1.6 or to vote in person or by proxy at any meeting of stockholders.</w:t>
      </w:r>
    </w:p>
    <w:p>
      <w:pPr>
        <w:spacing w:after="0" w:line="16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1.7 </w:t>
      </w:r>
      <w:r>
        <w:rPr>
          <w:rFonts w:ascii="Arial" w:cs="Arial" w:eastAsia="Arial" w:hAnsi="Arial"/>
          <w:sz w:val="17"/>
          <w:szCs w:val="17"/>
          <w:u w:val="single" w:color="auto"/>
          <w:color w:val="auto"/>
        </w:rPr>
        <w:t>Quorum</w:t>
      </w:r>
      <w:r>
        <w:rPr>
          <w:rFonts w:ascii="Arial" w:cs="Arial" w:eastAsia="Arial" w:hAnsi="Arial"/>
          <w:sz w:val="17"/>
          <w:szCs w:val="17"/>
          <w:color w:val="auto"/>
        </w:rPr>
        <w:t>. Except as otherwise provided by law, the Certificate of Incorporation or these bylaws, the holders of a majority in voting power of the shares of the capital stock of the corporation issued and outstanding and entitled to vote at the meeting, present in person, present by means of remote communication in a manner, if any, authorized by the Board of Directors in its sole discretion, or represented by proxy, shall constitute a quorum for the transaction of business; provided, however, that where a separate vote by a class or classes or series of capital stock is required by law or the Certificate of Incorporation, the holders of a majority in voting power of the shares of such class or classes or series of the capital stock of the corporation issued and outstanding and entitled to vote on such matter, present in person, present by means of remote communication in a manner, if any, authorized by the Board of Directors in its sole discretion, or represented by proxy, shall constitute a quorum entitled to take action with respect to the vote on such matter. A quorum, once established at a meeting, shall not be broken by the withdrawal of enough votes to leave less than a quorum.</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1" w:name="page22"/>
    <w:bookmarkEnd w:id="21"/>
    <w:p>
      <w:pPr>
        <w:ind w:firstLine="648"/>
        <w:spacing w:after="0" w:line="288" w:lineRule="auto"/>
        <w:rPr>
          <w:sz w:val="20"/>
          <w:szCs w:val="20"/>
          <w:color w:val="auto"/>
        </w:rPr>
      </w:pPr>
      <w:r>
        <w:rPr>
          <w:rFonts w:ascii="Arial" w:cs="Arial" w:eastAsia="Arial" w:hAnsi="Arial"/>
          <w:sz w:val="16"/>
          <w:szCs w:val="16"/>
          <w:color w:val="auto"/>
        </w:rPr>
        <w:t xml:space="preserve">1.8 </w:t>
      </w:r>
      <w:r>
        <w:rPr>
          <w:rFonts w:ascii="Arial" w:cs="Arial" w:eastAsia="Arial" w:hAnsi="Arial"/>
          <w:sz w:val="16"/>
          <w:szCs w:val="16"/>
          <w:u w:val="single" w:color="auto"/>
          <w:color w:val="auto"/>
        </w:rPr>
        <w:t>Adjournments</w:t>
      </w:r>
      <w:r>
        <w:rPr>
          <w:rFonts w:ascii="Arial" w:cs="Arial" w:eastAsia="Arial" w:hAnsi="Arial"/>
          <w:sz w:val="16"/>
          <w:szCs w:val="16"/>
          <w:color w:val="auto"/>
        </w:rPr>
        <w:t>. Any meeting of stockholders may be adjourned from time to time to reconvene at any other time and to any other place at which a meeting of stockholders may be held under these bylaws by the chairman of the meeting. It shall not be necessary to notify any stockholder of any adjournment of less than 30 days if the time and place, if any, of the adjourned meeting, and the means of remote communication, if any, by which stockholders and proxyholders may be deemed to be present in person and vote at such adjourned meeting, are announced at the meeting at which adjournment is taken, unless after the adjournment a new record date is fixed for the adjourned meeting. At the adjourned meeting, the corporation may transact any business that might have been transacted at the original meeting. If the adjournment is for more than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6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1.9 </w:t>
      </w:r>
      <w:r>
        <w:rPr>
          <w:rFonts w:ascii="Arial" w:cs="Arial" w:eastAsia="Arial" w:hAnsi="Arial"/>
          <w:sz w:val="17"/>
          <w:szCs w:val="17"/>
          <w:u w:val="single" w:color="auto"/>
          <w:color w:val="auto"/>
        </w:rPr>
        <w:t>Voting and Proxies</w:t>
      </w:r>
      <w:r>
        <w:rPr>
          <w:rFonts w:ascii="Arial" w:cs="Arial" w:eastAsia="Arial" w:hAnsi="Arial"/>
          <w:sz w:val="17"/>
          <w:szCs w:val="17"/>
          <w:color w:val="auto"/>
        </w:rPr>
        <w:t>. Each stockholder shall have one vote upon the matter in question for each share of stock entitled to vote held of record by such stockholder and a proportionate vote for each fractional share so held, unless otherwise provided by law or the Certificate of Incorporation. Each stockholder of record entitled to vote at a meeting of stockholders may vote in person (including by means of remote communications, if any, by which stockholders may be deemed to be present in person and vote at such meeting) or may authorize another person or persons to vote for such stockholder by a proxy executed or transmitted in a manner permitted by the General Corporation Law of the State of Delaware by the stockholder or such stockholder’s authorized agent and delivered (including by electronic transmission) to the Secretary of the corporation. No such proxy shall be voted upon after three years from the date of its execution, unless the proxy expressly provides for a longer period.</w:t>
      </w:r>
    </w:p>
    <w:p>
      <w:pPr>
        <w:spacing w:after="0" w:line="178"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 xml:space="preserve">1.10 </w:t>
      </w:r>
      <w:r>
        <w:rPr>
          <w:rFonts w:ascii="Arial" w:cs="Arial" w:eastAsia="Arial" w:hAnsi="Arial"/>
          <w:sz w:val="17"/>
          <w:szCs w:val="17"/>
          <w:u w:val="single" w:color="auto"/>
          <w:color w:val="auto"/>
        </w:rPr>
        <w:t>Action at Meeting</w:t>
      </w:r>
      <w:r>
        <w:rPr>
          <w:rFonts w:ascii="Arial" w:cs="Arial" w:eastAsia="Arial" w:hAnsi="Arial"/>
          <w:sz w:val="17"/>
          <w:szCs w:val="17"/>
          <w:color w:val="auto"/>
        </w:rPr>
        <w:t>. When a quorum is present at any meeting, any matter other than the election of directors to be voted upon by the stockholders at such meeting shall be decided by the vote of the holders of shares of stock having a majority in voting power of the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2" w:name="page23"/>
    <w:bookmarkEnd w:id="22"/>
    <w:p>
      <w:pPr>
        <w:ind w:right="20"/>
        <w:spacing w:after="0" w:line="297" w:lineRule="auto"/>
        <w:rPr>
          <w:sz w:val="20"/>
          <w:szCs w:val="20"/>
          <w:color w:val="auto"/>
        </w:rPr>
      </w:pPr>
      <w:r>
        <w:rPr>
          <w:rFonts w:ascii="Arial" w:cs="Arial" w:eastAsia="Arial" w:hAnsi="Arial"/>
          <w:sz w:val="16"/>
          <w:szCs w:val="16"/>
          <w:color w:val="auto"/>
        </w:rPr>
        <w:t>votes cast by the holders of all of the shares of stock present or represented at the meeting and voting affirmatively or negatively on such matter (or if there are two or more classes or series of stock entitled to vote as separate classes, then in the case of each such class or series, the holders of a majority in voting power of the shares of stock of that class or series present or represented at the meeting and voting affirmatively or negatively on such matter), except when a different vote is required by law, the Certificate of Incorporation or these bylaws. When a quorum is present at any meeting, any election by stockholders of directors shall be determined by a plurality of the votes cast by the stockholders entitled to vote on the election.</w:t>
      </w:r>
    </w:p>
    <w:p>
      <w:pPr>
        <w:spacing w:after="0" w:line="158"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u w:val="single" w:color="auto"/>
          <w:color w:val="auto"/>
        </w:rPr>
        <w:t>Nomination of Directors</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72" w:lineRule="auto"/>
        <w:tabs>
          <w:tab w:leader="none" w:pos="1991"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Except for (1) any directors entitled to be elected by the holders of preferred stock, (2) any directors elected in accordance with Section 2.8 hereof by the Board of Directors to fill vacancies or newly-created directorships or (3) as otherwise required by applicable law or stock exchange regulation, at any meeting of stockholders, only persons who are nominated in accordance with the procedures in this Section 1.11 shall be eligible for election as directors. Nomination for election to the Board of Directors at a meeting of stockholders may be made (i) by or at the direction of the Board of Directors or (ii) by any stockholder of the corporation who (x) timely complies with the notice procedures in Section 1.11(b), (y) is a stockholder of record who is entitled to vote for the election of such nominee on the date of the giving of such notice and on the record date for the determination of stockholders entitled to vote at such meeting and (z) is entitled to vote at such meeting.</w:t>
      </w:r>
    </w:p>
    <w:p>
      <w:pPr>
        <w:spacing w:after="0" w:line="177" w:lineRule="exact"/>
        <w:rPr>
          <w:rFonts w:ascii="Arial" w:cs="Arial" w:eastAsia="Arial" w:hAnsi="Arial"/>
          <w:sz w:val="17"/>
          <w:szCs w:val="17"/>
          <w:color w:val="auto"/>
        </w:rPr>
      </w:pPr>
    </w:p>
    <w:p>
      <w:pPr>
        <w:ind w:firstLine="1305"/>
        <w:spacing w:after="0" w:line="255" w:lineRule="auto"/>
        <w:tabs>
          <w:tab w:leader="none" w:pos="200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be timely, a stockholder’s notice must be received in writing by the Secretary at the principal executive office of the corporation as follows: (1) in the case of an election of directors at an annual meeting of stockholders, not less than 90 days nor more than 120 days prior to the first anniversary of the preceding year’s annual meeting; provided, however, that (x) in the case of an annual meeting of stockholders of the corporation to be held in 2020 or (y) in the event that the date of the annual meeting in any other year is advanced by more than 30 days, or delayed by more than 60 days, from the first anniversary of the preceding year’s annual meeting, or if no annual meeting was held in the preceding year, a stockholder’s notice must be so received not earlier than the 120th day prior to such annual meeting and not</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3" w:name="page24"/>
    <w:bookmarkEnd w:id="23"/>
    <w:p>
      <w:pPr>
        <w:spacing w:after="0" w:line="253" w:lineRule="auto"/>
        <w:rPr>
          <w:sz w:val="20"/>
          <w:szCs w:val="20"/>
          <w:color w:val="auto"/>
        </w:rPr>
      </w:pPr>
      <w:r>
        <w:rPr>
          <w:rFonts w:ascii="Arial" w:cs="Arial" w:eastAsia="Arial" w:hAnsi="Arial"/>
          <w:sz w:val="18"/>
          <w:szCs w:val="18"/>
          <w:color w:val="auto"/>
        </w:rPr>
        <w:t>later than the close of business on the later of (x) the 90th day prior to such annual meeting and (y) the tenth day following the day on which notice of the date of such annual meeting was mailed or public disclosure of the date of such annual meeting was made, whichever first occurs; or (2) in the case of an election of directors at a special meeting of stockholders, provided that the Board of Directors has determined, in accordance with Section 1.3, that directors shall be elected at such special meeting and provided further that the nomination made by the stockholder is for one of the director positions that the Board of Directors has determined will be filled at such special meeting, not earlier than the 120th day prior to such special meeting and not later than the close of business on the later of (x) the 90th day prior to such special meeting and (y) the tenth day following the day on which notice of the date of such special meeting was mailed or public disclosure of the date of such special meeting was made, whichever first occurs. In no event shall the adjournment or postponement of a meeting (or the public disclosure thereof) commence a new time period (or extend any time period) for the giving of a stockholder’s notice.</w:t>
      </w:r>
    </w:p>
    <w:p>
      <w:pPr>
        <w:spacing w:after="0" w:line="19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stockholder’s notice to the Secretary shall set forth: (A) as to each proposed nominee (1) such person’s name, age, business address and, if known, residence address, (2) such person’s principal occupation or employment, (3) the class and series and number of shares of stock of the corporation that are, directly or indirectly, owned, beneficially or of record, by such person, (4) a description of all direct and indirect compensation and other material monetary agreements, arrangements and understandings during the past three years, and any other material relationships, between or among (x) the stockholder, the beneficial owner, if any, on whose behalf the nomination is being made and the respective affiliates and associates of, or others acting in concert with, such stockholder and such beneficial owner, on the one hand, and (y) each proposed nominee, and his or her respective affiliates and associates, or others acting in concert with such nominee(s), on the other hand, including all information that would be required to be disclosed pursuant to Item 404 of Regulation S-K if the stockholder making the nomination and any beneficial owner on whose behalf the nomination is made or any affiliate or associate thereof or person acting in concert therewith were the “registrant” for purposes of such Item and the proposed nominee were a director or executive officer of such registrant, and (5) any other information concerning such person that must be disclosed as to nominees in proxy solicitations pursuant to Regulation 14A under the Securities Exchange Act of 1934, as amended (the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4" w:name="page25"/>
    <w:bookmarkEnd w:id="24"/>
    <w:p>
      <w:pPr>
        <w:spacing w:after="0" w:line="283" w:lineRule="auto"/>
        <w:rPr>
          <w:sz w:val="20"/>
          <w:szCs w:val="20"/>
          <w:color w:val="auto"/>
        </w:rPr>
      </w:pPr>
      <w:r>
        <w:rPr>
          <w:rFonts w:ascii="Arial" w:cs="Arial" w:eastAsia="Arial" w:hAnsi="Arial"/>
          <w:sz w:val="16"/>
          <w:szCs w:val="16"/>
          <w:color w:val="auto"/>
        </w:rPr>
        <w:t>“Exchange Act”); and (B) as to the stockholder giving the notice and the beneficial owner, if any, on whose behalf the nomination is being made (1) the name and address of such stockholder, as they appear on the corporation’s books, and of such beneficial owner, (2) the class and series and number of shares of stock of the corporation that are, directly or indirectly, owned, beneficially or of record, by such stockholder and such beneficial owner, (3) a description of any agreement, arrangement or understanding between or among such stockholder and/or such beneficial owner and each proposed nominee and any other person or persons (including their names) pursuant to which the nomination(s) are being made or who may participate in the solicitation of proxies or votes in favor of electing such nominee(s), (4) a description of any agreement, arrangement or understanding (including any derivative or short positions, swaps, profit interests, options, warrants, convertible securities, stock appreciation or similar rights, hedging transactions, and borrowed or loaned shares) that has been entered into by, or on behalf of, such stockholder or such beneficial owner, the effect or intent of which is to mitigate loss to, manage risk or benefit of share price changes for, or increase or decrease the voting power of, such stockholder or such beneficial owner with respect to shares of stock of the corporation,</w:t>
      </w:r>
    </w:p>
    <w:p>
      <w:pPr>
        <w:spacing w:after="0" w:line="7" w:lineRule="exact"/>
        <w:rPr>
          <w:sz w:val="20"/>
          <w:szCs w:val="20"/>
          <w:color w:val="auto"/>
        </w:rPr>
      </w:pPr>
    </w:p>
    <w:p>
      <w:pPr>
        <w:ind w:right="60" w:firstLine="8"/>
        <w:spacing w:after="0" w:line="286" w:lineRule="auto"/>
        <w:tabs>
          <w:tab w:leader="none" w:pos="2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other information relating to such stockholder and such beneficial owner that would be required to be disclosed in a proxy statement or other filings required to be made in connection with solicitations of proxies for the election of directors in a contested election pursuant to Section 14 of the Exchange Act and the rules and regulations promulgated thereunder, (6) a representation that such stockholder intends to appear in person or by proxy at the meeting to nominate the person(s) named in its notice and (7) a representation whether such stockholder and/or such beneficial owner intends or is part of a group that intends (x) to deliver a proxy statement and/or form of proxy to holders of at least the percentage of the corporation’s outstanding capital stock reasonably believed by such stockholder or such beneficial owner to be sufficient to elect the nominee (and such representation shall be included in any such proxy statement and form of proxy) and/or (y) otherwise to solicit proxies or votes from stockholders in support of such nomination (and such representation shall be included in any such solicitation materials). Not later than 10 days after the record date for the meeting, the information required by Items (A)(1)-(5) and (B)(1)-(5) of the prior sentence shall be supplemented by the stockholder giving the notice to provide updated information as of the record date. In addition, to be effective, the stockholder’s notice must be accompanied by the written consent of the proposed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 w:name="page26"/>
    <w:bookmarkEnd w:id="25"/>
    <w:p>
      <w:pPr>
        <w:ind w:right="60"/>
        <w:spacing w:after="0" w:line="255" w:lineRule="auto"/>
        <w:rPr>
          <w:sz w:val="20"/>
          <w:szCs w:val="20"/>
          <w:color w:val="auto"/>
        </w:rPr>
      </w:pPr>
      <w:r>
        <w:rPr>
          <w:rFonts w:ascii="Arial" w:cs="Arial" w:eastAsia="Arial" w:hAnsi="Arial"/>
          <w:sz w:val="18"/>
          <w:szCs w:val="18"/>
          <w:color w:val="auto"/>
        </w:rPr>
        <w:t>nominee to serve as a director if elected. The corporation may require any proposed nominee to furnish such other information as the corporation may reasonably require to determine the eligibility of such proposed nominee to serve as a director of the corporation or whether such nominee would be independent under applicable Securities and Exchange Commission and stock exchange rules and the corporation’s publicly disclosed corporate governance guidelines. A stockholder shall not have complied with this Section 1.11(b) if the stockholder (or beneficial owner, if any, on whose behalf the nomination is made) solicits or does not solicit, as the case may be, proxies or votes in support of such stockholder’s nominee in contravention of the representations with respect thereto required by this Section 1.11.</w:t>
      </w:r>
    </w:p>
    <w:p>
      <w:pPr>
        <w:spacing w:after="0" w:line="193" w:lineRule="exact"/>
        <w:rPr>
          <w:sz w:val="20"/>
          <w:szCs w:val="20"/>
          <w:color w:val="auto"/>
        </w:rPr>
      </w:pPr>
    </w:p>
    <w:p>
      <w:pPr>
        <w:ind w:firstLine="1305"/>
        <w:spacing w:after="0" w:line="297" w:lineRule="auto"/>
        <w:tabs>
          <w:tab w:leader="none" w:pos="1991"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chairman of any meeting shall have the power and duty to determine whether a nomination was made in accordance with the provisions of this Section 1.11 (including whether the stockholder or beneficial owner, if any, on whose behalf the nomination is made solicited (or is part of a group that solicited) or did not so solicit, as the case may be, proxies or votes in support of such stockholder’s nominee in compliance with the representations with respect thereto required by this Section 1.11), and if the chairman should determine that a nomination was not made in accordance with the provisions of this Section 1.11, the chairman shall so declare to the meeting and such nomination shall not be brought before the meeting.</w:t>
      </w:r>
    </w:p>
    <w:p>
      <w:pPr>
        <w:spacing w:after="0" w:line="158" w:lineRule="exact"/>
        <w:rPr>
          <w:rFonts w:ascii="Arial" w:cs="Arial" w:eastAsia="Arial" w:hAnsi="Arial"/>
          <w:sz w:val="16"/>
          <w:szCs w:val="16"/>
          <w:color w:val="auto"/>
        </w:rPr>
      </w:pPr>
    </w:p>
    <w:p>
      <w:pPr>
        <w:jc w:val="both"/>
        <w:ind w:right="520" w:firstLine="1305"/>
        <w:spacing w:after="0" w:line="264" w:lineRule="auto"/>
        <w:tabs>
          <w:tab w:leader="none" w:pos="2001"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Except as otherwise required by law, nothing in this Section 1.11 shall obligate the corporation or the Board of Directors to include in any proxy statement or other stockholder communication distributed on behalf of the corporation or the Board of Directors information with respect to any nominee for director submitted by a stockholder.</w:t>
      </w:r>
    </w:p>
    <w:p>
      <w:pPr>
        <w:spacing w:after="0" w:line="181" w:lineRule="exact"/>
        <w:rPr>
          <w:rFonts w:ascii="Arial" w:cs="Arial" w:eastAsia="Arial" w:hAnsi="Arial"/>
          <w:sz w:val="18"/>
          <w:szCs w:val="18"/>
          <w:color w:val="auto"/>
        </w:rPr>
      </w:pPr>
    </w:p>
    <w:p>
      <w:pPr>
        <w:ind w:right="100" w:firstLine="1305"/>
        <w:spacing w:after="0" w:line="257" w:lineRule="auto"/>
        <w:tabs>
          <w:tab w:leader="none" w:pos="1991"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1.11, unless otherwise required by law, if the stockholder (or a qualified representative of the stockholder) does not appear at the meeting to present a nomination, such nomination shall not be brought before the meeting, notwithstanding that proxies in respect of such nominee may have been received by the corporation. For purposes of this Section 1.11, to be considered a “qualified representative of the stockholder”, a person must be a duly authorized officer, manager or partner of such stockholder or must be authorized by a written instrument executed by such</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6" w:name="page27"/>
    <w:bookmarkEnd w:id="26"/>
    <w:p>
      <w:pPr>
        <w:ind w:right="20"/>
        <w:spacing w:after="0" w:line="264" w:lineRule="auto"/>
        <w:rPr>
          <w:sz w:val="20"/>
          <w:szCs w:val="20"/>
          <w:color w:val="auto"/>
        </w:rPr>
      </w:pPr>
      <w:r>
        <w:rPr>
          <w:rFonts w:ascii="Arial" w:cs="Arial" w:eastAsia="Arial" w:hAnsi="Arial"/>
          <w:sz w:val="18"/>
          <w:szCs w:val="18"/>
          <w:color w:val="auto"/>
        </w:rPr>
        <w:t>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at the meeting of stockholders.</w:t>
      </w:r>
    </w:p>
    <w:p>
      <w:pPr>
        <w:spacing w:after="0" w:line="181" w:lineRule="exact"/>
        <w:rPr>
          <w:sz w:val="20"/>
          <w:szCs w:val="20"/>
          <w:color w:val="auto"/>
        </w:rPr>
      </w:pPr>
    </w:p>
    <w:p>
      <w:pPr>
        <w:ind w:right="120" w:firstLine="1305"/>
        <w:spacing w:after="0" w:line="264" w:lineRule="auto"/>
        <w:tabs>
          <w:tab w:leader="none" w:pos="2016"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purposes of this Section 1.11, “public disclosure” shall include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8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u w:val="single" w:color="auto"/>
          <w:color w:val="auto"/>
        </w:rPr>
        <w:t>Notice of Business at Annual Meetings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0" w:lineRule="auto"/>
        <w:tabs>
          <w:tab w:leader="none" w:pos="1991" w:val="left"/>
        </w:tabs>
        <w:numPr>
          <w:ilvl w:val="0"/>
          <w:numId w:val="18"/>
        </w:numPr>
        <w:rPr>
          <w:rFonts w:ascii="Arial" w:cs="Arial" w:eastAsia="Arial" w:hAnsi="Arial"/>
          <w:sz w:val="17"/>
          <w:szCs w:val="17"/>
          <w:color w:val="auto"/>
        </w:rPr>
      </w:pPr>
      <w:r>
        <w:rPr>
          <w:rFonts w:ascii="Arial" w:cs="Arial" w:eastAsia="Arial" w:hAnsi="Arial"/>
          <w:sz w:val="17"/>
          <w:szCs w:val="17"/>
          <w:color w:val="auto"/>
        </w:rPr>
        <w:t>At any annual meeting of the stockholders, only such business shall be conducted as shall have been properly brought before the meeting. To be properly brought before an annual meeting, business must be (1) specified in the notice of meeting (or any supplement thereto) given by or at the direction of the Board of Directors, (2) otherwise properly brought before the meeting by or at the direction of the Board of Directors, or (3) properly brought before the meeting by a stockholder. For business to be properly brought before an annual meeting by a stockholder, (i) if such business relates to the nomination of a person for election as a director of the corporation, the procedures in Section 1.11 must be complied with and (ii) if such business relates to any other matter, the business must constitute a proper matter under Delaware law for stockholder action and the stockholder must (x) have given timely notice thereof in writing to the Secretary in accordance with the procedures in Section 1.12(b), (y) be a stockholder of record who is entitled to vote on such business on the date of the giving of such notice and on the record date for the determination of stockholders entitled to vote at such annual meeting and (z) be entitled to vote at such annual meeting.</w:t>
      </w:r>
    </w:p>
    <w:p>
      <w:pPr>
        <w:spacing w:after="0" w:line="181" w:lineRule="exact"/>
        <w:rPr>
          <w:rFonts w:ascii="Arial" w:cs="Arial" w:eastAsia="Arial" w:hAnsi="Arial"/>
          <w:sz w:val="17"/>
          <w:szCs w:val="17"/>
          <w:color w:val="auto"/>
        </w:rPr>
      </w:pPr>
    </w:p>
    <w:p>
      <w:pPr>
        <w:ind w:right="140" w:firstLine="1305"/>
        <w:spacing w:after="0" w:line="279" w:lineRule="auto"/>
        <w:tabs>
          <w:tab w:leader="none" w:pos="2001"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be timely, a stockholder’s notice must be received in writing by the Secretary at the principal executive office of the corporation not less than 90 days nor more than 120 days prior to the first anniversary of the preceding year’s annual meeting; provided, however, that in the event that the date of the annual meeting is advanced by more than 30 days, or delayed by more than 60 days, from the first anniversary of the preceding year’s annual meeting, or if no annual meeting was held in the preceding year, a stockholder’s notice must be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ind w:right="40"/>
        <w:spacing w:after="0" w:line="279" w:lineRule="auto"/>
        <w:rPr>
          <w:sz w:val="20"/>
          <w:szCs w:val="20"/>
          <w:color w:val="auto"/>
        </w:rPr>
      </w:pPr>
      <w:r>
        <w:rPr>
          <w:rFonts w:ascii="Arial" w:cs="Arial" w:eastAsia="Arial" w:hAnsi="Arial"/>
          <w:sz w:val="17"/>
          <w:szCs w:val="17"/>
          <w:color w:val="auto"/>
        </w:rPr>
        <w:t>so received not earlier than the 120th day prior to such annual meeting and not later than the close of business on the later of (x) the 90th day prior to such annual meeting and (y) the tenth day following the day on which notice of the date of such annual meeting was mailed or public disclosure of the date of such annual meeting was made, whichever first occurs. In no event shall the adjournment or postponement of an annual meeting (or the public disclosure thereof) commence a new time period (or extend any time period) for the giving of a stockholder’s notice.</w:t>
      </w:r>
    </w:p>
    <w:p>
      <w:pPr>
        <w:spacing w:after="0" w:line="17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The stockholder’s notice to the Secretary shall set forth: (A) as to each matter the stockholder proposes to bring before the annual meeting (1) a brief description of the business desired to be brought before the annual meeting, (2) the text of the proposal (including the exact text of any resolutions proposed for consideration and, in the event that such business includes a proposal to amend the bylaws, the exact text of the proposed amendment), and (3) the reasons for conducting such business at the annual meeting, and (B) as to the stockholder giving the notice and the beneficial owner, if any, on whose behalf the proposal is being made (1) the name and address of such stockholder, as they appear on the corporation’s books, and of such beneficial owner, (2) the class and series and number of shares of stock of the corporation that are, directly or indirectly, owned, beneficially or of record, by such stockholder and such beneficial owner, (3) a description of any material interest of such stockholder or such beneficial owner and the respective affiliates and associates of, or others acting in concert with, such stockholder or such beneficial owner in such business, (4) a description of any agreement, arrangement or understanding between or among such stockholder and/or such beneficial owner and any other person or persons (including their names) in connection with the proposal of such business or who may participate in the solicitation of proxies in favor of such proposal, (5) a description of any agreement, arrangement or understanding (including any derivative or short positions, swaps, profit interests, options, warrants, convertible securities, stock appreciation or similar rights, hedging transactions, and borrowed or loaned shares) that has been entered into by, or on behalf of, such stockholder or such beneficial owner, the effect or intent of which is to mitigate loss to, manage risk or benefit of share price changes for, or increase or decrease the voting power of, such stockholder or such beneficial owner with respect to shares of stock of the corporation, (6) any other information relating to such stockholder and such beneficial owner that would be required to be disclosed in a proxy statement or other filings required to be made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connection with solicitations of proxies for the business proposed pursuant to Section 14 of the Exchange Act and the rules and regulations promulgated thereunder, (7) a representation that such stockholder intends to appear in person or by proxy at the annual meeting to bring such business before the meeting and (8) a representation whether such stockholder and/or such beneficial owner intends or is part of a group that intends (x) to deliver a proxy statement and/or form of proxy to holders of at least the percentage of the corporation’s outstanding capital stock required to approve or adopt the proposal (and such representation shall be included in any such proxy statement and form of proxy) and/or (y) otherwise to solicit proxies or votes from stockholders in support of such proposal (and such representation shall be included in any such solicitation materials). Not later than 10 days after the record date for the meeting, the information required by Items (A)(3) and (B)(1)-(6) of the prior sentence shall be supplemented by the stockholder giving the notice to provide updated information as of the record date. Notwithstanding anything in these bylaws to the contrary, no business shall be conducted at any annual meeting of stockholders except in accordance with the procedures in this Section 1.12; provided that any stockholder proposal that complies with Rule 14a-8 of the proxy rules (or any successor provision) promulgated under the Exchange Act and is to be included in the corporation’s proxy statement for an annual meeting of stockholders shall be deemed to comply with the notice requirements of this Section 1.12. A stockholder shall not have complied with this Section 1.12(b) if the stockholder (or beneficial owner, if any, on whose behalf the proposal is made) solicits or does not solicit, as the case may be, proxies or votes in support of such stockholder’s proposal in contravention of the representations with respect thereto required by this Section 1.12.</w:t>
      </w:r>
    </w:p>
    <w:p>
      <w:pPr>
        <w:spacing w:after="0" w:line="175" w:lineRule="exact"/>
        <w:rPr>
          <w:sz w:val="20"/>
          <w:szCs w:val="20"/>
          <w:color w:val="auto"/>
        </w:rPr>
      </w:pPr>
    </w:p>
    <w:p>
      <w:pPr>
        <w:ind w:right="40" w:firstLine="1305"/>
        <w:spacing w:after="0" w:line="273" w:lineRule="auto"/>
        <w:tabs>
          <w:tab w:leader="none" w:pos="1991"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chairman of any annual meeting shall have the power and duty to determine whether business was properly brought before the annual meeting in accordance with the provisions of this Section 1.12 (including whether the stockholder or beneficial owner, if any, on whose behalf the proposal is made solicited (or is part of a group that solicited) or did not so solicit, as the case may be, proxies or votes in support of such stockholder’s proposal in compliance with the representation with respect thereto required by this Section 1.12), and if the chairman should determine that business was not properly brought before the annual meeting in accordance with the provisions of this Section 1.12, the chairman shall so declare to the meeting and such business shall not be brought before the annual meeting.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 w:name="page29"/>
    <w:bookmarkEnd w:id="28"/>
    <w:p>
      <w:pPr>
        <w:jc w:val="both"/>
        <w:ind w:left="-20" w:right="520" w:firstLine="1305"/>
        <w:spacing w:after="0" w:line="264" w:lineRule="auto"/>
        <w:tabs>
          <w:tab w:leader="none" w:pos="1981"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Except as otherwise required by law, nothing in this Section 1.12 shall obligate the corporation or the Board of Directors to include in any proxy statement or other stockholder communication distributed on behalf of the corporation or the Board of Directors information with respect to any proposal submitted by a stockholder.</w:t>
      </w:r>
    </w:p>
    <w:p>
      <w:pPr>
        <w:spacing w:after="0" w:line="181" w:lineRule="exact"/>
        <w:rPr>
          <w:rFonts w:ascii="Arial" w:cs="Arial" w:eastAsia="Arial" w:hAnsi="Arial"/>
          <w:sz w:val="18"/>
          <w:szCs w:val="18"/>
          <w:color w:val="auto"/>
        </w:rPr>
      </w:pPr>
    </w:p>
    <w:p>
      <w:pPr>
        <w:ind w:left="-20" w:right="80" w:firstLine="1305"/>
        <w:spacing w:after="0" w:line="264" w:lineRule="auto"/>
        <w:tabs>
          <w:tab w:leader="none" w:pos="1971"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1.12, unless otherwise required by law, if the stockholder (or a qualified representative of the stockholder) does not appear at the annual meeting to present business, such business shall not be considered, notwithstanding that proxies in respect of such business may have been received by the corporation.</w:t>
      </w:r>
    </w:p>
    <w:p>
      <w:pPr>
        <w:spacing w:after="0" w:line="181" w:lineRule="exact"/>
        <w:rPr>
          <w:rFonts w:ascii="Arial" w:cs="Arial" w:eastAsia="Arial" w:hAnsi="Arial"/>
          <w:sz w:val="18"/>
          <w:szCs w:val="18"/>
          <w:color w:val="auto"/>
        </w:rPr>
      </w:pPr>
    </w:p>
    <w:p>
      <w:pPr>
        <w:ind w:left="-20" w:right="220" w:firstLine="1305"/>
        <w:spacing w:after="0" w:line="277" w:lineRule="auto"/>
        <w:tabs>
          <w:tab w:leader="none" w:pos="1996"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purposes of this Section 1.12, the terms “qualified representative of the stockholder” and “public disclosure” shall have the same meaning as in Section 1.11.</w:t>
      </w:r>
    </w:p>
    <w:p>
      <w:pPr>
        <w:spacing w:after="0" w:line="170"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u w:val="single" w:color="auto"/>
          <w:color w:val="auto"/>
        </w:rPr>
        <w:t>Conduct of Meetings</w:t>
      </w:r>
      <w:r>
        <w:rPr>
          <w:rFonts w:ascii="Arial" w:cs="Arial" w:eastAsia="Arial" w:hAnsi="Arial"/>
          <w:sz w:val="16"/>
          <w:szCs w:val="16"/>
          <w:color w:val="auto"/>
        </w:rPr>
        <w:t>.</w:t>
      </w:r>
    </w:p>
    <w:p>
      <w:pPr>
        <w:spacing w:after="0" w:line="225" w:lineRule="exact"/>
        <w:rPr>
          <w:sz w:val="20"/>
          <w:szCs w:val="20"/>
          <w:color w:val="auto"/>
        </w:rPr>
      </w:pPr>
    </w:p>
    <w:p>
      <w:pPr>
        <w:ind w:left="-20" w:firstLine="1305"/>
        <w:spacing w:after="0" w:line="257" w:lineRule="auto"/>
        <w:tabs>
          <w:tab w:leader="none" w:pos="1971"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Unless otherwise provided by the Board of Directors, meetings of stockholders shall be presided over by the Chairman of the Board, if any, or in the Chairman’s absence by the Vice Chairman of the Board, if any, or in the Vice Chairman’s absence by the Chief Executive Officer, or in the Chief Executive Officer’s absence by the President, or in the President’s absence by a Vice President, or in the absence of all of the foregoing persons by a chairman designated by the Board of Directors. The Secretary shall act as secretary of the meeting, but in the Secretary’s absence the chairman of the meeting may appoint any person to act as secretary of the meeting.</w:t>
      </w:r>
    </w:p>
    <w:p>
      <w:pPr>
        <w:spacing w:after="0" w:line="188" w:lineRule="exact"/>
        <w:rPr>
          <w:rFonts w:ascii="Arial" w:cs="Arial" w:eastAsia="Arial" w:hAnsi="Arial"/>
          <w:sz w:val="18"/>
          <w:szCs w:val="18"/>
          <w:color w:val="auto"/>
        </w:rPr>
      </w:pPr>
    </w:p>
    <w:p>
      <w:pPr>
        <w:jc w:val="both"/>
        <w:ind w:left="-20" w:right="280" w:firstLine="1305"/>
        <w:spacing w:after="0" w:line="297" w:lineRule="auto"/>
        <w:tabs>
          <w:tab w:leader="none" w:pos="1981"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Board of Directors may adopt by resolution such rules, regulations and procedures for the conduct of any meeting of stockholders of the corporation as it shall deem appropriate including, without limitation, such guidelines and procedures as it may deem appropriate regarding the participation by means of remote communication of stockholders and proxyholders not physically present at a meeting. Except to the extent inconsistent with such rules, regulations and procedures as adopted by the Board of Directors, the chairman of any meeting of stockholders shall have the right and authority to convene and (for any or no reason) to recess and/or adjourn the meeting and prescribe such rules, regulations and procedures and 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341" w:right="259" w:bottom="1440" w:gutter="0" w:footer="0" w:header="0"/>
        </w:sectPr>
      </w:pPr>
    </w:p>
    <w:bookmarkStart w:id="29" w:name="page30"/>
    <w:bookmarkEnd w:id="29"/>
    <w:p>
      <w:pPr>
        <w:spacing w:after="0" w:line="272" w:lineRule="auto"/>
        <w:rPr>
          <w:sz w:val="20"/>
          <w:szCs w:val="20"/>
          <w:color w:val="auto"/>
        </w:rPr>
      </w:pPr>
      <w:r>
        <w:rPr>
          <w:rFonts w:ascii="Arial" w:cs="Arial" w:eastAsia="Arial" w:hAnsi="Arial"/>
          <w:sz w:val="17"/>
          <w:szCs w:val="17"/>
          <w:color w:val="auto"/>
        </w:rPr>
        <w:t>do all such acts as, in the judgment of such chairman, are appropriate for the proper conduct of the meeting. Such rules, regulations or procedures, whether adopted by the Board of Directors or prescribed by the chairman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shall be determined; (iv) restrictions on entry to the meeting after the time fixed for the commencement thereof; and (v) limitations on the time allotted to questions or comments by participants. Unless and to the extent determined by the Board of Directors or the chairman of the meeting, meetings of stockholders shall not be required to be held in accordance with the rules of parliamentary procedure.</w:t>
      </w:r>
    </w:p>
    <w:p>
      <w:pPr>
        <w:spacing w:after="0" w:line="178" w:lineRule="exact"/>
        <w:rPr>
          <w:sz w:val="20"/>
          <w:szCs w:val="20"/>
          <w:color w:val="auto"/>
        </w:rPr>
      </w:pPr>
    </w:p>
    <w:p>
      <w:pPr>
        <w:ind w:right="40" w:firstLine="1305"/>
        <w:spacing w:after="0" w:line="277" w:lineRule="auto"/>
        <w:tabs>
          <w:tab w:leader="none" w:pos="199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chairman of the meeting shall announce at the meeting when the polls for each matter to be voted upon at the meeting will be opened and closed. After the polls close, no ballots, proxies or votes or any revocations or changes thereto may be accepted.</w:t>
      </w:r>
    </w:p>
    <w:p>
      <w:pPr>
        <w:spacing w:after="0" w:line="170" w:lineRule="exact"/>
        <w:rPr>
          <w:rFonts w:ascii="Arial" w:cs="Arial" w:eastAsia="Arial" w:hAnsi="Arial"/>
          <w:sz w:val="18"/>
          <w:szCs w:val="18"/>
          <w:color w:val="auto"/>
        </w:rPr>
      </w:pPr>
    </w:p>
    <w:p>
      <w:pPr>
        <w:ind w:right="60" w:firstLine="1305"/>
        <w:spacing w:after="0" w:line="290" w:lineRule="auto"/>
        <w:tabs>
          <w:tab w:leader="none" w:pos="2001"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advance of any meeting of stockholders, the Board of Directors, the Chairman of the Board, the Chief Executive Officer or the President shall appoint one or more inspectors of election to act at the meeting and make a written report thereof. One or more other persons may be designated as alternate inspectors to replace any inspector who fails to act. If no inspector or alternate is present, ready and willing to act at a meeting of stockholders, the chairman of the meeting shall appoint one or more inspectors to act at the meeting. Unless otherwise required by law, inspectors may be officers, employees or agents of the corporation. Each inspector, before entering upon the discharge of such inspector’s duties, shall take and sign an oath faithfully to execute the duties of inspector with strict impartiality and according to the best of such inspector’s ability. The inspector shall have the duties prescribed by law and shall take charge of the polls and, when the vote is completed, shall make a certificate of the result of the vote taken and of such other facts as may be required by law. Every vote taken by ballots shall be counted by a duly appointed inspector or duly appointed inspectors.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0" w:name="page31"/>
    <w:bookmarkEnd w:id="30"/>
    <w:p>
      <w:pPr>
        <w:ind w:left="660"/>
        <w:spacing w:after="0"/>
        <w:tabs>
          <w:tab w:leader="none" w:pos="13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u w:val="single" w:color="auto"/>
          <w:color w:val="auto"/>
        </w:rPr>
        <w:t>No Action by Consent in Lieu of a Meeting</w:t>
      </w:r>
      <w:r>
        <w:rPr>
          <w:rFonts w:ascii="Arial" w:cs="Arial" w:eastAsia="Arial" w:hAnsi="Arial"/>
          <w:sz w:val="16"/>
          <w:szCs w:val="16"/>
          <w:color w:val="auto"/>
        </w:rPr>
        <w:t>. Stockholders of the corporation may not take any action by written consent in lieu of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meeting.</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General Powers</w:t>
      </w:r>
      <w:r>
        <w:rPr>
          <w:rFonts w:ascii="Arial" w:cs="Arial" w:eastAsia="Arial" w:hAnsi="Arial"/>
          <w:sz w:val="18"/>
          <w:szCs w:val="18"/>
          <w:color w:val="auto"/>
        </w:rPr>
        <w:t>. The business and affairs of the corporation shall be managed by or under the direction of a Board of Directors, who may exercise all of the powers of the corporation except as otherwise provided by law or the Certificate of Incorporation.</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Number, Election and Qualification</w:t>
      </w:r>
      <w:r>
        <w:rPr>
          <w:rFonts w:ascii="Arial" w:cs="Arial" w:eastAsia="Arial" w:hAnsi="Arial"/>
          <w:sz w:val="17"/>
          <w:szCs w:val="17"/>
          <w:color w:val="auto"/>
        </w:rPr>
        <w:t>. The number of directors of the corporation shall be the number fixed by, or determined in the manner provided in, the Certificate of Incorporation. Election of directors need not be by written ballot. Directors need not be stockholders of the corporation.</w:t>
      </w:r>
    </w:p>
    <w:p>
      <w:pPr>
        <w:spacing w:after="0" w:line="14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Chairman of the Board; Vice Chairman of the Board</w:t>
      </w:r>
      <w:r>
        <w:rPr>
          <w:rFonts w:ascii="Arial" w:cs="Arial" w:eastAsia="Arial" w:hAnsi="Arial"/>
          <w:sz w:val="16"/>
          <w:szCs w:val="16"/>
          <w:color w:val="auto"/>
        </w:rPr>
        <w:t>. The Board of Directors may appoint from its members a Chairman of the Board and a Vice Chairman of the Board, neither of whom need be an employee or officer of the corporation. If the Board of Directors appoints a Chairman of the Board, such Chairman shall perform such duties and possess such powers as are assigned by the Board of Directors and, if the Chairman of the Board is also designated as the corporation’s Chief Executive Officer, shall have the powers and duties of the Chief Executive Officer prescribed in Section 3.7 of these bylaws. If the Board of Directors appoints a Vice Chairman of the Board, such Vice Chairman shall perform such duties and possess such powers as are assigned by the Board of Directors or the Chairman of the Board. Unless otherwise provided by the Board of Directors, the Chairman of the Board or, in the Chairman’s absence, the Vice Chairman of the Board, if any, shall preside at all meetings of the Board of Directors.</w:t>
      </w:r>
    </w:p>
    <w:p>
      <w:pPr>
        <w:spacing w:after="0" w:line="16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Terms of Office</w:t>
      </w:r>
      <w:r>
        <w:rPr>
          <w:rFonts w:ascii="Arial" w:cs="Arial" w:eastAsia="Arial" w:hAnsi="Arial"/>
          <w:sz w:val="18"/>
          <w:szCs w:val="18"/>
          <w:color w:val="auto"/>
        </w:rPr>
        <w:t>. Directors shall be elected for such terms and in the manner provided by the Certificate of Incorporation and applicable law. The term of each director shall continue until the election and qualification of his or her successor and be subject to his or her earlier death, resignation or removal.</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31" w:name="page32"/>
    <w:bookmarkEnd w:id="31"/>
    <w:p>
      <w:pPr>
        <w:ind w:right="160" w:firstLine="648"/>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Quorum</w:t>
      </w:r>
      <w:r>
        <w:rPr>
          <w:rFonts w:ascii="Arial" w:cs="Arial" w:eastAsia="Arial" w:hAnsi="Arial"/>
          <w:sz w:val="18"/>
          <w:szCs w:val="18"/>
          <w:color w:val="auto"/>
        </w:rPr>
        <w:t>. The greater of (a) a majority of the directors at any time in office and (b) one-third of the number of directors established by the Board of Directors pursuant to the Certificate of Incorporation shall constitute a quorum of the Board of Directors. If at any meeting of the Board of Directors there shall be less than such a quorum, a majority of the directors present may adjourn the meeting from time to time without further notice other than announcement at the meeting, until a quorum shall be present.</w:t>
      </w:r>
    </w:p>
    <w:p>
      <w:pPr>
        <w:spacing w:after="0" w:line="187"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Action at Meeting</w:t>
      </w:r>
      <w:r>
        <w:rPr>
          <w:rFonts w:ascii="Arial" w:cs="Arial" w:eastAsia="Arial" w:hAnsi="Arial"/>
          <w:sz w:val="17"/>
          <w:szCs w:val="17"/>
          <w:color w:val="auto"/>
        </w:rPr>
        <w:t>. Every act or decision done or made by a majority of the directors present at a meeting duly held at which a quorum is present shall be regarded as the act of the Board of Directors, unless a greater number is required by law or by the Certificate of Incorporation.</w:t>
      </w:r>
    </w:p>
    <w:p>
      <w:pPr>
        <w:spacing w:after="0" w:line="14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u w:val="single" w:color="auto"/>
          <w:color w:val="auto"/>
        </w:rPr>
        <w:t>Removal</w:t>
      </w:r>
      <w:r>
        <w:rPr>
          <w:rFonts w:ascii="Arial" w:cs="Arial" w:eastAsia="Arial" w:hAnsi="Arial"/>
          <w:sz w:val="16"/>
          <w:szCs w:val="16"/>
          <w:color w:val="auto"/>
        </w:rPr>
        <w:t>. Directors of the corporation may be removed in the manner specified by the Certificate of Incorporation and applicable law.</w:t>
      </w:r>
    </w:p>
    <w:p>
      <w:pPr>
        <w:spacing w:after="0" w:line="225"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Vacancies</w:t>
      </w:r>
      <w:r>
        <w:rPr>
          <w:rFonts w:ascii="Arial" w:cs="Arial" w:eastAsia="Arial" w:hAnsi="Arial"/>
          <w:sz w:val="18"/>
          <w:szCs w:val="18"/>
          <w:color w:val="auto"/>
        </w:rPr>
        <w:t>. Any vacancy or newly-created directorship on the Board of Directors, however occurring, shall be filled in the manner specified by the Certificate of Incorporation and applicable law.</w:t>
      </w:r>
    </w:p>
    <w:p>
      <w:pPr>
        <w:spacing w:after="0" w:line="170"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Resignation</w:t>
      </w:r>
      <w:r>
        <w:rPr>
          <w:rFonts w:ascii="Arial" w:cs="Arial" w:eastAsia="Arial" w:hAnsi="Arial"/>
          <w:sz w:val="18"/>
          <w:szCs w:val="18"/>
          <w:color w:val="auto"/>
        </w:rPr>
        <w:t>. Any director may resign by delivering a resignation in writing or by electronic transmission to the corporation at its principal executive office or to the Chairman of the Board, the Chief Executive Officer, the President or the Secretary. Such resignation shall be effective upon receipt unless it is specified to be effective at some later time or upon the happening of some later event.</w:t>
      </w:r>
    </w:p>
    <w:p>
      <w:pPr>
        <w:spacing w:after="0" w:line="181"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of Directors may be held without notice at such time and place as shall be determined from time to time by the Board of Directors; provided that any director who is absent when such a determination is made shall be given notice of the determination. A regular meeting of the Board of Directors may be held without notice immediately after and at the same place as the annual meeting of stockholders.</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Board of Directors may be held at any time and place designated in a call by the Chairman of the Board, the Chief Executive Officer,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the President, two or more directors, or by one director in the event that there is only a single director in office.</w:t>
      </w:r>
    </w:p>
    <w:p>
      <w:pPr>
        <w:spacing w:after="0" w:line="22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Notice of Special Meetings</w:t>
      </w:r>
      <w:r>
        <w:rPr>
          <w:rFonts w:ascii="Arial" w:cs="Arial" w:eastAsia="Arial" w:hAnsi="Arial"/>
          <w:sz w:val="16"/>
          <w:szCs w:val="16"/>
          <w:color w:val="auto"/>
        </w:rPr>
        <w:t>. Notice of the date, place and time of any special meeting of directors shall be given to each director by the Secretary or by the officer or one of the directors calling the meeting. Notice shall be duly given to each director (a) in person, by telephone or by electronic transmission at least 24 hours in advance of the meeting, (b) by delivering written notice by hand to such director’s last known business or home address at least 48 hours in advance of the meeting, or (c) by sending written notice by first-class mail to such director’s last known business or home address at least 72 hours in advance of the meeting. A notice or waiver of notice of a meeting of the Board of Directors need not specify the purposes of the meeting.</w:t>
      </w:r>
    </w:p>
    <w:p>
      <w:pPr>
        <w:spacing w:after="0" w:line="15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Meetings by Conference Communications Equipment</w:t>
      </w:r>
      <w:r>
        <w:rPr>
          <w:rFonts w:ascii="Arial" w:cs="Arial" w:eastAsia="Arial" w:hAnsi="Arial"/>
          <w:sz w:val="18"/>
          <w:szCs w:val="18"/>
          <w:color w:val="auto"/>
        </w:rPr>
        <w:t>. Directors may participate in meetings of the Board of Directors or any committee thereof by means of conference telephone or other communications equipment by means of which all persons participating in the meeting can hear each other, and participation by such means shall constitute presence in person at such meeting.</w:t>
      </w:r>
    </w:p>
    <w:p>
      <w:pPr>
        <w:spacing w:after="0" w:line="18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Action by Consent</w:t>
      </w:r>
      <w:r>
        <w:rPr>
          <w:rFonts w:ascii="Arial" w:cs="Arial" w:eastAsia="Arial" w:hAnsi="Arial"/>
          <w:sz w:val="16"/>
          <w:szCs w:val="16"/>
          <w:color w:val="auto"/>
        </w:rPr>
        <w:t>. Any action required or permitted to be taken at any meeting of the Board of Directors or of any committee thereof may be taken without a meeting, if all members of the Board of Directors or committee, as the case may be, consent to the action in writing or by electronic transmission, and the written consents or electronic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54"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7"/>
          <w:szCs w:val="17"/>
          <w:color w:val="auto"/>
        </w:rPr>
        <w:t xml:space="preserve">2.15 </w:t>
      </w:r>
      <w:r>
        <w:rPr>
          <w:rFonts w:ascii="Arial" w:cs="Arial" w:eastAsia="Arial" w:hAnsi="Arial"/>
          <w:sz w:val="17"/>
          <w:szCs w:val="17"/>
          <w:u w:val="single" w:color="auto"/>
          <w:color w:val="auto"/>
        </w:rPr>
        <w:t>Committees</w:t>
      </w:r>
      <w:r>
        <w:rPr>
          <w:rFonts w:ascii="Arial" w:cs="Arial" w:eastAsia="Arial" w:hAnsi="Arial"/>
          <w:sz w:val="17"/>
          <w:szCs w:val="17"/>
          <w:color w:val="auto"/>
        </w:rPr>
        <w:t>. The Board of Directors may designate one or more committees, each committee to consist of one or more of the directors of the corporation with such lawfully delegable powers and duties as the Board of Directors thereby confers, to serve at the pleasure of the Board of Directors. The Board of Directors may designate one or more directors as alternate members of any committee, who may replace any absent or disqualified member at any meeting of the committee. In the absence or disqualification of a member of a committee, the member 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3" w:name="page34"/>
    <w:bookmarkEnd w:id="33"/>
    <w:p>
      <w:pPr>
        <w:ind w:right="40"/>
        <w:spacing w:after="0" w:line="270" w:lineRule="auto"/>
        <w:rPr>
          <w:sz w:val="20"/>
          <w:szCs w:val="20"/>
          <w:color w:val="auto"/>
        </w:rPr>
      </w:pPr>
      <w:r>
        <w:rPr>
          <w:rFonts w:ascii="Arial" w:cs="Arial" w:eastAsia="Arial" w:hAnsi="Arial"/>
          <w:sz w:val="17"/>
          <w:szCs w:val="17"/>
          <w:color w:val="auto"/>
        </w:rPr>
        <w:t>members of the committee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and subject to the provisions of law, shall have and may exercise all the powers and authority of the Board of Directors in the management of the business and affairs of the corporation and may authorize the seal of the corporation to be affixed to all papers that may require it. Each such committee shall keep minutes and make such reports as the Board of Directors may from time to time request. Except as the Board of Directors may otherwise determine, any committee may make rules for the conduct of its business, but unless otherwise provided by the directors or in such rules, its business shall be conducted as nearly as possible in the same manner as is provided in these bylaws for the Board of Directors. Except as otherwise provided in the Certificate of Incorporation, these bylaws, or the resolution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17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Compensation of Directors</w:t>
      </w:r>
      <w:r>
        <w:rPr>
          <w:rFonts w:ascii="Arial" w:cs="Arial" w:eastAsia="Arial" w:hAnsi="Arial"/>
          <w:sz w:val="18"/>
          <w:szCs w:val="18"/>
          <w:color w:val="auto"/>
        </w:rPr>
        <w:t>. Directors may be paid such compensation for their services and such reimbursement for expenses of attendance at meetings as the Board of Directors may from time to time determine. No such payment shall preclude any director from serving the corporation or any of its parent or subsidiary entities in any other capacity and receiving compensation for such service.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OFFICERS</w:t>
      </w:r>
    </w:p>
    <w:p>
      <w:pPr>
        <w:spacing w:after="0" w:line="229" w:lineRule="exact"/>
        <w:rPr>
          <w:sz w:val="20"/>
          <w:szCs w:val="20"/>
          <w:color w:val="auto"/>
        </w:rPr>
      </w:pPr>
    </w:p>
    <w:p>
      <w:pPr>
        <w:ind w:right="560" w:firstLine="648"/>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Titles</w:t>
      </w:r>
      <w:r>
        <w:rPr>
          <w:rFonts w:ascii="Arial" w:cs="Arial" w:eastAsia="Arial" w:hAnsi="Arial"/>
          <w:sz w:val="18"/>
          <w:szCs w:val="18"/>
          <w:color w:val="auto"/>
        </w:rPr>
        <w:t>. The officers of the corporation shall consist of a Chief Executive Officer, a President, a Secretary, a Treasurer and such other officers with such other titles as the Board of Directors shall determine, including one or more Vice Presidents, Assistant Treasurers and Assistant Secretaries. The Board of Directors may appoint such other officers as it may deem appropriate.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4" w:name="page35"/>
    <w:bookmarkEnd w:id="34"/>
    <w:p>
      <w:pPr>
        <w:ind w:right="180" w:firstLine="648"/>
        <w:spacing w:after="0" w:line="34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Election</w:t>
      </w:r>
      <w:r>
        <w:rPr>
          <w:rFonts w:ascii="Arial" w:cs="Arial" w:eastAsia="Arial" w:hAnsi="Arial"/>
          <w:sz w:val="16"/>
          <w:szCs w:val="16"/>
          <w:color w:val="auto"/>
        </w:rPr>
        <w:t>. The Chief Executive Officer, President, Treasurer and Secretary shall be elected annually by the Board of Directors at its first meeting following the annual meeting of stockholders. Other officers may be appointed by the Board of Directors at such meeting or at any other meeting.</w:t>
      </w:r>
    </w:p>
    <w:p>
      <w:pPr>
        <w:spacing w:after="0" w:line="124"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Qualification</w:t>
      </w:r>
      <w:r>
        <w:rPr>
          <w:rFonts w:ascii="Arial" w:cs="Arial" w:eastAsia="Arial" w:hAnsi="Arial"/>
          <w:sz w:val="16"/>
          <w:szCs w:val="16"/>
          <w:color w:val="auto"/>
        </w:rPr>
        <w:t>. No officer need be a stockholder. Any two or more offices may be held by the same person.</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Tenure</w:t>
      </w:r>
      <w:r>
        <w:rPr>
          <w:rFonts w:ascii="Arial" w:cs="Arial" w:eastAsia="Arial" w:hAnsi="Arial"/>
          <w:sz w:val="18"/>
          <w:szCs w:val="18"/>
          <w:color w:val="auto"/>
        </w:rPr>
        <w:t>. Except as otherwise provided by law, by the Certificate of Incorporation or by these bylaws, each officer shall hold office until such officer’s successor is elected and qualified, unless a different term is specified in the resolution electing or appointing such officer, or until such officer’s earlier death, resignation or removal.</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Resignation and Removal</w:t>
      </w:r>
      <w:r>
        <w:rPr>
          <w:rFonts w:ascii="Arial" w:cs="Arial" w:eastAsia="Arial" w:hAnsi="Arial"/>
          <w:sz w:val="18"/>
          <w:szCs w:val="18"/>
          <w:color w:val="auto"/>
        </w:rPr>
        <w:t>. Any officer may resign by delivering a resignation in writing or by electronic transmission to the corporation at its principal executive office or to the Chief Executive Officer, the President or the Secretary. Such resignation shall be effective upon receipt unless it is specified to be effective at some later time or upon the happening of some later event. Any officer may be removed at any time, with or without cause, by vote of a majority of the directors then in office. Except as the Board of Directors may otherwise determine, no officer who resigns or is removed shall have any right to any compensation as an officer for any period following such officer’s resignation or removal, or any right to damages on account of such removal, whether such officer’s compensation be by the month or by the year or otherwise, unless such compensation is expressly provided for in a duly authorized written agreement with the corporation.</w:t>
      </w:r>
    </w:p>
    <w:p>
      <w:pPr>
        <w:spacing w:after="0" w:line="18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Vacancies</w:t>
      </w:r>
      <w:r>
        <w:rPr>
          <w:rFonts w:ascii="Arial" w:cs="Arial" w:eastAsia="Arial" w:hAnsi="Arial"/>
          <w:sz w:val="18"/>
          <w:szCs w:val="18"/>
          <w:color w:val="auto"/>
        </w:rPr>
        <w:t>. The Board of Directors may fill any vacancy occurring in any office for any reason and may, in its discretion, leave unfilled for such period as it may determine any offices. Each such successor shall hold office for the unexpired term of such officer’s predecessor and until a successor is elected and qualified, or until such officer’s earlier death, resignation or removal.</w:t>
      </w:r>
    </w:p>
    <w:p>
      <w:pPr>
        <w:spacing w:after="0" w:line="18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President; Chief Executive Officer</w:t>
      </w:r>
      <w:r>
        <w:rPr>
          <w:rFonts w:ascii="Arial" w:cs="Arial" w:eastAsia="Arial" w:hAnsi="Arial"/>
          <w:sz w:val="18"/>
          <w:szCs w:val="18"/>
          <w:color w:val="auto"/>
        </w:rPr>
        <w:t>. Unless the Board of Directors has designated another person as the corporation’s Chief Executive Officer, the President shall be the Chief</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5" w:name="page36"/>
    <w:bookmarkEnd w:id="35"/>
    <w:p>
      <w:pPr>
        <w:ind w:right="60"/>
        <w:spacing w:after="0" w:line="291" w:lineRule="auto"/>
        <w:rPr>
          <w:sz w:val="20"/>
          <w:szCs w:val="20"/>
          <w:color w:val="auto"/>
        </w:rPr>
      </w:pPr>
      <w:r>
        <w:rPr>
          <w:rFonts w:ascii="Arial" w:cs="Arial" w:eastAsia="Arial" w:hAnsi="Arial"/>
          <w:sz w:val="16"/>
          <w:szCs w:val="16"/>
          <w:color w:val="auto"/>
        </w:rPr>
        <w:t>Executive Officer of the corporation. The Chief Executive Officer shall have general charge and supervision of the business of the corporation subject to the direction of the Board of Directors, and shall perform all duties and have all powers that are commonly incident to the office of the chief executive or that are delegated to such officer by the Board of Directors. The President shall perform such other duties and shall have such other powers as the Board of Directors or the Chief Executive Officer (if the President is not the Chief Executive Officer) may from time to time prescribe. In the event of the absence, inability or refusal to act of the Chief Executive Officer or the President (if the President is not the Chief Executive Officer), the Vice President (or if there shall be more than one, the Vice Presidents in the order determined by the Board of Directors) shall perform the duties of the Chief Executive Officer and when so performing such duties shall have all the powers of and be subject to all the restrictions upon the Chief Executive Officer.</w:t>
      </w:r>
    </w:p>
    <w:p>
      <w:pPr>
        <w:spacing w:after="0" w:line="16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Vice Presidents</w:t>
      </w:r>
      <w:r>
        <w:rPr>
          <w:rFonts w:ascii="Arial" w:cs="Arial" w:eastAsia="Arial" w:hAnsi="Arial"/>
          <w:sz w:val="18"/>
          <w:szCs w:val="18"/>
          <w:color w:val="auto"/>
        </w:rPr>
        <w:t>. Each Vice President shall perform such duties and possess such powers as the Board of Directors or the Chief Executive Officer may from time to time prescribe. The Board of Directors may assign to any Vice President the title of Executive Vice President, Senior Vice President or any other title selected by the Board of Directors.</w:t>
      </w:r>
    </w:p>
    <w:p>
      <w:pPr>
        <w:spacing w:after="0" w:line="181"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Secretary and Assistant Secretaries</w:t>
      </w:r>
      <w:r>
        <w:rPr>
          <w:rFonts w:ascii="Arial" w:cs="Arial" w:eastAsia="Arial" w:hAnsi="Arial"/>
          <w:sz w:val="16"/>
          <w:szCs w:val="16"/>
          <w:color w:val="auto"/>
        </w:rPr>
        <w:t>. The Secretary shall perform such duties and shall have such powers as the Board of Directors or the Chief Executive Officer may from time to time prescribe. In addition, the Secretary shall perform such duties and have such powers as are incident to the office of the secretary, including without limitation the duty and power to give notices of all meetings of stockholders and special meetings of the Board of Directors, to attend all meetings of stockholders and the Board of Directors and keep a record of the proceedings, to maintain a stock ledger and prepare lists of stockholders and their addresses as required, to be custodian of corporate records and the corporate seal and to affix and attest to the same on documents.</w:t>
      </w:r>
    </w:p>
    <w:p>
      <w:pPr>
        <w:spacing w:after="0" w:line="158"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Any Assistant Secretary shall perform such duties and possess such powers as the Board of Directors, the Chief Executive Officer or the Secretary may from time to time prescribe. In the event of the absence, inability or refusal to act of the Secretary, the Assistant Secretary (or if</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 w:name="page37"/>
    <w:bookmarkEnd w:id="36"/>
    <w:p>
      <w:pPr>
        <w:ind w:right="120"/>
        <w:spacing w:after="0" w:line="277" w:lineRule="auto"/>
        <w:rPr>
          <w:sz w:val="20"/>
          <w:szCs w:val="20"/>
          <w:color w:val="auto"/>
        </w:rPr>
      </w:pPr>
      <w:r>
        <w:rPr>
          <w:rFonts w:ascii="Arial" w:cs="Arial" w:eastAsia="Arial" w:hAnsi="Arial"/>
          <w:sz w:val="18"/>
          <w:szCs w:val="18"/>
          <w:color w:val="auto"/>
        </w:rPr>
        <w:t>there shall be more than one, the Assistant Secretaries in the order determined by the Board of Directors) shall perform the duties and exercise the powers of the Secretary.</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the absence of the Secretary or any Assistant Secretary at any meeting of stockholders or directors, the chairman of the meeting shall designate a temporary secretary to keep a record of the meeting.</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Treasurer and Assistant Treasurers</w:t>
      </w:r>
      <w:r>
        <w:rPr>
          <w:rFonts w:ascii="Arial" w:cs="Arial" w:eastAsia="Arial" w:hAnsi="Arial"/>
          <w:sz w:val="18"/>
          <w:szCs w:val="18"/>
          <w:color w:val="auto"/>
        </w:rPr>
        <w:t>. The Treasurer shall perform such duties and shall have such powers as may from time to time be assigned by the Board of Directors or the Chief Executive Officer. In addition, the Treasurer shall perform such duties and have such powers as are incident to the office of treasurer, including without limitation the duty and power to keep and be responsible for all funds and securities of the corporation, to deposit funds of the corporation in depositories selected in accordance with these bylaws, to disburse such funds as ordered by the Board of Directors, to make proper accounts of such funds, and to render as required by the Board of Directors statements of all such transactions and of the financial condition of the corporation.</w:t>
      </w:r>
    </w:p>
    <w:p>
      <w:pPr>
        <w:spacing w:after="0" w:line="193"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The Assistant Treasurers shall perform such duties and possess such powers as the Board of Directors, the Chief Executive Officer or the Treasurer may from time to time prescribe. In the event of the absence, inability or refusal to act of the Treasurer, the Assistant Treasurer (or if there shall be more than one, the Assistant Treasurers in the order determined by the Board of Directors) shall perform the duties and exercise the powers of the Treasurer.</w:t>
      </w:r>
    </w:p>
    <w:p>
      <w:pPr>
        <w:spacing w:after="0" w:line="14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Salaries</w:t>
      </w:r>
      <w:r>
        <w:rPr>
          <w:rFonts w:ascii="Arial" w:cs="Arial" w:eastAsia="Arial" w:hAnsi="Arial"/>
          <w:sz w:val="18"/>
          <w:szCs w:val="18"/>
          <w:color w:val="auto"/>
        </w:rPr>
        <w:t>. Officers of the corporation shall be entitled to such salaries, compensation or reimbursement as shall be fixed or allowed from time to time by the Board of Directors.</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Delegation of Authority</w:t>
      </w:r>
      <w:r>
        <w:rPr>
          <w:rFonts w:ascii="Arial" w:cs="Arial" w:eastAsia="Arial" w:hAnsi="Arial"/>
          <w:sz w:val="18"/>
          <w:szCs w:val="18"/>
          <w:color w:val="auto"/>
        </w:rPr>
        <w:t>. The Board of Directors may from time to time delegate the powers or duties of any officer to any other officer or agent, notwithstanding any provision 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 STOCK</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Issuance of Stock</w:t>
      </w:r>
      <w:r>
        <w:rPr>
          <w:rFonts w:ascii="Arial" w:cs="Arial" w:eastAsia="Arial" w:hAnsi="Arial"/>
          <w:sz w:val="18"/>
          <w:szCs w:val="18"/>
          <w:color w:val="auto"/>
        </w:rPr>
        <w:t>. Subject to the provisions of the Certificate of Incorporation, the whole or any part of any unissued balance of the authorized capital stock of the corporation or the whole or any part of any shares of the authorized capital stock of the corporation held in the corporation’s treasury may be issued, sold, transferred or otherwise disposed of by vote of the Board of Directors in such manner, for such lawful consideration and on such terms as the Board of Directors may determine.</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Stock Certificates; Uncertificated Shares</w:t>
      </w:r>
      <w:r>
        <w:rPr>
          <w:rFonts w:ascii="Arial" w:cs="Arial" w:eastAsia="Arial" w:hAnsi="Arial"/>
          <w:sz w:val="18"/>
          <w:szCs w:val="18"/>
          <w:color w:val="auto"/>
        </w:rPr>
        <w:t>. The shares of the corporation shall be represented by certificates, provided that the Board of Directors may provide by resolution or resolutions that some or all of any or all classes or series of the corporation’s stock shall be uncertificated shares. Any such resolution shall not apply to shares represented by a certificate until such certificate is surrendered to the corporation. Every holder of stock of the corporation represented by certificates shall be entitled to have a certificate, in such form as may be prescribed by law and by the Board of Directors, representing the number of shares held by such holder registered in certificate form. Each such certificate shall be signed in a manner that complies with Section 158 of the General Corporation Law of the State of Delaware.</w:t>
      </w:r>
    </w:p>
    <w:p>
      <w:pPr>
        <w:spacing w:after="0" w:line="19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Each certificate for shares of stock that are subject to any restriction on transfer pursuant to the Certificate of Incorporation, these bylaws, applicable securities laws or any agreement among any number of stockholders or among such holders and the corporation shall have conspicuously noted on the face or back of the certificate either the full text of the restriction or a statement of the existence of such restriction.</w:t>
      </w:r>
    </w:p>
    <w:p>
      <w:pPr>
        <w:spacing w:after="0" w:line="18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each certificate representing shares of such class or series of stock, provided that in lieu of the foregoing requirements there may be set forth on the face or back of each certificate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7" w:name="page38"/>
    <w:bookmarkEnd w:id="37"/>
    <w:p>
      <w:pPr>
        <w:jc w:val="both"/>
        <w:ind w:right="80"/>
        <w:spacing w:after="0" w:line="264" w:lineRule="auto"/>
        <w:rPr>
          <w:sz w:val="20"/>
          <w:szCs w:val="20"/>
          <w:color w:val="auto"/>
        </w:rPr>
      </w:pPr>
      <w:r>
        <w:rPr>
          <w:rFonts w:ascii="Arial" w:cs="Arial" w:eastAsia="Arial" w:hAnsi="Arial"/>
          <w:sz w:val="18"/>
          <w:szCs w:val="18"/>
          <w:color w:val="auto"/>
        </w:rPr>
        <w:t>representing shares of such class or series of stock a statement that the corporation will furnish without charge to each stockholder who so requests a copy of the full text of the powers, designations, preferences and relative, participating, optional or other special rights of each class of stock or series thereof and the qualifications, limitations or restrictions of such preferences and/or rights.</w:t>
      </w:r>
    </w:p>
    <w:p>
      <w:pPr>
        <w:spacing w:after="0" w:line="181"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Within a reasonable time after the issuance or transfer of uncertificated shares, the registered owner thereof shall be given a notice, in writing or by electronic transmission, containing the information required to be set forth or stated on certificates pursuant to Sections 151, 156, 202(a) or 218(a) of the General Corporation Law of the State of Delaware or, with respect to Section 151 of the General Corporation Law of the State of Delaware,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5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Transfers</w:t>
      </w:r>
      <w:r>
        <w:rPr>
          <w:rFonts w:ascii="Arial" w:cs="Arial" w:eastAsia="Arial" w:hAnsi="Arial"/>
          <w:sz w:val="16"/>
          <w:szCs w:val="16"/>
          <w:color w:val="auto"/>
        </w:rPr>
        <w:t>. Shares of stock of the corporation shall be transferable in the manner prescribed by law and in these bylaws. Transfers of shares of stock of the corporation shall be made only on the books of the corporation or by transfer agents designated to transfer shares of stock of the corporation. Subject to applicable law, shares of stock represented by certificates shall be transferred only on the books of the corporation by the surrender to the corporation or its transfer agent of the certificate representing such shares properly endorsed or accompanied by a written assignment or power of attorney properly executed, and with such proof of authority or the authenticity of signature as the corporation or its transfer agent may reasonably require. Uncertificated shares may be transferred by delivery of a written assignment or power of attorney properly executed, and with such proof of authority or the authenticity of signature as the corporation or its transfer agent may reasonably require.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vote with respect to such stock, regardless of any transfer, pledge or other disposition of such stock until the shares have been transferred on the books of the corporation in accordance with the requirements of these bylaws.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8" w:name="page39"/>
    <w:bookmarkEnd w:id="38"/>
    <w:p>
      <w:pPr>
        <w:ind w:right="80" w:firstLine="648"/>
        <w:spacing w:after="0" w:line="259"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The corporation may issue a new certificate of stock in place of any previously issued certificate alleged to have been lost, stolen or destroyed, upon such terms and conditions as the corporation may prescribe, including the presentation of reasonable evidence of such loss, theft or destruction and the giving of such indemnity and posting of such bond as the corporation may require for the protection of the corporation or any transfer agent or registrar.</w:t>
      </w:r>
    </w:p>
    <w:p>
      <w:pPr>
        <w:spacing w:after="0" w:line="187"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Regulations</w:t>
      </w:r>
      <w:r>
        <w:rPr>
          <w:rFonts w:ascii="Arial" w:cs="Arial" w:eastAsia="Arial" w:hAnsi="Arial"/>
          <w:sz w:val="18"/>
          <w:szCs w:val="18"/>
          <w:color w:val="auto"/>
        </w:rPr>
        <w:t>. The issue, transfer, conversion and registration of shares of stock of the corporation shall be governed by such other regulations as the Board of Directors may establish.</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PROVISIONS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Fiscal Year</w:t>
      </w:r>
      <w:r>
        <w:rPr>
          <w:rFonts w:ascii="Arial" w:cs="Arial" w:eastAsia="Arial" w:hAnsi="Arial"/>
          <w:sz w:val="18"/>
          <w:szCs w:val="18"/>
          <w:color w:val="auto"/>
        </w:rPr>
        <w:t>. Except as from time to time otherwise designated by the Board of Directors, the fiscal year of the corporation shall begin on the first day of January of each year and end on the last day of December in each year.</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Corporate Seal</w:t>
      </w:r>
      <w:r>
        <w:rPr>
          <w:rFonts w:ascii="Arial" w:cs="Arial" w:eastAsia="Arial" w:hAnsi="Arial"/>
          <w:sz w:val="16"/>
          <w:szCs w:val="16"/>
          <w:color w:val="auto"/>
        </w:rPr>
        <w:t>. The corporate seal shall be in such form as shall be approved by the Board of Directors.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Record Date for Purposes Other Than Stockholder Meetings</w:t>
      </w:r>
      <w:r>
        <w:rPr>
          <w:rFonts w:ascii="Arial" w:cs="Arial" w:eastAsia="Arial" w:hAnsi="Arial"/>
          <w:sz w:val="18"/>
          <w:szCs w:val="18"/>
          <w:color w:val="auto"/>
        </w:rPr>
        <w:t>. In order that the corporation may determine the stockholders entitled to receive payment of any dividend or other distribution or allotment of any rights, entitled to exercise any rights in respect of any change, conversion or exchange of stock, or for the purpose of any other lawful action (other than with respect to determining stockholders entitled to notice of or to vote at a meeting of stockholders, which is addressed in Section 1.4 of these bylaws), the Board of Directors may fix a record date, which shall not precede the date upon which the resolution fixing the record date is adopted, and which record date shall not be more than 60 days prior to such action. If no such record date is fixed, the record date for determining stockholders for any such purpose shall be at the close of business on the day on which the Board of Directors adopts the resolution relating thereto.</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9" w:name="page40"/>
    <w:bookmarkEnd w:id="39"/>
    <w:p>
      <w:pPr>
        <w:ind w:right="60" w:firstLine="648"/>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Waiver of Notice</w:t>
      </w:r>
      <w:r>
        <w:rPr>
          <w:rFonts w:ascii="Arial" w:cs="Arial" w:eastAsia="Arial" w:hAnsi="Arial"/>
          <w:sz w:val="18"/>
          <w:szCs w:val="18"/>
          <w:color w:val="auto"/>
        </w:rPr>
        <w:t>. Whenever notice is required to be given by law, by the Certificate of Incorporation or by these bylaws, a written waiver signed by the person entitled to notice, or a waiver by electronic transmission by the person entitled to notice, whether provided before, at or after the time of the event for which notice is to be given, shall be deemed equivalent to notice required to be given to such person. Neither the business nor the purpose of any meeting need be specified in any such waiver.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Voting of Securities</w:t>
      </w:r>
      <w:r>
        <w:rPr>
          <w:rFonts w:ascii="Arial" w:cs="Arial" w:eastAsia="Arial" w:hAnsi="Arial"/>
          <w:sz w:val="18"/>
          <w:szCs w:val="18"/>
          <w:color w:val="auto"/>
        </w:rPr>
        <w:t>. Except as the Board of Directors may otherwise designate, the Chief Executive Officer, the President or the Treasurer may waive notice of, vote, or appoint any person or persons to vote, on behalf of the corporation at, and act as, or appoint any person or persons to act as, proxy or attorney-in-fact for this corporation (with or without power of substitution) at, any meeting of stockholders or securityholders of any other entity, the securities of which may be held by this corporation, or with respect to the execution of any written or electronic consent in the name of the corporation as a holder of such securities.</w:t>
      </w:r>
    </w:p>
    <w:p>
      <w:pPr>
        <w:spacing w:after="0" w:line="188"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Evidence of Authority</w:t>
      </w:r>
      <w:r>
        <w:rPr>
          <w:rFonts w:ascii="Arial" w:cs="Arial" w:eastAsia="Arial" w:hAnsi="Arial"/>
          <w:sz w:val="18"/>
          <w:szCs w:val="18"/>
          <w:color w:val="auto"/>
        </w:rPr>
        <w:t>. A certificate by the Secretary, or an Assistant Secretary, or a temporary Secretary, as to any action taken by the stockholders, directors, a committee or any officer or representative of the corporation shall as to all persons who rely on the certificate in good faith be conclusive evidence of such action.</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All references in these bylaws to the Certificate of Incorporation shall be deemed to refer to the Certificate of Incorporation of the corporation, as amended and/or restated and in effect from time to time.</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Severability</w:t>
      </w:r>
      <w:r>
        <w:rPr>
          <w:rFonts w:ascii="Arial" w:cs="Arial" w:eastAsia="Arial" w:hAnsi="Arial"/>
          <w:sz w:val="18"/>
          <w:szCs w:val="18"/>
          <w:color w:val="auto"/>
        </w:rPr>
        <w:t>. Any determination that any provision of these bylaws is for any reason inapplicable, illegal or ineffective shall not affect or invalidate any other provision of these bylaws.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0" w:name="page41"/>
    <w:bookmarkEnd w:id="40"/>
    <w:p>
      <w:pPr>
        <w:ind w:firstLine="648"/>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Pronouns</w:t>
      </w:r>
      <w:r>
        <w:rPr>
          <w:rFonts w:ascii="Arial" w:cs="Arial" w:eastAsia="Arial" w:hAnsi="Arial"/>
          <w:sz w:val="18"/>
          <w:szCs w:val="18"/>
          <w:color w:val="auto"/>
        </w:rPr>
        <w:t>. All pronouns used in these bylaws shall be deemed to refer to the masculine, feminine or neuter, singular or plural, as the identity of the person or persons may require.</w:t>
      </w:r>
    </w:p>
    <w:p>
      <w:pPr>
        <w:spacing w:after="0" w:line="166"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AMENDMENTS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These bylaws may be altered, amended or repealed, in whole or in part, or new bylaws may be adopted by the Board of Directors or by the stockholders as provided in the Certificate of Incorporation.</w:t>
      </w:r>
    </w:p>
    <w:p>
      <w:pPr>
        <w:spacing w:after="0" w:line="170"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860"/>
      </w:cols>
      <w:pgMar w:left="240" w:top="341"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o"/>
      <w:numFmt w:val="bullet"/>
      <w:start w:val="1"/>
    </w:lvl>
  </w:abstractNum>
  <w:abstractNum w:abstractNumId="1">
    <w:nsid w:val="66EF438D"/>
    <w:multiLevelType w:val="hybridMultilevel"/>
    <w:lvl w:ilvl="0">
      <w:lvlJc w:val="left"/>
      <w:lvlText w:val="(%1)"/>
      <w:numFmt w:val="lowerRoman"/>
      <w:start w:val="1"/>
    </w:lvl>
  </w:abstractNum>
  <w:abstractNum w:abstractNumId="2">
    <w:nsid w:val="140E0F76"/>
    <w:multiLevelType w:val="hybridMultilevel"/>
    <w:lvl w:ilvl="0">
      <w:lvlJc w:val="left"/>
      <w:lvlText w:val="A"/>
      <w:numFmt w:val="bullet"/>
      <w:start w:val="1"/>
    </w:lvl>
    <w:lvl w:ilvl="1">
      <w:lvlJc w:val="left"/>
      <w:lvlText w:val="%2."/>
      <w:numFmt w:val="decimal"/>
      <w:start w:val="1"/>
    </w:lvl>
  </w:abstractNum>
  <w:abstractNum w:abstractNumId="3">
    <w:nsid w:val="3352255A"/>
    <w:multiLevelType w:val="hybridMultilevel"/>
    <w:lvl w:ilvl="0">
      <w:lvlJc w:val="left"/>
      <w:lvlText w:val="%1."/>
      <w:numFmt w:val="decimal"/>
      <w:start w:val="3"/>
    </w:lvl>
  </w:abstractNum>
  <w:abstractNum w:abstractNumId="4">
    <w:nsid w:val="109CF92E"/>
    <w:multiLevelType w:val="hybridMultilevel"/>
    <w:lvl w:ilvl="0">
      <w:lvlJc w:val="left"/>
      <w:lvlText w:val="B"/>
      <w:numFmt w:val="bullet"/>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2"/>
    </w:lvl>
  </w:abstractNum>
  <w:abstractNum w:abstractNumId="7">
    <w:nsid w:val="1BEFD79F"/>
    <w:multiLevelType w:val="hybridMultilevel"/>
    <w:lvl w:ilvl="0">
      <w:lvlJc w:val="left"/>
      <w:lvlText w:val="%1."/>
      <w:numFmt w:val="decimal"/>
      <w:start w:val="5"/>
    </w:lvl>
  </w:abstractNum>
  <w:abstractNum w:abstractNumId="8">
    <w:nsid w:val="41A7C4C9"/>
    <w:multiLevelType w:val="hybridMultilevel"/>
    <w:lvl w:ilvl="0">
      <w:lvlJc w:val="left"/>
      <w:lvlText w:val="%1."/>
      <w:numFmt w:val="decimal"/>
      <w:start w:val="7"/>
    </w:lvl>
  </w:abstractNum>
  <w:abstractNum w:abstractNumId="9">
    <w:nsid w:val="6B68079A"/>
    <w:multiLevelType w:val="hybridMultilevel"/>
    <w:lvl w:ilvl="0">
      <w:lvlJc w:val="left"/>
      <w:lvlText w:val="%1."/>
      <w:numFmt w:val="decimal"/>
      <w:start w:val="9"/>
    </w:lvl>
  </w:abstractNum>
  <w:abstractNum w:abstractNumId="10">
    <w:nsid w:val="4E6AFB66"/>
    <w:multiLevelType w:val="hybridMultilevel"/>
    <w:lvl w:ilvl="0">
      <w:lvlJc w:val="left"/>
      <w:lvlText w:val="%1."/>
      <w:numFmt w:val="decimal"/>
      <w:start w:val="14"/>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6"/>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decimal"/>
      <w:start w:val="5"/>
    </w:lvl>
  </w:abstractNum>
  <w:abstractNum w:abstractNumId="15">
    <w:nsid w:val="7C83E458"/>
    <w:multiLevelType w:val="hybridMultilevel"/>
    <w:lvl w:ilvl="0">
      <w:lvlJc w:val="left"/>
      <w:lvlText w:val="(%1)"/>
      <w:numFmt w:val="lowerLetter"/>
      <w:start w:val="3"/>
    </w:lvl>
  </w:abstractNum>
  <w:abstractNum w:abstractNumId="16">
    <w:nsid w:val="257130A3"/>
    <w:multiLevelType w:val="hybridMultilevel"/>
    <w:lvl w:ilvl="0">
      <w:lvlJc w:val="left"/>
      <w:lvlText w:val="(%1)"/>
      <w:numFmt w:val="lowerLetter"/>
      <w:start w:val="6"/>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lowerLetter"/>
      <w:start w:val="3"/>
    </w:lvl>
  </w:abstractNum>
  <w:abstractNum w:abstractNumId="19">
    <w:nsid w:val="628C895D"/>
    <w:multiLevelType w:val="hybridMultilevel"/>
    <w:lvl w:ilvl="0">
      <w:lvlJc w:val="left"/>
      <w:lvlText w:val="(%1)"/>
      <w:numFmt w:val="lowerLetter"/>
      <w:start w:val="4"/>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2019-12-28T10:24:43Z</dcterms:created>
  <dcterms:modified xsi:type="dcterms:W3CDTF">2019-12-28T10:24:43Z</dcterms:modified>
</cp:coreProperties>
</file>