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22225</wp:posOffset>
            </wp:positionH>
            <wp:positionV relativeFrom="paragraph">
              <wp:posOffset>-10795</wp:posOffset>
            </wp:positionV>
            <wp:extent cx="140335" cy="1898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8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40" w:right="340" w:hanging="259"/>
        <w:spacing w:after="0" w:line="180" w:lineRule="auto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6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31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31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4084955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-1762760</wp:posOffset>
            </wp:positionH>
            <wp:positionV relativeFrom="paragraph">
              <wp:posOffset>15875</wp:posOffset>
            </wp:positionV>
            <wp:extent cx="7325995" cy="4682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682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20"/>
            <w:col w:w="8760"/>
          </w:cols>
          <w:pgMar w:left="240" w:top="222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GLAXOSMITHKLINE PLC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Fulcrum Therapeutics,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FULC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980 GREAT WEST ROAD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07/22/2019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BRENTFORD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TW8 9GS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MIDDLESEX</w:t>
            </w: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 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  <w:vMerge w:val="restart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07/22/2019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1,785,714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jc w:val="right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1,785,714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gridSpan w:val="1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1,785,714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Preferred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07/22/2019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12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C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3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12,500,000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5"/>
                <w:szCs w:val="5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5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July 22, 2019 upon the closing of the Issuer's initial public offering (the "IPO"), the Series B Preferred Stock converted into Common Stock on a seven-for-one basis without payment of consideration. The Series B Preferred Stock was convertible at any time at the holder's election and automatically upon the closing of the IPO. The shares had no expiration date.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reported herein are held of record by Glaxo Group Limited, an indirect, wholly-owned subsidiary of GlaxoSmithKline plc (the "Reporting Person").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Victoria Whyte Authorized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07/24/2019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Signatory GlaxoSmithKline plc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4020" w:firstLine="2"/>
        <w:spacing w:after="0" w:line="335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31399" TargetMode="External"/><Relationship Id="rId13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2019-12-23T22:00:51Z</dcterms:created>
  <dcterms:modified xsi:type="dcterms:W3CDTF">2019-12-23T22:00:51Z</dcterms:modified>
</cp:coreProperties>
</file>