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12, 2019</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FULCRUM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47-4839948</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26 Landsdowne Street</w:t>
      </w:r>
    </w:p>
    <w:p>
      <w:pPr>
        <w:jc w:val="center"/>
        <w:spacing w:after="0" w:line="223" w:lineRule="auto"/>
        <w:rPr>
          <w:sz w:val="20"/>
          <w:szCs w:val="20"/>
          <w:color w:val="auto"/>
        </w:rPr>
      </w:pPr>
      <w:r>
        <w:rPr>
          <w:rFonts w:ascii="Arial" w:cs="Arial" w:eastAsia="Arial" w:hAnsi="Arial"/>
          <w:sz w:val="14"/>
          <w:szCs w:val="14"/>
          <w:b w:val="1"/>
          <w:bCs w:val="1"/>
          <w:color w:val="auto"/>
        </w:rPr>
        <w:t>Cambridge, Massachusetts 02139</w:t>
      </w:r>
    </w:p>
    <w:p>
      <w:pPr>
        <w:jc w:val="center"/>
        <w:spacing w:after="0" w:line="222" w:lineRule="auto"/>
        <w:rPr>
          <w:sz w:val="20"/>
          <w:szCs w:val="20"/>
          <w:color w:val="auto"/>
        </w:rPr>
      </w:pPr>
      <w:r>
        <w:rPr>
          <w:rFonts w:ascii="Arial" w:cs="Arial" w:eastAsia="Arial" w:hAnsi="Arial"/>
          <w:sz w:val="14"/>
          <w:szCs w:val="14"/>
          <w:b w:val="1"/>
          <w:bCs w:val="1"/>
          <w:color w:val="auto"/>
        </w:rPr>
        <w:t>(617) 651-8851</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Robert J. Gould, Ph.D.</w:t>
      </w:r>
    </w:p>
    <w:p>
      <w:pPr>
        <w:jc w:val="center"/>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Fulcrum Therapeutics, Inc.</w:t>
      </w:r>
    </w:p>
    <w:p>
      <w:pPr>
        <w:jc w:val="center"/>
        <w:spacing w:after="0" w:line="221" w:lineRule="auto"/>
        <w:rPr>
          <w:sz w:val="20"/>
          <w:szCs w:val="20"/>
          <w:color w:val="auto"/>
        </w:rPr>
      </w:pPr>
      <w:r>
        <w:rPr>
          <w:rFonts w:ascii="Arial" w:cs="Arial" w:eastAsia="Arial" w:hAnsi="Arial"/>
          <w:sz w:val="14"/>
          <w:szCs w:val="14"/>
          <w:b w:val="1"/>
          <w:bCs w:val="1"/>
          <w:color w:val="auto"/>
        </w:rPr>
        <w:t>26 Landsdowne Street</w:t>
      </w:r>
    </w:p>
    <w:p>
      <w:pPr>
        <w:jc w:val="center"/>
        <w:spacing w:after="0" w:line="222" w:lineRule="auto"/>
        <w:rPr>
          <w:sz w:val="20"/>
          <w:szCs w:val="20"/>
          <w:color w:val="auto"/>
        </w:rPr>
      </w:pPr>
      <w:r>
        <w:rPr>
          <w:rFonts w:ascii="Arial" w:cs="Arial" w:eastAsia="Arial" w:hAnsi="Arial"/>
          <w:sz w:val="14"/>
          <w:szCs w:val="14"/>
          <w:b w:val="1"/>
          <w:bCs w:val="1"/>
          <w:color w:val="auto"/>
        </w:rPr>
        <w:t>Cambridge, Massachusetts 02139</w:t>
      </w:r>
    </w:p>
    <w:p>
      <w:pPr>
        <w:jc w:val="center"/>
        <w:spacing w:after="0" w:line="221" w:lineRule="auto"/>
        <w:rPr>
          <w:sz w:val="20"/>
          <w:szCs w:val="20"/>
          <w:color w:val="auto"/>
        </w:rPr>
      </w:pPr>
      <w:r>
        <w:rPr>
          <w:rFonts w:ascii="Arial" w:cs="Arial" w:eastAsia="Arial" w:hAnsi="Arial"/>
          <w:sz w:val="14"/>
          <w:szCs w:val="14"/>
          <w:b w:val="1"/>
          <w:bCs w:val="1"/>
          <w:color w:val="auto"/>
        </w:rPr>
        <w:t>(617) 651-8851</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152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4"/>
              </w:rPr>
              <w:t>Copies to:</w:t>
            </w:r>
          </w:p>
        </w:tc>
        <w:tc>
          <w:tcPr>
            <w:tcW w:w="2680" w:type="dxa"/>
            <w:vAlign w:val="bottom"/>
          </w:tcPr>
          <w:p>
            <w:pPr>
              <w:spacing w:after="0"/>
              <w:rPr>
                <w:sz w:val="15"/>
                <w:szCs w:val="15"/>
                <w:color w:val="auto"/>
              </w:rPr>
            </w:pPr>
          </w:p>
        </w:tc>
      </w:tr>
      <w:tr>
        <w:trPr>
          <w:trHeight w:val="366"/>
        </w:trPr>
        <w:tc>
          <w:tcPr>
            <w:tcW w:w="3040" w:type="dxa"/>
            <w:vAlign w:val="bottom"/>
          </w:tcPr>
          <w:p>
            <w:pPr>
              <w:jc w:val="center"/>
              <w:ind w:right="972"/>
              <w:spacing w:after="0"/>
              <w:rPr>
                <w:sz w:val="20"/>
                <w:szCs w:val="20"/>
                <w:color w:val="auto"/>
              </w:rPr>
            </w:pPr>
            <w:r>
              <w:rPr>
                <w:rFonts w:ascii="Arial" w:cs="Arial" w:eastAsia="Arial" w:hAnsi="Arial"/>
                <w:sz w:val="14"/>
                <w:szCs w:val="14"/>
                <w:b w:val="1"/>
                <w:bCs w:val="1"/>
                <w:color w:val="auto"/>
                <w:w w:val="90"/>
              </w:rPr>
              <w:t>Lia Der Marderosian, Esq.</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Bryan E. Stuart</w:t>
            </w:r>
          </w:p>
        </w:tc>
        <w:tc>
          <w:tcPr>
            <w:tcW w:w="2680" w:type="dxa"/>
            <w:vAlign w:val="bottom"/>
          </w:tcPr>
          <w:p>
            <w:pPr>
              <w:jc w:val="center"/>
              <w:ind w:left="1352"/>
              <w:spacing w:after="0"/>
              <w:rPr>
                <w:sz w:val="20"/>
                <w:szCs w:val="20"/>
                <w:color w:val="auto"/>
              </w:rPr>
            </w:pPr>
            <w:r>
              <w:rPr>
                <w:rFonts w:ascii="Arial" w:cs="Arial" w:eastAsia="Arial" w:hAnsi="Arial"/>
                <w:sz w:val="14"/>
                <w:szCs w:val="14"/>
                <w:b w:val="1"/>
                <w:bCs w:val="1"/>
                <w:color w:val="auto"/>
                <w:w w:val="91"/>
              </w:rPr>
              <w:t>Patrick O'Brien, Esq.</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86"/>
              </w:rPr>
              <w:t>Steven D. Singer, Esq.</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Chief Operating Officer</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7"/>
              </w:rPr>
              <w:t>Emily Oldshue, Esq.</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90"/>
              </w:rPr>
              <w:t>Wilmer Cutler Pickering Hale and</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Fulcrum Therapeutics, Inc.</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92"/>
              </w:rPr>
              <w:t>Ropes &amp; Gray LLP</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93"/>
              </w:rPr>
              <w:t>Dorr LLP</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26 Landsdowne Street</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9"/>
              </w:rPr>
              <w:t>Prudential Tower</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86"/>
              </w:rPr>
              <w:t>60 State Street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Cambridge, Massachusetts 02139</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4"/>
              </w:rPr>
              <w:t>800 Boylston Street</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84"/>
              </w:rPr>
              <w:t>Boston, Massachusetts 02109</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(617) 651-8851</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7"/>
              </w:rPr>
              <w:t>Boston, MA 02199</w:t>
            </w:r>
          </w:p>
        </w:tc>
      </w:tr>
      <w:tr>
        <w:trPr>
          <w:trHeight w:val="174"/>
        </w:trPr>
        <w:tc>
          <w:tcPr>
            <w:tcW w:w="3040" w:type="dxa"/>
            <w:vAlign w:val="bottom"/>
          </w:tcPr>
          <w:p>
            <w:pPr>
              <w:jc w:val="center"/>
              <w:ind w:right="972"/>
              <w:spacing w:after="0"/>
              <w:rPr>
                <w:sz w:val="20"/>
                <w:szCs w:val="20"/>
                <w:color w:val="auto"/>
              </w:rPr>
            </w:pPr>
            <w:r>
              <w:rPr>
                <w:rFonts w:ascii="Arial" w:cs="Arial" w:eastAsia="Arial" w:hAnsi="Arial"/>
                <w:sz w:val="14"/>
                <w:szCs w:val="14"/>
                <w:b w:val="1"/>
                <w:bCs w:val="1"/>
                <w:color w:val="auto"/>
                <w:w w:val="87"/>
              </w:rPr>
              <w:t>(617) 526-6000</w:t>
            </w:r>
          </w:p>
        </w:tc>
        <w:tc>
          <w:tcPr>
            <w:tcW w:w="2300" w:type="dxa"/>
            <w:vAlign w:val="bottom"/>
          </w:tcPr>
          <w:p>
            <w:pPr>
              <w:spacing w:after="0"/>
              <w:rPr>
                <w:sz w:val="15"/>
                <w:szCs w:val="15"/>
                <w:color w:val="auto"/>
              </w:rPr>
            </w:pPr>
          </w:p>
        </w:tc>
        <w:tc>
          <w:tcPr>
            <w:tcW w:w="2680" w:type="dxa"/>
            <w:vAlign w:val="bottom"/>
          </w:tcPr>
          <w:p>
            <w:pPr>
              <w:jc w:val="center"/>
              <w:ind w:left="1332"/>
              <w:spacing w:after="0"/>
              <w:rPr>
                <w:sz w:val="20"/>
                <w:szCs w:val="20"/>
                <w:color w:val="auto"/>
              </w:rPr>
            </w:pPr>
            <w:r>
              <w:rPr>
                <w:rFonts w:ascii="Arial" w:cs="Arial" w:eastAsia="Arial" w:hAnsi="Arial"/>
                <w:sz w:val="14"/>
                <w:szCs w:val="14"/>
                <w:b w:val="1"/>
                <w:bCs w:val="1"/>
                <w:color w:val="auto"/>
                <w:w w:val="87"/>
              </w:rPr>
              <w:t>(617) 951-7000</w:t>
            </w:r>
          </w:p>
        </w:tc>
      </w:tr>
      <w:tr>
        <w:trPr>
          <w:trHeight w:val="203"/>
        </w:trPr>
        <w:tc>
          <w:tcPr>
            <w:tcW w:w="304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68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soon as practicable after this Registration Statement is declared effective.</w:t>
      </w:r>
    </w:p>
    <w:p>
      <w:pPr>
        <w:spacing w:after="0" w:line="192" w:lineRule="exact"/>
        <w:rPr>
          <w:sz w:val="24"/>
          <w:szCs w:val="24"/>
          <w:color w:val="auto"/>
        </w:rPr>
      </w:pPr>
    </w:p>
    <w:p>
      <w:pPr>
        <w:ind w:left="380"/>
        <w:spacing w:after="0"/>
        <w:tabs>
          <w:tab w:leader="none" w:pos="1036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407"/>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403"/>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415"/>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p>
      <w:pPr>
        <w:ind w:left="40"/>
        <w:spacing w:after="0" w:line="167" w:lineRule="exact"/>
        <w:tabs>
          <w:tab w:leader="none" w:pos="2760" w:val="left"/>
          <w:tab w:leader="none" w:pos="5160" w:val="left"/>
          <w:tab w:leader="none" w:pos="88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 o</w:t>
      </w:r>
    </w:p>
    <w:p>
      <w:pPr>
        <w:spacing w:after="0" w:line="20" w:lineRule="exact"/>
        <w:rPr>
          <w:sz w:val="24"/>
          <w:szCs w:val="24"/>
          <w:color w:val="auto"/>
        </w:rPr>
      </w:pPr>
    </w:p>
    <w:p>
      <w:pPr>
        <w:ind w:left="88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7" w:lineRule="exact"/>
        <w:rPr>
          <w:sz w:val="24"/>
          <w:szCs w:val="24"/>
          <w:color w:val="auto"/>
        </w:rPr>
      </w:pPr>
    </w:p>
    <w:p>
      <w:pPr>
        <w:ind w:firstLine="502"/>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CALCULATION OF REGISTRATION FEE</w:t>
      </w:r>
    </w:p>
    <w:p>
      <w:pPr>
        <w:sectPr>
          <w:pgSz w:w="11900" w:h="16838" w:orient="portrait"/>
          <w:cols w:equalWidth="0" w:num="1">
            <w:col w:w="11420"/>
          </w:cols>
          <w:pgMar w:left="240" w:top="469" w:right="239" w:bottom="0" w:gutter="0" w:footer="0" w:header="0"/>
          <w:type w:val="continuous"/>
        </w:sectPr>
      </w:pPr>
    </w:p>
    <w:bookmarkStart w:id="1" w:name="page2"/>
    <w:bookmarkEnd w:id="1"/>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7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60" w:type="dxa"/>
            <w:vAlign w:val="bottom"/>
          </w:tcPr>
          <w:p>
            <w:pPr>
              <w:jc w:val="center"/>
              <w:ind w:left="34"/>
              <w:spacing w:after="0" w:line="117" w:lineRule="exact"/>
              <w:rPr>
                <w:sz w:val="20"/>
                <w:szCs w:val="20"/>
                <w:color w:val="auto"/>
              </w:rPr>
            </w:pPr>
            <w:r>
              <w:rPr>
                <w:rFonts w:ascii="Arial" w:cs="Arial" w:eastAsia="Arial" w:hAnsi="Arial"/>
                <w:sz w:val="12"/>
                <w:szCs w:val="12"/>
                <w:b w:val="1"/>
                <w:bCs w:val="1"/>
                <w:color w:val="auto"/>
              </w:rPr>
              <w:t>Proposed Maximum</w:t>
            </w:r>
          </w:p>
        </w:tc>
        <w:tc>
          <w:tcPr>
            <w:tcW w:w="14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Title of Each Class of Securities</w:t>
            </w:r>
          </w:p>
        </w:tc>
        <w:tc>
          <w:tcPr>
            <w:tcW w:w="1440" w:type="dxa"/>
            <w:vAlign w:val="bottom"/>
          </w:tcPr>
          <w:p>
            <w:pPr>
              <w:jc w:val="center"/>
              <w:ind w:left="112"/>
              <w:spacing w:after="0"/>
              <w:rPr>
                <w:sz w:val="20"/>
                <w:szCs w:val="20"/>
                <w:color w:val="auto"/>
              </w:rPr>
            </w:pPr>
            <w:r>
              <w:rPr>
                <w:rFonts w:ascii="Arial" w:cs="Arial" w:eastAsia="Arial" w:hAnsi="Arial"/>
                <w:sz w:val="14"/>
                <w:szCs w:val="14"/>
                <w:b w:val="1"/>
                <w:bCs w:val="1"/>
                <w:color w:val="auto"/>
                <w:w w:val="86"/>
              </w:rPr>
              <w:t>Amount to be</w:t>
            </w:r>
          </w:p>
        </w:tc>
        <w:tc>
          <w:tcPr>
            <w:tcW w:w="1560" w:type="dxa"/>
            <w:vAlign w:val="bottom"/>
          </w:tcPr>
          <w:p>
            <w:pPr>
              <w:jc w:val="center"/>
              <w:ind w:left="34"/>
              <w:spacing w:after="0"/>
              <w:rPr>
                <w:sz w:val="20"/>
                <w:szCs w:val="20"/>
                <w:color w:val="auto"/>
              </w:rPr>
            </w:pPr>
            <w:r>
              <w:rPr>
                <w:rFonts w:ascii="Arial" w:cs="Arial" w:eastAsia="Arial" w:hAnsi="Arial"/>
                <w:sz w:val="14"/>
                <w:szCs w:val="14"/>
                <w:b w:val="1"/>
                <w:bCs w:val="1"/>
                <w:color w:val="auto"/>
                <w:w w:val="89"/>
              </w:rPr>
              <w:t>Offering Price Per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Offering</w:t>
            </w:r>
          </w:p>
        </w:tc>
        <w:tc>
          <w:tcPr>
            <w:tcW w:w="20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84"/>
              </w:rPr>
              <w:t>Amount of Registration Fee</w:t>
            </w:r>
            <w:r>
              <w:rPr>
                <w:rFonts w:ascii="Arial" w:cs="Arial" w:eastAsia="Arial" w:hAnsi="Arial"/>
                <w:sz w:val="22"/>
                <w:szCs w:val="22"/>
                <w:b w:val="1"/>
                <w:bCs w:val="1"/>
                <w:color w:val="auto"/>
                <w:w w:val="84"/>
                <w:vertAlign w:val="superscript"/>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to Be Registered</w:t>
            </w:r>
          </w:p>
        </w:tc>
        <w:tc>
          <w:tcPr>
            <w:tcW w:w="1440" w:type="dxa"/>
            <w:vAlign w:val="bottom"/>
            <w:tcBorders>
              <w:bottom w:val="single" w:sz="8" w:color="auto"/>
            </w:tcBorders>
          </w:tcPr>
          <w:p>
            <w:pPr>
              <w:jc w:val="center"/>
              <w:ind w:left="112"/>
              <w:spacing w:after="0" w:line="203"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1560" w:type="dxa"/>
            <w:vAlign w:val="bottom"/>
            <w:tcBorders>
              <w:bottom w:val="single" w:sz="8" w:color="auto"/>
            </w:tcBorders>
          </w:tcPr>
          <w:p>
            <w:pPr>
              <w:jc w:val="center"/>
              <w:ind w:left="34"/>
              <w:spacing w:after="0" w:line="203" w:lineRule="exact"/>
              <w:rPr>
                <w:sz w:val="20"/>
                <w:szCs w:val="20"/>
                <w:color w:val="auto"/>
              </w:rPr>
            </w:pPr>
            <w:r>
              <w:rPr>
                <w:rFonts w:ascii="Arial" w:cs="Arial" w:eastAsia="Arial" w:hAnsi="Arial"/>
                <w:sz w:val="14"/>
                <w:szCs w:val="14"/>
                <w:b w:val="1"/>
                <w:bCs w:val="1"/>
                <w:color w:val="auto"/>
                <w:w w:val="80"/>
              </w:rPr>
              <w:t>Share</w:t>
            </w:r>
            <w:r>
              <w:rPr>
                <w:rFonts w:ascii="Arial" w:cs="Arial" w:eastAsia="Arial" w:hAnsi="Arial"/>
                <w:sz w:val="22"/>
                <w:szCs w:val="22"/>
                <w:b w:val="1"/>
                <w:bCs w:val="1"/>
                <w:color w:val="auto"/>
                <w:w w:val="80"/>
                <w:vertAlign w:val="superscript"/>
              </w:rPr>
              <w:t>(2)</w:t>
            </w:r>
          </w:p>
        </w:tc>
        <w:tc>
          <w:tcPr>
            <w:tcW w:w="14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4"/>
              </w:rPr>
              <w:t>Price</w:t>
            </w:r>
            <w:r>
              <w:rPr>
                <w:rFonts w:ascii="Arial" w:cs="Arial" w:eastAsia="Arial" w:hAnsi="Arial"/>
                <w:sz w:val="22"/>
                <w:szCs w:val="22"/>
                <w:b w:val="1"/>
                <w:bCs w:val="1"/>
                <w:color w:val="auto"/>
                <w:w w:val="84"/>
                <w:vertAlign w:val="superscript"/>
              </w:rPr>
              <w:t>(2)</w:t>
            </w:r>
          </w:p>
        </w:tc>
        <w:tc>
          <w:tcPr>
            <w:tcW w:w="2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par value $0.001 per share</w:t>
            </w:r>
          </w:p>
        </w:tc>
        <w:tc>
          <w:tcPr>
            <w:tcW w:w="144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color w:val="auto"/>
                <w:w w:val="86"/>
              </w:rPr>
              <w:t>5,175,000</w:t>
            </w:r>
          </w:p>
        </w:tc>
        <w:tc>
          <w:tcPr>
            <w:tcW w:w="15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color w:val="auto"/>
                <w:w w:val="88"/>
              </w:rPr>
              <w:t>$18.00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$93,150,000</w:t>
            </w:r>
          </w:p>
        </w:tc>
        <w:tc>
          <w:tcPr>
            <w:tcW w:w="20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$11,290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675,000 shares of common stock the underwriters have an option to purchase.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457(a) based on an estimate of the proposed maximum aggregate offering price.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 registration fee of $11,290 was previously paid in connection with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479"/>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This Amendment No. 2 to the Registration Statement on Form S-1 of Fulcrum Therapeutics, Inc. (File No. 333-232260) (the "Registration Statement") is an exhibits-only filing to file certain exhibits and restate the list of exhibits set forth in Item 16 of Part II of the Registration Statement. Accordingly, this Amendment No. 2 consists only of the facing page, this explanatory note, Part II of the Registration Statement, the signature page and the exhibits filed herewith. The prospectus is unchanged and has therefore been omitted from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jc w:val="both"/>
        <w:ind w:firstLine="406"/>
        <w:spacing w:after="0" w:line="306"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Securities and Exchange Commission, or SEC, registration fee, the Financial Industry Regulatory Authority, Inc. filing fee and the Nasdaq Global Market initial listing fee.</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14,473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800,000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1,700,000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44,237</w:t>
            </w: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2,900,000</w:t>
            </w: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firstLine="557"/>
        <w:spacing w:after="0" w:line="253" w:lineRule="auto"/>
        <w:rPr>
          <w:sz w:val="20"/>
          <w:szCs w:val="20"/>
          <w:color w:val="auto"/>
        </w:rPr>
      </w:pPr>
      <w:r>
        <w:rPr>
          <w:rFonts w:ascii="Arial" w:cs="Arial" w:eastAsia="Arial" w:hAnsi="Arial"/>
          <w:sz w:val="18"/>
          <w:szCs w:val="18"/>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that will be effective upon the closing of this offering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74" w:lineRule="exact"/>
        <w:rPr>
          <w:sz w:val="20"/>
          <w:szCs w:val="20"/>
          <w:color w:val="auto"/>
        </w:rPr>
      </w:pPr>
    </w:p>
    <w:p>
      <w:pPr>
        <w:jc w:val="both"/>
        <w:ind w:firstLine="401"/>
        <w:spacing w:after="0" w:line="332" w:lineRule="auto"/>
        <w:rPr>
          <w:sz w:val="20"/>
          <w:szCs w:val="20"/>
          <w:color w:val="auto"/>
        </w:rPr>
      </w:pPr>
      <w:r>
        <w:rPr>
          <w:rFonts w:ascii="Arial" w:cs="Arial" w:eastAsia="Arial" w:hAnsi="Arial"/>
          <w:sz w:val="16"/>
          <w:szCs w:val="16"/>
          <w:color w:val="auto"/>
        </w:rPr>
        <w:t>Our certificate of incorporation that will be effective upon the closing of the offering provides that we will indemnify each person who was or is a party or threatened to be made a party to any threatened, pending or completed action, suit or proceeding, whether civil, criminal, administrative or investigative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8"/>
          <w:szCs w:val="18"/>
          <w:color w:val="auto"/>
        </w:rPr>
        <w:t>(other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0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certificate of incorporation that will be effective upon the closing of the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1"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97"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jc w:val="both"/>
        <w:ind w:firstLine="388"/>
        <w:spacing w:after="0" w:line="332" w:lineRule="auto"/>
        <w:rPr>
          <w:sz w:val="20"/>
          <w:szCs w:val="20"/>
          <w:color w:val="auto"/>
        </w:rPr>
      </w:pPr>
      <w:r>
        <w:rPr>
          <w:rFonts w:ascii="Arial" w:cs="Arial" w:eastAsia="Arial" w:hAnsi="Arial"/>
          <w:sz w:val="16"/>
          <w:szCs w:val="16"/>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3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jc w:val="both"/>
        <w:ind w:firstLine="440"/>
        <w:spacing w:after="0" w:line="332" w:lineRule="auto"/>
        <w:rPr>
          <w:sz w:val="20"/>
          <w:szCs w:val="20"/>
          <w:color w:val="auto"/>
        </w:rPr>
      </w:pPr>
      <w:r>
        <w:rPr>
          <w:rFonts w:ascii="Arial" w:cs="Arial" w:eastAsia="Arial" w:hAnsi="Arial"/>
          <w:sz w:val="16"/>
          <w:szCs w:val="16"/>
          <w:color w:val="auto"/>
        </w:rPr>
        <w:t>Set forth below is information regarding shares of our common stock, shares of our preferred stock and stock options granted by us within the past three years that were not registered under the Securities Act. Also included is the consideration, if any, received by us for such shares and options and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relating to the section of the Securities Act, or rule of the SEC, under which exemption from registration was claimed.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Preferred Stock and Convertible Promissory Notes</w:t>
      </w:r>
    </w:p>
    <w:p>
      <w:pPr>
        <w:spacing w:after="0" w:line="225" w:lineRule="exact"/>
        <w:rPr>
          <w:sz w:val="20"/>
          <w:szCs w:val="20"/>
          <w:color w:val="auto"/>
        </w:rPr>
      </w:pPr>
    </w:p>
    <w:p>
      <w:pPr>
        <w:jc w:val="both"/>
        <w:ind w:right="20" w:firstLine="452"/>
        <w:spacing w:after="0" w:line="259" w:lineRule="auto"/>
        <w:rPr>
          <w:sz w:val="20"/>
          <w:szCs w:val="20"/>
          <w:color w:val="auto"/>
        </w:rPr>
      </w:pPr>
      <w:r>
        <w:rPr>
          <w:rFonts w:ascii="Arial" w:cs="Arial" w:eastAsia="Arial" w:hAnsi="Arial"/>
          <w:sz w:val="18"/>
          <w:szCs w:val="18"/>
          <w:color w:val="auto"/>
        </w:rPr>
        <w:t>On April 14, 2016, we issued and sold a convertible promissory note to one investor in the aggregate principal amount of $3,500,000. The note accrued interest at a rate of 6% per annum. On July 18, 2016, all principal and accrued but unpaid interest under the note was converted into shares of Series A preferred stock, at a price per share of $1.00.</w:t>
      </w:r>
    </w:p>
    <w:p>
      <w:pPr>
        <w:spacing w:after="0" w:line="194"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On July 18, 2016, we issued and sold 11,843,493 shares of our Series A preferred stock to one investor, consisting of (i) 5,156,507 shares sold for cash at a price per share of $1.00, for an aggregate purchase price of $5,156,507 and (ii) 6,686,986 shares issued upon conversion of $6,686,986 in outstanding principal and accrued but unpaid interest under our convertible promissory notes issued on October 15, 2015 and April 14, 2016, at a price per share of $1.00.</w:t>
      </w:r>
    </w:p>
    <w:p>
      <w:pPr>
        <w:spacing w:after="0" w:line="16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November 15, 2016, we issued and sold 5,156,507 shares of our Series A preferred stock to one investor at a price per share of $1.00 in cash, for an aggregate purchase price of $5,156,507.</w:t>
      </w:r>
    </w:p>
    <w:p>
      <w:pPr>
        <w:spacing w:after="0" w:line="186" w:lineRule="exact"/>
        <w:rPr>
          <w:sz w:val="20"/>
          <w:szCs w:val="20"/>
          <w:color w:val="auto"/>
        </w:rPr>
      </w:pPr>
    </w:p>
    <w:p>
      <w:pPr>
        <w:jc w:val="both"/>
        <w:ind w:firstLine="468"/>
        <w:spacing w:after="0" w:line="268" w:lineRule="auto"/>
        <w:rPr>
          <w:sz w:val="20"/>
          <w:szCs w:val="20"/>
          <w:color w:val="auto"/>
        </w:rPr>
      </w:pPr>
      <w:r>
        <w:rPr>
          <w:rFonts w:ascii="Arial" w:cs="Arial" w:eastAsia="Arial" w:hAnsi="Arial"/>
          <w:sz w:val="18"/>
          <w:szCs w:val="18"/>
          <w:color w:val="auto"/>
        </w:rPr>
        <w:t>On February 17, 2017, we issued and sold 6,333,333 shares of our Series A preferred stock to one investor at a price per share of $1.00 in cash, for an aggregate purchase price of $6,333,333.</w:t>
      </w:r>
    </w:p>
    <w:p>
      <w:pPr>
        <w:spacing w:after="0" w:line="186"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8"/>
          <w:szCs w:val="18"/>
          <w:color w:val="auto"/>
        </w:rPr>
        <w:t>On April 28, 2017, we issued and sold 5,000,000 shares of our Series A preferred stock to one investor at a price per share of $1.00 in cash, for an aggregate purchase price of $5,000,000.</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3, 2017,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January 4,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March 13,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9,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June 6,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On August 24, 2018, we issued and sold 40,000,000 shares of our Series B preferred stock to 20 investors at a price per share of $2.00 in cash, for an aggregate purchase price of $80,000,000.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2019 we issued 12,500,000 shares of our Series B preferred stock to one investor in exchange for a license.</w:t>
      </w:r>
    </w:p>
    <w:p>
      <w:pPr>
        <w:spacing w:after="0" w:line="225"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(b) Restricted Common Stock</w:t>
      </w:r>
    </w:p>
    <w:p>
      <w:pPr>
        <w:spacing w:after="0" w:line="225" w:lineRule="exact"/>
        <w:rPr>
          <w:sz w:val="20"/>
          <w:szCs w:val="20"/>
          <w:color w:val="auto"/>
        </w:rPr>
      </w:pPr>
    </w:p>
    <w:p>
      <w:pPr>
        <w:jc w:val="both"/>
        <w:ind w:firstLine="439"/>
        <w:spacing w:after="0" w:line="332" w:lineRule="auto"/>
        <w:rPr>
          <w:sz w:val="20"/>
          <w:szCs w:val="20"/>
          <w:color w:val="auto"/>
        </w:rPr>
      </w:pPr>
      <w:r>
        <w:rPr>
          <w:rFonts w:ascii="Arial" w:cs="Arial" w:eastAsia="Arial" w:hAnsi="Arial"/>
          <w:sz w:val="16"/>
          <w:szCs w:val="16"/>
          <w:color w:val="auto"/>
        </w:rPr>
        <w:t>Between July 12, 2016 and July 12, 2019, we issued an aggregate of 1,085,810 shares of restricted common stock, for cash with purchase prices ranging from $0.007 to $0.07 per share, to employees, directors, advisors and consultants pursuant to our 2016 Stock Incentive Plan, as amended.</w:t>
      </w:r>
    </w:p>
    <w:p>
      <w:pPr>
        <w:spacing w:after="0" w:line="139" w:lineRule="exact"/>
        <w:rPr>
          <w:sz w:val="20"/>
          <w:szCs w:val="20"/>
          <w:color w:val="auto"/>
        </w:rPr>
      </w:pPr>
    </w:p>
    <w:p>
      <w:pPr>
        <w:jc w:val="both"/>
        <w:ind w:firstLine="550"/>
        <w:spacing w:after="0" w:line="255" w:lineRule="auto"/>
        <w:rPr>
          <w:sz w:val="20"/>
          <w:szCs w:val="20"/>
          <w:color w:val="auto"/>
        </w:rPr>
      </w:pPr>
      <w:r>
        <w:rPr>
          <w:rFonts w:ascii="Arial" w:cs="Arial" w:eastAsia="Arial" w:hAnsi="Arial"/>
          <w:sz w:val="18"/>
          <w:szCs w:val="18"/>
          <w:color w:val="auto"/>
        </w:rPr>
        <w:t>The shares of common stock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Grants and Exercises</w:t>
      </w:r>
    </w:p>
    <w:p>
      <w:pPr>
        <w:spacing w:after="0" w:line="225"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Between July 12, 2016 and July 12, 2019, we granted options to purchase an aggregate of 1,622,382 shares of common stock, with exercise prices ranging from $4.83 to $11.06 per share, to our employees, directors, advisors and consultants pursuant to our 2016 Stock Incentive Plan. Between July 12, 2016 and July 12, 2019, we issued 33,561 shares of our common stock upon the exercise of stock options outstanding under our 2016 Stock Incentive Plan for aggregate consideration of $251,557.</w:t>
      </w:r>
    </w:p>
    <w:p>
      <w:pPr>
        <w:spacing w:after="0" w:line="197"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stock options and the shares of common stock issued upon the exercise of stock options described in this section (c)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20"/>
        <w:spacing w:after="0"/>
        <w:tabs>
          <w:tab w:leader="none" w:pos="54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5797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1.1*  </w:t>
      </w:r>
      <w:hyperlink r:id="rId23">
        <w:r>
          <w:rPr>
            <w:rFonts w:ascii="Arial" w:cs="Arial" w:eastAsia="Arial" w:hAnsi="Arial"/>
            <w:sz w:val="18"/>
            <w:szCs w:val="18"/>
            <w:u w:val="single" w:color="auto"/>
            <w:color w:val="0000EE"/>
          </w:rPr>
          <w:t>Form of Underwriting Agreement</w:t>
        </w:r>
      </w:hyperlink>
    </w:p>
    <w:p>
      <w:pPr>
        <w:spacing w:after="0" w:line="217"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3.1*  </w:t>
      </w:r>
      <w:hyperlink r:id="rId24">
        <w:r>
          <w:rPr>
            <w:rFonts w:ascii="Arial" w:cs="Arial" w:eastAsia="Arial" w:hAnsi="Arial"/>
            <w:sz w:val="18"/>
            <w:szCs w:val="18"/>
            <w:u w:val="single" w:color="auto"/>
            <w:color w:val="0000EE"/>
          </w:rPr>
          <w:t>Amended and Restated Certificate of Incorporation, as amended, of the Registrant</w:t>
        </w:r>
      </w:hyperlink>
    </w:p>
    <w:p>
      <w:pPr>
        <w:spacing w:after="0" w:line="225"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25">
        <w:r>
          <w:rPr>
            <w:rFonts w:ascii="Arial" w:cs="Arial" w:eastAsia="Arial" w:hAnsi="Arial"/>
            <w:sz w:val="18"/>
            <w:szCs w:val="18"/>
            <w:u w:val="single" w:color="auto"/>
            <w:color w:val="0000EE"/>
          </w:rPr>
          <w:t>Bylaws of the Registrant</w:t>
        </w:r>
      </w:hyperlink>
    </w:p>
    <w:p>
      <w:pPr>
        <w:spacing w:after="0" w:line="225" w:lineRule="exact"/>
        <w:rPr>
          <w:sz w:val="20"/>
          <w:szCs w:val="20"/>
          <w:color w:val="auto"/>
        </w:rPr>
      </w:pPr>
    </w:p>
    <w:p>
      <w:pPr>
        <w:ind w:left="1560"/>
        <w:spacing w:after="0"/>
        <w:rPr>
          <w:rFonts w:ascii="Arial" w:cs="Arial" w:eastAsia="Arial" w:hAnsi="Arial"/>
          <w:sz w:val="16"/>
          <w:szCs w:val="16"/>
          <w:color w:val="auto"/>
        </w:rPr>
      </w:pPr>
      <w:r>
        <w:rPr>
          <w:rFonts w:ascii="Arial" w:cs="Arial" w:eastAsia="Arial" w:hAnsi="Arial"/>
          <w:sz w:val="16"/>
          <w:szCs w:val="16"/>
          <w:color w:val="auto"/>
        </w:rPr>
        <w:t xml:space="preserve">3.3*  </w:t>
      </w:r>
      <w:hyperlink r:id="rId26">
        <w:r>
          <w:rPr>
            <w:rFonts w:ascii="Arial" w:cs="Arial" w:eastAsia="Arial" w:hAnsi="Arial"/>
            <w:sz w:val="16"/>
            <w:szCs w:val="16"/>
            <w:u w:val="single" w:color="auto"/>
            <w:color w:val="0000EE"/>
          </w:rPr>
          <w:t>Form of Restated Certificate of Incorporation of the Registrant (to be effective upon the closing of this offering)</w:t>
        </w:r>
      </w:hyperlink>
    </w:p>
    <w:p>
      <w:pPr>
        <w:spacing w:after="0" w:line="248" w:lineRule="exact"/>
        <w:rPr>
          <w:sz w:val="20"/>
          <w:szCs w:val="20"/>
          <w:color w:val="auto"/>
        </w:rPr>
      </w:pPr>
    </w:p>
    <w:p>
      <w:pPr>
        <w:ind w:left="1560"/>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27">
        <w:r>
          <w:rPr>
            <w:rFonts w:ascii="Arial" w:cs="Arial" w:eastAsia="Arial" w:hAnsi="Arial"/>
            <w:sz w:val="16"/>
            <w:szCs w:val="16"/>
            <w:u w:val="single" w:color="auto"/>
            <w:color w:val="0000EE"/>
          </w:rPr>
          <w:t>Form of Amended and Restated Bylaws of the Registrant (to be effective upon the closing of this offering)</w:t>
        </w:r>
      </w:hyperlink>
    </w:p>
    <w:p>
      <w:pPr>
        <w:spacing w:after="0" w:line="248" w:lineRule="exact"/>
        <w:rPr>
          <w:sz w:val="20"/>
          <w:szCs w:val="20"/>
          <w:color w:val="auto"/>
        </w:rPr>
      </w:pPr>
    </w:p>
    <w:p>
      <w:pPr>
        <w:ind w:left="1980" w:right="339" w:hanging="435"/>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3.5* </w:t>
      </w:r>
      <w:hyperlink r:id="rId28">
        <w:r>
          <w:rPr>
            <w:rFonts w:ascii="Arial" w:cs="Arial" w:eastAsia="Arial" w:hAnsi="Arial"/>
            <w:sz w:val="18"/>
            <w:szCs w:val="18"/>
            <w:u w:val="single" w:color="auto"/>
            <w:color w:val="0000EE"/>
          </w:rPr>
          <w:t>Certificate of Amendment of Amended and Restated Certificate of Incorporation, as amended, of the Registrant,</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effective July 5, 2019</w:t>
        </w:r>
      </w:hyperlink>
    </w:p>
    <w:p>
      <w:pPr>
        <w:spacing w:after="0" w:line="186"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29">
        <w:r>
          <w:rPr>
            <w:rFonts w:ascii="Arial" w:cs="Arial" w:eastAsia="Arial" w:hAnsi="Arial"/>
            <w:sz w:val="18"/>
            <w:szCs w:val="18"/>
            <w:u w:val="single" w:color="auto"/>
            <w:color w:val="0000EE"/>
          </w:rPr>
          <w:t>Specimen Stock Certificate evidencing the shares of common stock</w:t>
        </w:r>
      </w:hyperlink>
    </w:p>
    <w:p>
      <w:pPr>
        <w:spacing w:after="0" w:line="225"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5.1*  </w:t>
      </w:r>
      <w:hyperlink r:id="rId30">
        <w:r>
          <w:rPr>
            <w:rFonts w:ascii="Arial" w:cs="Arial" w:eastAsia="Arial" w:hAnsi="Arial"/>
            <w:sz w:val="18"/>
            <w:szCs w:val="18"/>
            <w:u w:val="single" w:color="auto"/>
            <w:color w:val="0000EE"/>
          </w:rPr>
          <w:t>Opinion of Wilmer Cutler Pickering Hale and Dorr LLP</w:t>
        </w:r>
      </w:hyperlink>
    </w:p>
    <w:p>
      <w:pPr>
        <w:spacing w:after="0" w:line="225" w:lineRule="exact"/>
        <w:rPr>
          <w:sz w:val="20"/>
          <w:szCs w:val="20"/>
          <w:color w:val="auto"/>
        </w:rPr>
      </w:pPr>
    </w:p>
    <w:p>
      <w:pPr>
        <w:ind w:left="1980" w:right="99" w:hanging="522"/>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31">
        <w:r>
          <w:rPr>
            <w:rFonts w:ascii="Arial" w:cs="Arial" w:eastAsia="Arial" w:hAnsi="Arial"/>
            <w:sz w:val="18"/>
            <w:szCs w:val="18"/>
            <w:u w:val="single" w:color="auto"/>
            <w:color w:val="0000EE"/>
          </w:rPr>
          <w:t>Amended and Restated Investors' Rights Agreement, dated as of August 24, 2018, by and among the Registrant and</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the other parties thereto</w:t>
        </w:r>
      </w:hyperlink>
    </w:p>
    <w:p>
      <w:pPr>
        <w:spacing w:after="0" w:line="186"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10.2*  </w:t>
      </w:r>
      <w:hyperlink r:id="rId32">
        <w:r>
          <w:rPr>
            <w:rFonts w:ascii="Arial" w:cs="Arial" w:eastAsia="Arial" w:hAnsi="Arial"/>
            <w:sz w:val="18"/>
            <w:szCs w:val="18"/>
            <w:u w:val="single" w:color="auto"/>
            <w:color w:val="0000EE"/>
          </w:rPr>
          <w:t>2016 Stock Incentive Plan, as amended</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10.3*  </w:t>
      </w:r>
      <w:hyperlink r:id="rId33">
        <w:r>
          <w:rPr>
            <w:rFonts w:ascii="Arial" w:cs="Arial" w:eastAsia="Arial" w:hAnsi="Arial"/>
            <w:sz w:val="18"/>
            <w:szCs w:val="18"/>
            <w:u w:val="single" w:color="auto"/>
            <w:color w:val="0000EE"/>
          </w:rPr>
          <w:t>Form of Incentive Stock Option Agreement under the 2016 Stock Incentive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10.4*  </w:t>
      </w:r>
      <w:hyperlink r:id="rId34">
        <w:r>
          <w:rPr>
            <w:rFonts w:ascii="Arial" w:cs="Arial" w:eastAsia="Arial" w:hAnsi="Arial"/>
            <w:sz w:val="18"/>
            <w:szCs w:val="18"/>
            <w:u w:val="single" w:color="auto"/>
            <w:color w:val="0000EE"/>
          </w:rPr>
          <w:t>Form of Non-Statutory Stock Option Agreement under the 2016 Stock Incentive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10.5*  </w:t>
      </w:r>
      <w:hyperlink r:id="rId35">
        <w:r>
          <w:rPr>
            <w:rFonts w:ascii="Arial" w:cs="Arial" w:eastAsia="Arial" w:hAnsi="Arial"/>
            <w:sz w:val="18"/>
            <w:szCs w:val="18"/>
            <w:u w:val="single" w:color="auto"/>
            <w:color w:val="0000EE"/>
          </w:rPr>
          <w:t>Form of Restricted Stock Agreement under the 2016 Stock Incentive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10.6*  </w:t>
      </w:r>
      <w:hyperlink r:id="rId36">
        <w:r>
          <w:rPr>
            <w:rFonts w:ascii="Arial" w:cs="Arial" w:eastAsia="Arial" w:hAnsi="Arial"/>
            <w:sz w:val="18"/>
            <w:szCs w:val="18"/>
            <w:u w:val="single" w:color="auto"/>
            <w:color w:val="0000EE"/>
          </w:rPr>
          <w:t>2019 Stock Incentive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10.7*  </w:t>
      </w:r>
      <w:hyperlink r:id="rId37">
        <w:r>
          <w:rPr>
            <w:rFonts w:ascii="Arial" w:cs="Arial" w:eastAsia="Arial" w:hAnsi="Arial"/>
            <w:sz w:val="18"/>
            <w:szCs w:val="18"/>
            <w:u w:val="single" w:color="auto"/>
            <w:color w:val="0000EE"/>
          </w:rPr>
          <w:t>Form of Stock Option Agreement under the 2019 Stock Incentive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10.8*  </w:t>
      </w:r>
      <w:hyperlink r:id="rId38">
        <w:r>
          <w:rPr>
            <w:rFonts w:ascii="Arial" w:cs="Arial" w:eastAsia="Arial" w:hAnsi="Arial"/>
            <w:sz w:val="18"/>
            <w:szCs w:val="18"/>
            <w:u w:val="single" w:color="auto"/>
            <w:color w:val="0000EE"/>
          </w:rPr>
          <w:t>2019 Employee Stock Purchase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10.9*  </w:t>
      </w:r>
      <w:hyperlink r:id="rId39">
        <w:r>
          <w:rPr>
            <w:rFonts w:ascii="Arial" w:cs="Arial" w:eastAsia="Arial" w:hAnsi="Arial"/>
            <w:sz w:val="18"/>
            <w:szCs w:val="18"/>
            <w:u w:val="single" w:color="auto"/>
            <w:color w:val="0000EE"/>
          </w:rPr>
          <w:t>Summary of Non-Employee Director Compensation Program</w:t>
        </w:r>
      </w:hyperlink>
    </w:p>
    <w:p>
      <w:pPr>
        <w:spacing w:after="0" w:line="31" w:lineRule="exact"/>
        <w:rPr>
          <w:sz w:val="20"/>
          <w:szCs w:val="20"/>
          <w:color w:val="auto"/>
        </w:rPr>
      </w:pPr>
    </w:p>
    <w:p>
      <w:pPr>
        <w:ind w:left="1980" w:right="799" w:hanging="610"/>
        <w:spacing w:after="0" w:line="34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10.10 </w:t>
      </w:r>
      <w:r>
        <w:rPr>
          <w:rFonts w:ascii="Arial" w:cs="Arial" w:eastAsia="Arial" w:hAnsi="Arial"/>
          <w:sz w:val="27"/>
          <w:szCs w:val="27"/>
          <w:color w:val="auto"/>
          <w:vertAlign w:val="superscript"/>
        </w:rPr>
        <w:t>†</w:t>
      </w:r>
      <w:r>
        <w:rPr>
          <w:rFonts w:ascii="Arial" w:cs="Arial" w:eastAsia="Arial" w:hAnsi="Arial"/>
          <w:sz w:val="32"/>
          <w:szCs w:val="32"/>
          <w:color w:val="auto"/>
          <w:vertAlign w:val="subscript"/>
        </w:rPr>
        <w:t>*</w:t>
      </w:r>
      <w:hyperlink r:id="rId40">
        <w:r>
          <w:rPr>
            <w:rFonts w:ascii="Arial" w:cs="Arial" w:eastAsia="Arial" w:hAnsi="Arial"/>
            <w:sz w:val="16"/>
            <w:szCs w:val="16"/>
            <w:u w:val="single" w:color="auto"/>
            <w:color w:val="0000EE"/>
          </w:rPr>
          <w:t>Right of Reference and License Agreement, dated as of February 8, 2019, by and among the Registrant,</w:t>
        </w:r>
      </w:hyperlink>
      <w:r>
        <w:rPr>
          <w:rFonts w:ascii="Arial" w:cs="Arial" w:eastAsia="Arial" w:hAnsi="Arial"/>
          <w:sz w:val="16"/>
          <w:szCs w:val="16"/>
          <w:color w:val="auto"/>
        </w:rPr>
        <w:t xml:space="preserve"> </w:t>
      </w:r>
      <w:hyperlink r:id="rId40">
        <w:r>
          <w:rPr>
            <w:rFonts w:ascii="Arial" w:cs="Arial" w:eastAsia="Arial" w:hAnsi="Arial"/>
            <w:sz w:val="16"/>
            <w:szCs w:val="16"/>
            <w:u w:val="single" w:color="auto"/>
            <w:color w:val="0000EE"/>
          </w:rPr>
          <w:t>GlaxoSmithKline Intellectual Property (No. 2) Limited, GlaxoSmithKline LLC and Glaxo Group Limited</w:t>
        </w:r>
      </w:hyperlink>
    </w:p>
    <w:p>
      <w:pPr>
        <w:spacing w:after="0" w:line="49" w:lineRule="exact"/>
        <w:rPr>
          <w:sz w:val="20"/>
          <w:szCs w:val="20"/>
          <w:color w:val="auto"/>
        </w:rPr>
      </w:pPr>
    </w:p>
    <w:p>
      <w:pPr>
        <w:ind w:left="1980" w:right="199" w:hanging="604"/>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41">
        <w:r>
          <w:rPr>
            <w:rFonts w:ascii="Arial" w:cs="Arial" w:eastAsia="Arial" w:hAnsi="Arial"/>
            <w:sz w:val="18"/>
            <w:szCs w:val="18"/>
            <w:u w:val="single" w:color="auto"/>
            <w:color w:val="0000EE"/>
          </w:rPr>
          <w:t>Lease for 26 Landsdowne Street, dated November 22, 2017, by and between the UP 26 Landsdowne, LLC and the</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Registrant</w:t>
        </w:r>
      </w:hyperlink>
    </w:p>
    <w:p>
      <w:pPr>
        <w:spacing w:after="0" w:line="186" w:lineRule="exact"/>
        <w:rPr>
          <w:sz w:val="20"/>
          <w:szCs w:val="20"/>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xml:space="preserve">10.12*  </w:t>
      </w:r>
      <w:hyperlink r:id="rId42">
        <w:r>
          <w:rPr>
            <w:rFonts w:ascii="Arial" w:cs="Arial" w:eastAsia="Arial" w:hAnsi="Arial"/>
            <w:sz w:val="18"/>
            <w:szCs w:val="18"/>
            <w:u w:val="single" w:color="auto"/>
            <w:color w:val="0000EE"/>
          </w:rPr>
          <w:t>Form of Employment Agreement for Executive Officers</w:t>
        </w:r>
      </w:hyperlink>
    </w:p>
    <w:p>
      <w:pPr>
        <w:spacing w:after="0" w:line="225" w:lineRule="exact"/>
        <w:rPr>
          <w:sz w:val="20"/>
          <w:szCs w:val="20"/>
          <w:color w:val="auto"/>
        </w:rPr>
      </w:pPr>
    </w:p>
    <w:p>
      <w:pPr>
        <w:ind w:left="1980" w:right="239" w:hanging="610"/>
        <w:spacing w:after="0" w:line="268" w:lineRule="auto"/>
        <w:tabs>
          <w:tab w:leader="none" w:pos="19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u w:val="single" w:color="auto"/>
          <w:color w:val="0000EE"/>
        </w:rPr>
        <w:t>Employment Agreement, dated June 30, 2019, by and between the Registrant and Robert J. Gould (to be effective upon the effective date of the Registration Statement)</w:t>
      </w:r>
    </w:p>
    <w:p>
      <w:pPr>
        <w:spacing w:after="0" w:line="186" w:lineRule="exact"/>
        <w:rPr>
          <w:sz w:val="20"/>
          <w:szCs w:val="20"/>
          <w:color w:val="auto"/>
        </w:rPr>
      </w:pPr>
    </w:p>
    <w:p>
      <w:pPr>
        <w:ind w:left="1980" w:right="179" w:hanging="610"/>
        <w:spacing w:after="0" w:line="268" w:lineRule="auto"/>
        <w:tabs>
          <w:tab w:leader="none" w:pos="19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u w:val="single" w:color="auto"/>
          <w:color w:val="0000EE"/>
        </w:rPr>
        <w:t>Employment Agreement, dated July 3, 2019, by and between the Registrant and Bryan Stuart (to be effective upon the effective date of the Registration Statement)</w:t>
      </w:r>
    </w:p>
    <w:p>
      <w:pPr>
        <w:spacing w:after="0" w:line="186" w:lineRule="exact"/>
        <w:rPr>
          <w:sz w:val="20"/>
          <w:szCs w:val="20"/>
          <w:color w:val="auto"/>
        </w:rPr>
      </w:pPr>
    </w:p>
    <w:p>
      <w:pPr>
        <w:ind w:left="1980" w:right="299" w:hanging="610"/>
        <w:spacing w:after="0" w:line="268" w:lineRule="auto"/>
        <w:tabs>
          <w:tab w:leader="none" w:pos="19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u w:val="single" w:color="auto"/>
          <w:color w:val="0000EE"/>
        </w:rPr>
        <w:t>Employment Agreement, dated June 30, 2019, by and between the Registrant and Diego Cadavid (to be effective upon the effective date of the Registration Statement)</w:t>
      </w:r>
    </w:p>
    <w:p>
      <w:pPr>
        <w:spacing w:after="0" w:line="186" w:lineRule="exact"/>
        <w:rPr>
          <w:sz w:val="20"/>
          <w:szCs w:val="20"/>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 xml:space="preserve">10.16*  </w:t>
      </w:r>
      <w:hyperlink r:id="rId43">
        <w:r>
          <w:rPr>
            <w:rFonts w:ascii="Arial" w:cs="Arial" w:eastAsia="Arial" w:hAnsi="Arial"/>
            <w:sz w:val="16"/>
            <w:szCs w:val="16"/>
            <w:u w:val="single" w:color="auto"/>
            <w:color w:val="0000EE"/>
          </w:rPr>
          <w:t>Form of Indemnification Agreement between the Registrant and each of its Executive Officers and Directors</w:t>
        </w:r>
      </w:hyperlink>
    </w:p>
    <w:p>
      <w:pPr>
        <w:spacing w:after="0" w:line="248"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21.1*  </w:t>
      </w:r>
      <w:hyperlink r:id="rId44">
        <w:r>
          <w:rPr>
            <w:rFonts w:ascii="Arial" w:cs="Arial" w:eastAsia="Arial" w:hAnsi="Arial"/>
            <w:sz w:val="18"/>
            <w:szCs w:val="18"/>
            <w:u w:val="single" w:color="auto"/>
            <w:color w:val="0000EE"/>
          </w:rPr>
          <w:t>Subsidiary of the Registrant</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23.1*  </w:t>
      </w:r>
      <w:hyperlink r:id="rId45">
        <w:r>
          <w:rPr>
            <w:rFonts w:ascii="Arial" w:cs="Arial" w:eastAsia="Arial" w:hAnsi="Arial"/>
            <w:sz w:val="18"/>
            <w:szCs w:val="18"/>
            <w:u w:val="single" w:color="auto"/>
            <w:color w:val="0000EE"/>
          </w:rPr>
          <w:t>Consent of Ernst &amp; Young LLP, independent registered public accounting firm</w:t>
        </w:r>
      </w:hyperlink>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8" w:name="page9"/>
    <w:bookmarkEnd w:id="8"/>
    <w:p>
      <w:pPr>
        <w:ind w:left="12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394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14605</wp:posOffset>
            </wp:positionV>
            <wp:extent cx="52997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40" w:space="720"/>
            <w:col w:w="5960"/>
          </w:cols>
          <w:pgMar w:left="240" w:top="127" w:right="239" w:bottom="1440" w:gutter="0" w:footer="0" w:header="0"/>
        </w:sect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23.2* </w:t>
      </w:r>
      <w:hyperlink r:id="rId30">
        <w:r>
          <w:rPr>
            <w:rFonts w:ascii="Arial" w:cs="Arial" w:eastAsia="Arial" w:hAnsi="Arial"/>
            <w:sz w:val="18"/>
            <w:szCs w:val="18"/>
            <w:u w:val="single" w:color="auto"/>
            <w:color w:val="0000EE"/>
          </w:rPr>
          <w:t>Consent of Wilmer Cutler Pickering Hale and Dorr LLP (included in Exhibit 5.1)</w:t>
        </w:r>
      </w:hyperlink>
    </w:p>
    <w:p>
      <w:pPr>
        <w:spacing w:after="0" w:line="217"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24.1* </w:t>
      </w:r>
      <w:hyperlink r:id="rId49">
        <w:r>
          <w:rPr>
            <w:rFonts w:ascii="Arial" w:cs="Arial" w:eastAsia="Arial" w:hAnsi="Arial"/>
            <w:sz w:val="18"/>
            <w:szCs w:val="18"/>
            <w:u w:val="single" w:color="auto"/>
            <w:color w:val="0000EE"/>
          </w:rPr>
          <w:t>Power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91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52" w:lineRule="exact"/>
        <w:rPr>
          <w:sz w:val="20"/>
          <w:szCs w:val="20"/>
          <w:color w:val="auto"/>
        </w:rPr>
      </w:pPr>
    </w:p>
    <w:p>
      <w:pPr>
        <w:ind w:left="1680" w:hanging="531"/>
        <w:spacing w:after="0" w:line="268" w:lineRule="auto"/>
        <w:tabs>
          <w:tab w:leader="none" w:pos="1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jc w:val="both"/>
        <w:ind w:firstLine="415"/>
        <w:spacing w:after="0" w:line="290" w:lineRule="auto"/>
        <w:tabs>
          <w:tab w:leader="none" w:pos="754" w:val="left"/>
        </w:tabs>
        <w:numPr>
          <w:ilvl w:val="1"/>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2"/>
          <w:numId w:val="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392"/>
        <w:spacing w:after="0" w:line="22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No. 2 to the Registration Statement to be signed on its behalf by the undersigned, thereunto duly authorized, in the City of Cambridge, Commonwealth of Massachusetts, on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2019.</w:t>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FULCRUM THERAPEUTICS, INC.</w:t>
      </w:r>
    </w:p>
    <w:p>
      <w:pPr>
        <w:spacing w:after="0" w:line="258" w:lineRule="exact"/>
        <w:rPr>
          <w:sz w:val="20"/>
          <w:szCs w:val="20"/>
          <w:color w:val="auto"/>
        </w:rPr>
      </w:pPr>
    </w:p>
    <w:p>
      <w:pPr>
        <w:ind w:left="570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Robert J. Gould, Ph.D.</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by the following persons in the capacities held on the dates indicated.</w:t>
      </w:r>
    </w:p>
    <w:p>
      <w:pPr>
        <w:spacing w:after="0" w:line="182" w:lineRule="exact"/>
        <w:rPr>
          <w:sz w:val="20"/>
          <w:szCs w:val="20"/>
          <w:color w:val="auto"/>
        </w:rPr>
      </w:pPr>
    </w:p>
    <w:p>
      <w:pPr>
        <w:ind w:left="3020"/>
        <w:spacing w:after="0"/>
        <w:tabs>
          <w:tab w:leader="none" w:pos="7180" w:val="left"/>
          <w:tab w:leader="none" w:pos="96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4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7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Robert J. Gould, Ph.D.</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4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Bryan Stuart</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4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Peter Thomson</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4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Mark Levin</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4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James J. Collins, Ph.D.</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4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6"/>
          <w:szCs w:val="16"/>
          <w:color w:val="auto"/>
        </w:rPr>
        <w:t>Alan Ezekowitz, MBChB, D. Phil</w:t>
      </w:r>
    </w:p>
    <w:p>
      <w:pPr>
        <w:spacing w:after="0" w:line="24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4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7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James Geraghty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President and Chief Executive Officer, Director (Principal Executive Officer)</w:t>
      </w:r>
    </w:p>
    <w:p>
      <w:pPr>
        <w:spacing w:after="0" w:line="38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Chief Operating Officer (Principal Financial Officer)</w:t>
      </w:r>
    </w:p>
    <w:p>
      <w:pPr>
        <w:spacing w:after="0" w:line="3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Vice President, Finance &amp; Accounting (Principal Accounting Officer)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197485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July 12, 2019</w:t>
      </w:r>
    </w:p>
    <w:p>
      <w:pPr>
        <w:sectPr>
          <w:pgSz w:w="11900" w:h="16838" w:orient="portrait"/>
          <w:cols w:equalWidth="0" w:num="3">
            <w:col w:w="4880" w:space="720"/>
            <w:col w:w="3440" w:space="240"/>
            <w:col w:w="2140"/>
          </w:cols>
          <w:pgMar w:left="240" w:top="341" w:right="239" w:bottom="1440" w:gutter="0" w:footer="0" w:header="0"/>
          <w:type w:val="continuous"/>
        </w:sectPr>
      </w:pPr>
    </w:p>
    <w:bookmarkStart w:id="10" w:name="page11"/>
    <w:bookmarkEnd w:id="10"/>
    <w:p>
      <w:pPr>
        <w:ind w:left="2920"/>
        <w:spacing w:after="0"/>
        <w:tabs>
          <w:tab w:leader="none" w:pos="700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80" w:type="dxa"/>
            <w:vAlign w:val="bottom"/>
          </w:tcPr>
          <w:p>
            <w:pPr>
              <w:jc w:val="right"/>
              <w:ind w:right="1952"/>
              <w:spacing w:after="0"/>
              <w:rPr>
                <w:sz w:val="20"/>
                <w:szCs w:val="20"/>
                <w:color w:val="auto"/>
              </w:rPr>
            </w:pPr>
            <w:r>
              <w:rPr>
                <w:rFonts w:ascii="Arial" w:cs="Arial" w:eastAsia="Arial" w:hAnsi="Arial"/>
                <w:sz w:val="18"/>
                <w:szCs w:val="18"/>
                <w:color w:val="auto"/>
              </w:rPr>
              <w:t>*</w:t>
            </w:r>
          </w:p>
        </w:tc>
        <w:tc>
          <w:tcPr>
            <w:tcW w:w="232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vMerge w:val="restart"/>
          </w:tcPr>
          <w:p>
            <w:pPr>
              <w:ind w:left="1600"/>
              <w:spacing w:after="0"/>
              <w:rPr>
                <w:sz w:val="20"/>
                <w:szCs w:val="20"/>
                <w:color w:val="auto"/>
              </w:rPr>
            </w:pPr>
            <w:r>
              <w:rPr>
                <w:rFonts w:ascii="Arial" w:cs="Arial" w:eastAsia="Arial" w:hAnsi="Arial"/>
                <w:sz w:val="18"/>
                <w:szCs w:val="18"/>
                <w:color w:val="auto"/>
              </w:rPr>
              <w:t>July 12,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2320" w:type="dxa"/>
            <w:vAlign w:val="bottom"/>
            <w:vMerge w:val="continue"/>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0" w:type="dxa"/>
            <w:vAlign w:val="bottom"/>
            <w:gridSpan w:val="2"/>
          </w:tcPr>
          <w:p>
            <w:pPr>
              <w:jc w:val="center"/>
              <w:ind w:right="2932"/>
              <w:spacing w:after="0"/>
              <w:rPr>
                <w:sz w:val="20"/>
                <w:szCs w:val="20"/>
                <w:color w:val="auto"/>
              </w:rPr>
            </w:pPr>
            <w:r>
              <w:rPr>
                <w:rFonts w:ascii="Arial" w:cs="Arial" w:eastAsia="Arial" w:hAnsi="Arial"/>
                <w:sz w:val="18"/>
                <w:szCs w:val="18"/>
                <w:color w:val="auto"/>
                <w:w w:val="90"/>
              </w:rPr>
              <w:t>Kate Haviland</w:t>
            </w: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80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5800" w:type="dxa"/>
            <w:vAlign w:val="bottom"/>
            <w:gridSpan w:val="2"/>
          </w:tcPr>
          <w:p>
            <w:pPr>
              <w:jc w:val="center"/>
              <w:ind w:right="2292"/>
              <w:spacing w:after="0"/>
              <w:rPr>
                <w:sz w:val="20"/>
                <w:szCs w:val="20"/>
                <w:color w:val="auto"/>
              </w:rPr>
            </w:pPr>
            <w:r>
              <w:rPr>
                <w:rFonts w:ascii="Arial" w:cs="Arial" w:eastAsia="Arial" w:hAnsi="Arial"/>
                <w:sz w:val="18"/>
                <w:szCs w:val="18"/>
                <w:color w:val="auto"/>
                <w:w w:val="90"/>
              </w:rPr>
              <w:t>/s/ ROBERT J. GOULD</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0" w:type="dxa"/>
            <w:vAlign w:val="bottom"/>
            <w:gridSpan w:val="2"/>
          </w:tcPr>
          <w:p>
            <w:pPr>
              <w:jc w:val="center"/>
              <w:ind w:right="2272"/>
              <w:spacing w:after="0"/>
              <w:rPr>
                <w:sz w:val="20"/>
                <w:szCs w:val="20"/>
                <w:color w:val="auto"/>
              </w:rPr>
            </w:pPr>
            <w:r>
              <w:rPr>
                <w:rFonts w:ascii="Arial" w:cs="Arial" w:eastAsia="Arial" w:hAnsi="Arial"/>
                <w:sz w:val="18"/>
                <w:szCs w:val="18"/>
                <w:color w:val="auto"/>
                <w:w w:val="88"/>
              </w:rPr>
              <w:t>Robert J. Gould</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0" w:type="dxa"/>
            <w:vAlign w:val="bottom"/>
            <w:gridSpan w:val="2"/>
          </w:tcPr>
          <w:p>
            <w:pPr>
              <w:jc w:val="center"/>
              <w:ind w:right="2272"/>
              <w:spacing w:after="0"/>
              <w:rPr>
                <w:sz w:val="20"/>
                <w:szCs w:val="20"/>
                <w:color w:val="auto"/>
              </w:rPr>
            </w:pPr>
            <w:r>
              <w:rPr>
                <w:rFonts w:ascii="Arial" w:cs="Arial" w:eastAsia="Arial" w:hAnsi="Arial"/>
                <w:sz w:val="18"/>
                <w:szCs w:val="18"/>
                <w:i w:val="1"/>
                <w:iCs w:val="1"/>
                <w:color w:val="auto"/>
                <w:w w:val="91"/>
              </w:rPr>
              <w:t>Attorney-in-fact</w:t>
            </w: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EXPLANATORY NOTE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II INFORMATION NOT REQUIRED IN PROSPECTUS</w:t>
        </w:r>
      </w:hyperlink>
    </w:p>
    <w:p>
      <w:pPr>
        <w:spacing w:after="0" w:line="242" w:lineRule="exact"/>
        <w:rPr>
          <w:sz w:val="20"/>
          <w:szCs w:val="20"/>
          <w:color w:val="auto"/>
        </w:rPr>
      </w:pPr>
    </w:p>
    <w:p>
      <w:pPr>
        <w:ind w:left="5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13. Other Expenses of Issuance and Distribution.</w:t>
        </w:r>
      </w:hyperlink>
    </w:p>
    <w:p>
      <w:pPr>
        <w:spacing w:after="0" w:line="38"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14.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15. Recent Sales of Unregistered Securities.</w:t>
        </w:r>
      </w:hyperlink>
    </w:p>
    <w:p>
      <w:pPr>
        <w:spacing w:after="0" w:line="9" w:lineRule="exact"/>
        <w:rPr>
          <w:sz w:val="20"/>
          <w:szCs w:val="20"/>
          <w:color w:val="auto"/>
        </w:rPr>
      </w:pPr>
    </w:p>
    <w:p>
      <w:pPr>
        <w:ind w:left="54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16. Exhibits and Financial Statement Schedules.</w:t>
        </w:r>
      </w:hyperlink>
    </w:p>
    <w:p>
      <w:pPr>
        <w:spacing w:after="0" w:line="32"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THIS EMPLOYMENT AGREEMENT (the “Agreement”), is made as of June 30, 2019 by and between Fulcrum Therapeutics, Inc. (the “Company”), and Robert J. Gould (the “Executive”) (together,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continue to employ the Executive as its President and Chief Executive Officer; and</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WHEREAS, the Company and the Executive are party to a letter agreement dated June 12, 2016 (the “Existing Agreement”) and desire to amend and restate the Existing Agreement in its entirety;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has agreed to accept such continued employment on the terms and conditions set forth in this Agreement;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of the Parties herein contained, the Parties hereto agree as follows:</w:t>
      </w:r>
    </w:p>
    <w:p>
      <w:pPr>
        <w:spacing w:after="0" w:line="170" w:lineRule="exact"/>
        <w:rPr>
          <w:sz w:val="20"/>
          <w:szCs w:val="20"/>
          <w:color w:val="auto"/>
        </w:rPr>
      </w:pPr>
    </w:p>
    <w:p>
      <w:pPr>
        <w:ind w:right="440"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Agreement shall be effective as of the date on which the registration statement relating to the Company’s initial public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is effective (the “Effective Date”). Following the Effective Date, the Executive shall continue to be an employee of the Company until such employment relationship is terminated in accordance with Section 7 hereof (the “Term of Employment”).</w:t>
      </w:r>
    </w:p>
    <w:p>
      <w:pPr>
        <w:spacing w:after="0" w:line="181" w:lineRule="exact"/>
        <w:rPr>
          <w:rFonts w:ascii="Arial" w:cs="Arial" w:eastAsia="Arial" w:hAnsi="Arial"/>
          <w:sz w:val="18"/>
          <w:szCs w:val="18"/>
          <w:color w:val="auto"/>
        </w:rPr>
      </w:pPr>
    </w:p>
    <w:p>
      <w:pPr>
        <w:ind w:right="240" w:firstLine="8"/>
        <w:spacing w:after="0" w:line="286"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Position</w:t>
      </w:r>
      <w:r>
        <w:rPr>
          <w:rFonts w:ascii="Arial" w:cs="Arial" w:eastAsia="Arial" w:hAnsi="Arial"/>
          <w:sz w:val="17"/>
          <w:szCs w:val="17"/>
          <w:color w:val="auto"/>
        </w:rPr>
        <w:t>. During the Term of Employment, the Executive shall serve as the President and Chief Executive Officer of the Company and shall serve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board of directors (the “Board”), subject to his reelection thereto from time to time by the Company’s stockholders, working out of the Company’s office in Cambridge, Massachusetts, and travelling as reasonably required by the Executive’s job duties.</w:t>
      </w:r>
    </w:p>
    <w:p>
      <w:pPr>
        <w:spacing w:after="0" w:line="165" w:lineRule="exact"/>
        <w:rPr>
          <w:rFonts w:ascii="Arial" w:cs="Arial" w:eastAsia="Arial" w:hAnsi="Arial"/>
          <w:sz w:val="17"/>
          <w:szCs w:val="17"/>
          <w:color w:val="auto"/>
        </w:rPr>
      </w:pPr>
    </w:p>
    <w:p>
      <w:pPr>
        <w:ind w:right="20" w:firstLine="8"/>
        <w:spacing w:after="0" w:line="270"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Scope of Employment</w:t>
      </w:r>
      <w:r>
        <w:rPr>
          <w:rFonts w:ascii="Arial" w:cs="Arial" w:eastAsia="Arial" w:hAnsi="Arial"/>
          <w:sz w:val="17"/>
          <w:szCs w:val="17"/>
          <w:color w:val="auto"/>
        </w:rPr>
        <w:t>. During the Term of Employment, the Executive shall be responsible for the performance of those duties 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position as President and Chief Executive Officer. The Executive shall report to the Board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ind w:left="-8" w:right="60" w:firstLine="8"/>
        <w:spacing w:after="0" w:line="277" w:lineRule="auto"/>
        <w:tabs>
          <w:tab w:leader="none" w:pos="17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As full compensation for all services rendered by the Executive to the Company and any affiliate thereof, during the Term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provide to the Executive the following:</w:t>
      </w:r>
    </w:p>
    <w:p>
      <w:pPr>
        <w:spacing w:after="0" w:line="170" w:lineRule="exact"/>
        <w:rPr>
          <w:rFonts w:ascii="Arial" w:cs="Arial" w:eastAsia="Arial" w:hAnsi="Arial"/>
          <w:sz w:val="18"/>
          <w:szCs w:val="18"/>
          <w:color w:val="auto"/>
        </w:rPr>
      </w:pPr>
    </w:p>
    <w:p>
      <w:pPr>
        <w:jc w:val="both"/>
        <w:ind w:left="-8" w:right="100" w:firstLine="656"/>
        <w:spacing w:after="0" w:line="312" w:lineRule="auto"/>
        <w:tabs>
          <w:tab w:leader="none" w:pos="885"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Effective as of the Effective Date, the Executive shall receive a base salary at the annualized rate of $500,000 (the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46" w:lineRule="exact"/>
        <w:rPr>
          <w:rFonts w:ascii="Arial" w:cs="Arial" w:eastAsia="Arial" w:hAnsi="Arial"/>
          <w:sz w:val="16"/>
          <w:szCs w:val="16"/>
          <w:color w:val="auto"/>
        </w:rPr>
      </w:pPr>
    </w:p>
    <w:p>
      <w:pPr>
        <w:ind w:left="-8" w:firstLine="656"/>
        <w:spacing w:after="0" w:line="287" w:lineRule="auto"/>
        <w:tabs>
          <w:tab w:leader="none" w:pos="895"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Annual Discretionary Bonus</w:t>
      </w:r>
      <w:r>
        <w:rPr>
          <w:rFonts w:ascii="Arial" w:cs="Arial" w:eastAsia="Arial" w:hAnsi="Arial"/>
          <w:sz w:val="16"/>
          <w:szCs w:val="16"/>
          <w:color w:val="auto"/>
        </w:rPr>
        <w:t>. Effective as of the Effective Date, the Executive will be eligible to earn an annual performance bonus of up to 45%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72" w:lineRule="exact"/>
        <w:rPr>
          <w:rFonts w:ascii="Arial" w:cs="Arial" w:eastAsia="Arial" w:hAnsi="Arial"/>
          <w:sz w:val="16"/>
          <w:szCs w:val="16"/>
          <w:color w:val="auto"/>
        </w:rPr>
      </w:pPr>
    </w:p>
    <w:p>
      <w:pPr>
        <w:ind w:left="-8" w:right="60" w:firstLine="656"/>
        <w:spacing w:after="0" w:line="277" w:lineRule="auto"/>
        <w:tabs>
          <w:tab w:leader="none" w:pos="885"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Equity Award</w:t>
      </w:r>
      <w:r>
        <w:rPr>
          <w:rFonts w:ascii="Arial" w:cs="Arial" w:eastAsia="Arial" w:hAnsi="Arial"/>
          <w:sz w:val="18"/>
          <w:szCs w:val="18"/>
          <w:color w:val="auto"/>
        </w:rPr>
        <w:t>. The Executive will be eligible to receive equity awards, if any, at such times and on such terms and conditions as the Board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 its sole discretion, determine.</w:t>
      </w:r>
    </w:p>
    <w:p>
      <w:pPr>
        <w:spacing w:after="0" w:line="170" w:lineRule="exact"/>
        <w:rPr>
          <w:rFonts w:ascii="Arial" w:cs="Arial" w:eastAsia="Arial" w:hAnsi="Arial"/>
          <w:sz w:val="18"/>
          <w:szCs w:val="18"/>
          <w:color w:val="auto"/>
        </w:rPr>
      </w:pPr>
    </w:p>
    <w:p>
      <w:pPr>
        <w:ind w:left="912" w:hanging="264"/>
        <w:spacing w:after="0"/>
        <w:tabs>
          <w:tab w:leader="none" w:pos="912"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Paid Time Off</w:t>
      </w:r>
      <w:r>
        <w:rPr>
          <w:rFonts w:ascii="Arial" w:cs="Arial" w:eastAsia="Arial" w:hAnsi="Arial"/>
          <w:sz w:val="18"/>
          <w:szCs w:val="18"/>
          <w:color w:val="auto"/>
        </w:rPr>
        <w:t>. The Executive shall be entitled to paid time off, vacation time plus sick time, consistent with the Company’s policies.</w:t>
      </w:r>
    </w:p>
    <w:p>
      <w:pPr>
        <w:spacing w:after="0" w:line="225" w:lineRule="exact"/>
        <w:rPr>
          <w:rFonts w:ascii="Arial" w:cs="Arial" w:eastAsia="Arial" w:hAnsi="Arial"/>
          <w:sz w:val="18"/>
          <w:szCs w:val="18"/>
          <w:color w:val="auto"/>
        </w:rPr>
      </w:pPr>
    </w:p>
    <w:p>
      <w:pPr>
        <w:ind w:left="-8" w:right="160" w:firstLine="656"/>
        <w:spacing w:after="0" w:line="259" w:lineRule="auto"/>
        <w:tabs>
          <w:tab w:leader="none" w:pos="885"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Subject to eligibility requirements and the Company’s polices, the Executive shall have the right, on the 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186" w:lineRule="exact"/>
        <w:rPr>
          <w:rFonts w:ascii="Arial" w:cs="Arial" w:eastAsia="Arial" w:hAnsi="Arial"/>
          <w:sz w:val="18"/>
          <w:szCs w:val="18"/>
          <w:color w:val="auto"/>
        </w:rPr>
      </w:pPr>
    </w:p>
    <w:p>
      <w:pPr>
        <w:ind w:left="872" w:hanging="224"/>
        <w:spacing w:after="0"/>
        <w:tabs>
          <w:tab w:leader="none" w:pos="872"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Withholdings</w:t>
      </w:r>
      <w:r>
        <w:rPr>
          <w:rFonts w:ascii="Arial" w:cs="Arial" w:eastAsia="Arial" w:hAnsi="Arial"/>
          <w:sz w:val="18"/>
          <w:szCs w:val="18"/>
          <w:color w:val="auto"/>
        </w:rPr>
        <w:t>. All compensation payable to the Executive shall be subject to applicable taxes and withholdings.</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4" w:name="page15"/>
    <w:bookmarkEnd w:id="14"/>
    <w:p>
      <w:pPr>
        <w:ind w:left="-8" w:right="620" w:firstLine="8"/>
        <w:spacing w:after="0" w:line="277" w:lineRule="auto"/>
        <w:tabs>
          <w:tab w:leader="none" w:pos="17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Executive will be reimbursed for his actual, necessary and reasonable business expenses pursuant to Company policy,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Section 3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8" w:right="580" w:firstLine="8"/>
        <w:spacing w:after="0" w:line="277" w:lineRule="auto"/>
        <w:tabs>
          <w:tab w:leader="none" w:pos="17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Restrictive Covenants Agreement</w:t>
      </w:r>
      <w:r>
        <w:rPr>
          <w:rFonts w:ascii="Arial" w:cs="Arial" w:eastAsia="Arial" w:hAnsi="Arial"/>
          <w:sz w:val="18"/>
          <w:szCs w:val="18"/>
          <w:color w:val="auto"/>
        </w:rPr>
        <w:t>. The Executive hereby acknowledges that in connection with entering into this Agreement, the Executive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enter into a new Employee Confidentiality and Assignment Agreement with the Company.</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Employment Termination</w:t>
      </w:r>
      <w:r>
        <w:rPr>
          <w:rFonts w:ascii="Arial" w:cs="Arial" w:eastAsia="Arial" w:hAnsi="Arial"/>
          <w:sz w:val="18"/>
          <w:szCs w:val="18"/>
          <w:color w:val="auto"/>
        </w:rPr>
        <w:t>. This Agreement and the employment of the Executive shall terminate upon the occurrence of any of the following:</w:t>
      </w:r>
    </w:p>
    <w:p>
      <w:pPr>
        <w:spacing w:after="0" w:line="225" w:lineRule="exact"/>
        <w:rPr>
          <w:rFonts w:ascii="Arial" w:cs="Arial" w:eastAsia="Arial" w:hAnsi="Arial"/>
          <w:sz w:val="18"/>
          <w:szCs w:val="18"/>
          <w:color w:val="auto"/>
        </w:rPr>
      </w:pPr>
    </w:p>
    <w:p>
      <w:pPr>
        <w:ind w:left="-8" w:right="260" w:firstLine="656"/>
        <w:spacing w:after="0" w:line="259" w:lineRule="auto"/>
        <w:tabs>
          <w:tab w:leader="none" w:pos="885" w:val="left"/>
        </w:tabs>
        <w:numPr>
          <w:ilvl w:val="1"/>
          <w:numId w:val="9"/>
        </w:numPr>
        <w:rPr>
          <w:rFonts w:ascii="Arial" w:cs="Arial" w:eastAsia="Arial" w:hAnsi="Arial"/>
          <w:sz w:val="18"/>
          <w:szCs w:val="18"/>
          <w:color w:val="auto"/>
        </w:rPr>
      </w:pPr>
      <w:r>
        <w:rPr>
          <w:rFonts w:ascii="Arial" w:cs="Arial" w:eastAsia="Arial" w:hAnsi="Arial"/>
          <w:sz w:val="18"/>
          <w:szCs w:val="18"/>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86" w:lineRule="exact"/>
        <w:rPr>
          <w:rFonts w:ascii="Arial" w:cs="Arial" w:eastAsia="Arial" w:hAnsi="Arial"/>
          <w:sz w:val="18"/>
          <w:szCs w:val="18"/>
          <w:color w:val="auto"/>
        </w:rPr>
      </w:pPr>
    </w:p>
    <w:p>
      <w:pPr>
        <w:ind w:left="-8" w:right="60" w:firstLine="656"/>
        <w:spacing w:after="0" w:line="277" w:lineRule="auto"/>
        <w:tabs>
          <w:tab w:leader="none" w:pos="885" w:val="left"/>
        </w:tabs>
        <w:numPr>
          <w:ilvl w:val="1"/>
          <w:numId w:val="9"/>
        </w:numPr>
        <w:rPr>
          <w:rFonts w:ascii="Arial" w:cs="Arial" w:eastAsia="Arial" w:hAnsi="Arial"/>
          <w:sz w:val="18"/>
          <w:szCs w:val="18"/>
          <w:color w:val="auto"/>
        </w:rPr>
      </w:pPr>
      <w:r>
        <w:rPr>
          <w:rFonts w:ascii="Arial" w:cs="Arial" w:eastAsia="Arial" w:hAnsi="Arial"/>
          <w:sz w:val="18"/>
          <w:szCs w:val="18"/>
          <w:color w:val="auto"/>
        </w:rPr>
        <w:t>At the election of the Company, with or without “Cause” (as defined below), immediately upon written notice by the Company to the Executive. As used in this Agreement, “Cause” shall mean:</w:t>
      </w:r>
    </w:p>
    <w:p>
      <w:pPr>
        <w:spacing w:after="0" w:line="170" w:lineRule="exact"/>
        <w:rPr>
          <w:sz w:val="20"/>
          <w:szCs w:val="20"/>
          <w:color w:val="auto"/>
        </w:rPr>
      </w:pPr>
    </w:p>
    <w:p>
      <w:pPr>
        <w:ind w:left="1292" w:right="60" w:hanging="644"/>
        <w:spacing w:after="0" w:line="264" w:lineRule="auto"/>
        <w:tabs>
          <w:tab w:leader="none" w:pos="12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Executive’s conviction of (A) a felony or (B) any misdemeanor involving moral turpitude, deceit, dishonesty or fraud;</w:t>
      </w:r>
    </w:p>
    <w:p>
      <w:pPr>
        <w:spacing w:after="0" w:line="225" w:lineRule="exact"/>
        <w:rPr>
          <w:rFonts w:ascii="Arial" w:cs="Arial" w:eastAsia="Arial" w:hAnsi="Arial"/>
          <w:sz w:val="18"/>
          <w:szCs w:val="18"/>
          <w:color w:val="auto"/>
        </w:rPr>
      </w:pPr>
    </w:p>
    <w:p>
      <w:pPr>
        <w:ind w:left="1292" w:hanging="644"/>
        <w:spacing w:after="0" w:line="259" w:lineRule="auto"/>
        <w:tabs>
          <w:tab w:leader="none" w:pos="13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186" w:lineRule="exact"/>
        <w:rPr>
          <w:rFonts w:ascii="Arial" w:cs="Arial" w:eastAsia="Arial" w:hAnsi="Arial"/>
          <w:sz w:val="18"/>
          <w:szCs w:val="18"/>
          <w:color w:val="auto"/>
        </w:rPr>
      </w:pPr>
    </w:p>
    <w:p>
      <w:pPr>
        <w:ind w:left="1292" w:right="280" w:hanging="644"/>
        <w:spacing w:after="0" w:line="277" w:lineRule="auto"/>
        <w:tabs>
          <w:tab w:leader="none" w:pos="12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Executive’s material violation of any provision of any agreement(s) between the Executive and the Company relating to nonsolicitation, nondisclosure and/or assignment of inventions.</w:t>
      </w:r>
    </w:p>
    <w:p>
      <w:pPr>
        <w:spacing w:after="0" w:line="170" w:lineRule="exact"/>
        <w:rPr>
          <w:sz w:val="20"/>
          <w:szCs w:val="20"/>
          <w:color w:val="auto"/>
        </w:rPr>
      </w:pPr>
    </w:p>
    <w:p>
      <w:pPr>
        <w:ind w:left="-8" w:right="20" w:firstLine="656"/>
        <w:spacing w:after="0" w:line="264" w:lineRule="auto"/>
        <w:tabs>
          <w:tab w:leader="none" w:pos="8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81" w:lineRule="exact"/>
        <w:rPr>
          <w:sz w:val="20"/>
          <w:szCs w:val="20"/>
          <w:color w:val="auto"/>
        </w:rPr>
      </w:pPr>
    </w:p>
    <w:p>
      <w:pPr>
        <w:ind w:left="1292" w:hanging="644"/>
        <w:spacing w:after="0" w:line="277" w:lineRule="auto"/>
        <w:tabs>
          <w:tab w:leader="none" w:pos="12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material diminution of the Executive’s base compensation, other than in connection with, and substantially proportionate to, reductions by the Company of</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5" w:name="page16"/>
    <w:bookmarkEnd w:id="15"/>
    <w:p>
      <w:pPr>
        <w:ind w:left="1300"/>
        <w:spacing w:after="0"/>
        <w:rPr>
          <w:sz w:val="20"/>
          <w:szCs w:val="20"/>
          <w:color w:val="auto"/>
        </w:rPr>
      </w:pPr>
      <w:r>
        <w:rPr>
          <w:rFonts w:ascii="Arial" w:cs="Arial" w:eastAsia="Arial" w:hAnsi="Arial"/>
          <w:sz w:val="18"/>
          <w:szCs w:val="18"/>
          <w:color w:val="auto"/>
        </w:rPr>
        <w:t>the base compensation of all or substantially all senior executives of the Company;</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diminution in the Executive’s duties, authority or responsibilities;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requiring Executive to relocate Executive’s primary office more than fifty (50) miles from the Executive’s then-current primary office; or</w:t>
      </w:r>
    </w:p>
    <w:p>
      <w:pPr>
        <w:spacing w:after="0" w:line="170" w:lineRule="exact"/>
        <w:rPr>
          <w:sz w:val="20"/>
          <w:szCs w:val="20"/>
          <w:color w:val="auto"/>
        </w:rPr>
      </w:pPr>
    </w:p>
    <w:p>
      <w:pPr>
        <w:ind w:left="1300" w:right="360" w:hanging="644"/>
        <w:spacing w:after="0" w:line="277" w:lineRule="auto"/>
        <w:tabs>
          <w:tab w:leader="none" w:pos="1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breach of this Agreement or any other agreement between the Company and the Executive by the Company not otherwise covered by this paragraph;</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0" w:lineRule="auto"/>
        <w:tabs>
          <w:tab w:leader="none" w:pos="938"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All Terminations Other Than by the Company Without Cause or by the Executive With Good Reason</w:t>
      </w:r>
      <w:r>
        <w:rPr>
          <w:rFonts w:ascii="Arial" w:cs="Arial" w:eastAsia="Arial" w:hAnsi="Arial"/>
          <w:sz w:val="17"/>
          <w:szCs w:val="17"/>
          <w:color w:val="auto"/>
        </w:rPr>
        <w:t>. If the Executive’s employment is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77" w:lineRule="exact"/>
        <w:rPr>
          <w:rFonts w:ascii="Arial" w:cs="Arial" w:eastAsia="Arial" w:hAnsi="Arial"/>
          <w:sz w:val="17"/>
          <w:szCs w:val="17"/>
          <w:color w:val="auto"/>
        </w:rPr>
      </w:pPr>
    </w:p>
    <w:p>
      <w:pPr>
        <w:ind w:right="160" w:firstLine="656"/>
        <w:spacing w:after="0" w:line="293" w:lineRule="auto"/>
        <w:tabs>
          <w:tab w:leader="none" w:pos="903"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16"/>
          <w:szCs w:val="16"/>
          <w:color w:val="auto"/>
        </w:rPr>
        <w:t>If the Executive’s employment is terminated by the Company without Cause pursuant to Section 7(b) or by the Executive with Good Reason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the conditions of Section 8(d),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t>“COBRA”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7" w:lineRule="exact"/>
        <w:rPr>
          <w:sz w:val="20"/>
          <w:szCs w:val="20"/>
          <w:color w:val="auto"/>
        </w:rPr>
      </w:pPr>
    </w:p>
    <w:p>
      <w:pPr>
        <w:ind w:right="60" w:firstLine="656"/>
        <w:spacing w:after="0" w:line="268" w:lineRule="auto"/>
        <w:tabs>
          <w:tab w:leader="none" w:pos="89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Termination by the Company Without Cause or by the Executive With Good Reason Within Twelve Months Following a Change in Control. </w:t>
      </w:r>
      <w:r>
        <w:rPr>
          <w:rFonts w:ascii="Arial" w:cs="Arial" w:eastAsia="Arial" w:hAnsi="Arial"/>
          <w:sz w:val="17"/>
          <w:szCs w:val="17"/>
          <w:color w:val="auto"/>
        </w:rPr>
        <w:t>If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Qualifying Termination occurs within twelve (12) months following a Change in Control, then the Executive shall be entitled to the Accrued Obligations. In addition, and subject to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eighteen (18)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eighteen (18)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187" w:lineRule="exact"/>
        <w:rPr>
          <w:rFonts w:ascii="Arial" w:cs="Arial" w:eastAsia="Arial" w:hAnsi="Arial"/>
          <w:sz w:val="17"/>
          <w:szCs w:val="17"/>
          <w:color w:val="auto"/>
        </w:rPr>
      </w:pPr>
    </w:p>
    <w:p>
      <w:pPr>
        <w:ind w:firstLine="656"/>
        <w:spacing w:after="0" w:line="270" w:lineRule="auto"/>
        <w:tabs>
          <w:tab w:leader="none" w:pos="90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Release</w:t>
      </w:r>
      <w:r>
        <w:rPr>
          <w:rFonts w:ascii="Arial" w:cs="Arial" w:eastAsia="Arial" w:hAnsi="Arial"/>
          <w:sz w:val="17"/>
          <w:szCs w:val="17"/>
          <w:color w:val="auto"/>
        </w:rPr>
        <w:t>. As a condition of the Executive’s receipt of the Severance Benefits or the Change in Control Severance Benefits, as applicable,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77" w:lineRule="exact"/>
        <w:rPr>
          <w:rFonts w:ascii="Arial" w:cs="Arial" w:eastAsia="Arial" w:hAnsi="Arial"/>
          <w:sz w:val="17"/>
          <w:szCs w:val="17"/>
          <w:color w:val="auto"/>
        </w:rPr>
      </w:pPr>
    </w:p>
    <w:p>
      <w:pPr>
        <w:ind w:right="220" w:firstLine="656"/>
        <w:spacing w:after="0" w:line="277" w:lineRule="auto"/>
        <w:tabs>
          <w:tab w:leader="none" w:pos="89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Change in Control Definition</w:t>
      </w:r>
      <w:r>
        <w:rPr>
          <w:rFonts w:ascii="Arial" w:cs="Arial" w:eastAsia="Arial" w:hAnsi="Arial"/>
          <w:sz w:val="18"/>
          <w:szCs w:val="18"/>
          <w:color w:val="auto"/>
        </w:rPr>
        <w:t>. For purposes of this Agreement, “Change in Control” shall mean the occurrence of any of the following events,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such event or occurrence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60"/>
        <w:spacing w:after="0" w:line="291" w:lineRule="auto"/>
        <w:rPr>
          <w:sz w:val="20"/>
          <w:szCs w:val="20"/>
          <w:color w:val="auto"/>
        </w:rPr>
      </w:pPr>
      <w:r>
        <w:rPr>
          <w:rFonts w:ascii="Arial" w:cs="Arial" w:eastAsia="Arial" w:hAnsi="Arial"/>
          <w:sz w:val="16"/>
          <w:szCs w:val="16"/>
          <w:color w:val="auto"/>
        </w:rPr>
        <w:t>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w:t>
      </w:r>
    </w:p>
    <w:p>
      <w:pPr>
        <w:spacing w:after="0" w:line="283" w:lineRule="auto"/>
        <w:rPr>
          <w:sz w:val="20"/>
          <w:szCs w:val="20"/>
          <w:color w:val="auto"/>
        </w:rPr>
      </w:pPr>
      <w:r>
        <w:rPr>
          <w:rFonts w:ascii="Arial" w:cs="Arial" w:eastAsia="Arial" w:hAnsi="Arial"/>
          <w:sz w:val="16"/>
          <w:szCs w:val="16"/>
          <w:color w:val="auto"/>
        </w:rPr>
        <w:t>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ownership existed prior to the Business Combination); or (iv) the liquidation or dissolution of the Company.</w:t>
      </w:r>
    </w:p>
    <w:p>
      <w:pPr>
        <w:spacing w:after="0" w:line="225" w:lineRule="exact"/>
        <w:rPr>
          <w:sz w:val="20"/>
          <w:szCs w:val="20"/>
          <w:color w:val="auto"/>
        </w:rPr>
      </w:pPr>
    </w:p>
    <w:p>
      <w:pPr>
        <w:ind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Absence of Restrictions</w:t>
      </w:r>
      <w:r>
        <w:rPr>
          <w:rFonts w:ascii="Arial" w:cs="Arial" w:eastAsia="Arial" w:hAnsi="Arial"/>
          <w:sz w:val="18"/>
          <w:szCs w:val="18"/>
          <w:color w:val="auto"/>
        </w:rPr>
        <w:t>. The Executive represents and warrants that the Executive is not bound by any employment contracts, restrictive covenants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that prevent the Executive from entering into employment with, or carrying out the Executive’s responsibilities for, the Company, or which are in any way inconsistent with any of the terms of this Agreement.</w:t>
      </w:r>
    </w:p>
    <w:p>
      <w:pPr>
        <w:spacing w:after="0" w:line="181" w:lineRule="exact"/>
        <w:rPr>
          <w:rFonts w:ascii="Arial" w:cs="Arial" w:eastAsia="Arial" w:hAnsi="Arial"/>
          <w:sz w:val="18"/>
          <w:szCs w:val="18"/>
          <w:color w:val="auto"/>
        </w:rPr>
      </w:pPr>
    </w:p>
    <w:p>
      <w:pPr>
        <w:ind w:right="200" w:firstLine="8"/>
        <w:spacing w:after="0" w:line="264"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Any notice delivered under this Agreement shall be deemed duly delivered three (3) business days after it is sent by registered or certified mail,</w:t>
      </w:r>
      <w:r>
        <w:rPr>
          <w:rFonts w:ascii="Arial" w:cs="Arial" w:eastAsia="Arial" w:hAnsi="Arial"/>
          <w:sz w:val="18"/>
          <w:szCs w:val="18"/>
          <w:i w:val="1"/>
          <w:iCs w:val="1"/>
          <w:color w:val="auto"/>
        </w:rPr>
        <w:t xml:space="preserve"> </w:t>
      </w:r>
      <w:r>
        <w:rPr>
          <w:rFonts w:ascii="Arial" w:cs="Arial" w:eastAsia="Arial" w:hAnsi="Arial"/>
          <w:sz w:val="18"/>
          <w:szCs w:val="18"/>
          <w:color w:val="auto"/>
        </w:rPr>
        <w:t>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address set forth in the Executive’s personnel file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Fulcrum Therapeutics, Inc.</w:t>
      </w:r>
    </w:p>
    <w:p>
      <w:pPr>
        <w:ind w:left="660"/>
        <w:spacing w:after="0" w:line="218" w:lineRule="auto"/>
        <w:rPr>
          <w:sz w:val="20"/>
          <w:szCs w:val="20"/>
          <w:color w:val="auto"/>
        </w:rPr>
      </w:pPr>
      <w:r>
        <w:rPr>
          <w:rFonts w:ascii="Arial" w:cs="Arial" w:eastAsia="Arial" w:hAnsi="Arial"/>
          <w:sz w:val="18"/>
          <w:szCs w:val="18"/>
          <w:color w:val="auto"/>
        </w:rPr>
        <w:t>26 Landsdowne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Cambridge, MA 02139</w:t>
      </w:r>
    </w:p>
    <w:p>
      <w:pPr>
        <w:spacing w:after="0" w:line="2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Either Party may change the address to which notices are to be delivered by giving notice of such change to the other Party in the manner set forth in this Section 10.</w:t>
      </w:r>
    </w:p>
    <w:p>
      <w:pPr>
        <w:spacing w:after="0" w:line="170" w:lineRule="exact"/>
        <w:rPr>
          <w:sz w:val="20"/>
          <w:szCs w:val="20"/>
          <w:color w:val="auto"/>
        </w:rPr>
      </w:pPr>
    </w:p>
    <w:p>
      <w:pPr>
        <w:ind w:right="40" w:firstLine="8"/>
        <w:spacing w:after="0" w:line="255"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Applicable Law; Jury Trial Waiver</w:t>
      </w:r>
      <w:r>
        <w:rPr>
          <w:rFonts w:ascii="Arial" w:cs="Arial" w:eastAsia="Arial" w:hAnsi="Arial"/>
          <w:sz w:val="18"/>
          <w:szCs w:val="18"/>
          <w:color w:val="auto"/>
        </w:rPr>
        <w:t>. This Agreement shall be governed by and construed in accordance with the laws of the Commonwealth of</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93"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be binding upon and inure to the benefit of both Parties and their respective successors and assigns,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corporation with which or into which the Company may be merged or which may succeed to its assets or business; provided, however, that the obligations of the Executive are personal and shall not be assigned by the Executive.</w:t>
      </w:r>
    </w:p>
    <w:p>
      <w:pPr>
        <w:spacing w:after="0" w:line="181" w:lineRule="exact"/>
        <w:rPr>
          <w:rFonts w:ascii="Arial" w:cs="Arial" w:eastAsia="Arial" w:hAnsi="Arial"/>
          <w:sz w:val="18"/>
          <w:szCs w:val="18"/>
          <w:color w:val="auto"/>
        </w:rPr>
      </w:pPr>
    </w:p>
    <w:p>
      <w:pPr>
        <w:ind w:right="480" w:firstLine="8"/>
        <w:spacing w:after="0" w:line="264"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At-Will Employment</w:t>
      </w:r>
      <w:r>
        <w:rPr>
          <w:rFonts w:ascii="Arial" w:cs="Arial" w:eastAsia="Arial" w:hAnsi="Arial"/>
          <w:sz w:val="18"/>
          <w:szCs w:val="18"/>
          <w:color w:val="auto"/>
        </w:rPr>
        <w:t>. During the Term of Employment, the Executive will continue to be an at-will employee of the Company, which means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other provision set forth herein, the employment relationship can be terminated by either Party for any reason, at any time, with or without prior notice and with or without Cause.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left="-8" w:right="60" w:firstLine="8"/>
        <w:spacing w:after="0" w:line="312" w:lineRule="auto"/>
        <w:tabs>
          <w:tab w:leader="none" w:pos="26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Acknowledgment</w:t>
      </w:r>
      <w:r>
        <w:rPr>
          <w:rFonts w:ascii="Arial" w:cs="Arial" w:eastAsia="Arial" w:hAnsi="Arial"/>
          <w:sz w:val="16"/>
          <w:szCs w:val="16"/>
          <w:color w:val="auto"/>
        </w:rPr>
        <w:t>. The Executive states and represents that the Executive has had an opportunity to fully discuss and review the terms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46" w:lineRule="exact"/>
        <w:rPr>
          <w:rFonts w:ascii="Arial" w:cs="Arial" w:eastAsia="Arial" w:hAnsi="Arial"/>
          <w:sz w:val="16"/>
          <w:szCs w:val="16"/>
          <w:color w:val="auto"/>
        </w:rPr>
      </w:pPr>
    </w:p>
    <w:p>
      <w:pPr>
        <w:ind w:left="-8" w:right="140" w:firstLine="8"/>
        <w:spacing w:after="0" w:line="259"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 Oral Modification, Waiver, Cancellation or Discharge</w:t>
      </w:r>
      <w:r>
        <w:rPr>
          <w:rFonts w:ascii="Arial" w:cs="Arial" w:eastAsia="Arial" w:hAnsi="Arial"/>
          <w:sz w:val="18"/>
          <w:szCs w:val="18"/>
          <w:color w:val="auto"/>
        </w:rPr>
        <w:t>. This Agreement may be amended or modified only by a written instrument executed by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6" w:lineRule="exact"/>
        <w:rPr>
          <w:rFonts w:ascii="Arial" w:cs="Arial" w:eastAsia="Arial" w:hAnsi="Arial"/>
          <w:sz w:val="18"/>
          <w:szCs w:val="18"/>
          <w:color w:val="auto"/>
        </w:rPr>
      </w:pPr>
    </w:p>
    <w:p>
      <w:pPr>
        <w:ind w:left="-8" w:firstLine="8"/>
        <w:spacing w:after="0" w:line="286" w:lineRule="auto"/>
        <w:tabs>
          <w:tab w:leader="none" w:pos="262"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Captions and Pronouns</w:t>
      </w:r>
      <w:r>
        <w:rPr>
          <w:rFonts w:ascii="Arial" w:cs="Arial" w:eastAsia="Arial" w:hAnsi="Arial"/>
          <w:sz w:val="17"/>
          <w:szCs w:val="17"/>
          <w:color w:val="auto"/>
        </w:rPr>
        <w:t>. The captions of the sections of this Agreement are for convenience of reference only and in no way define, limit or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65" w:lineRule="exact"/>
        <w:rPr>
          <w:rFonts w:ascii="Arial" w:cs="Arial" w:eastAsia="Arial" w:hAnsi="Arial"/>
          <w:sz w:val="17"/>
          <w:szCs w:val="17"/>
          <w:color w:val="auto"/>
        </w:rPr>
      </w:pPr>
    </w:p>
    <w:p>
      <w:pPr>
        <w:ind w:left="-8" w:right="120" w:firstLine="8"/>
        <w:spacing w:after="0" w:line="264"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The Parties agree that this Agreement will be construed without regard to any presumption or rule requiring construction or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1" w:lineRule="exact"/>
        <w:rPr>
          <w:rFonts w:ascii="Arial" w:cs="Arial" w:eastAsia="Arial" w:hAnsi="Arial"/>
          <w:sz w:val="18"/>
          <w:szCs w:val="18"/>
          <w:color w:val="auto"/>
        </w:rPr>
      </w:pPr>
    </w:p>
    <w:p>
      <w:pPr>
        <w:ind w:left="-8" w:right="20" w:firstLine="8"/>
        <w:spacing w:after="0" w:line="273" w:lineRule="auto"/>
        <w:tabs>
          <w:tab w:leader="none" w:pos="262"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Each provision of this Agreement must be interpreted in such manner as to be effective and valid under applicable law, but if any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8" w:lineRule="exact"/>
        <w:rPr>
          <w:rFonts w:ascii="Arial" w:cs="Arial" w:eastAsia="Arial" w:hAnsi="Arial"/>
          <w:sz w:val="17"/>
          <w:szCs w:val="17"/>
          <w:color w:val="auto"/>
        </w:rPr>
      </w:pPr>
    </w:p>
    <w:p>
      <w:pPr>
        <w:ind w:left="-8" w:right="100" w:firstLine="8"/>
        <w:spacing w:after="0" w:line="277"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or oral, relating to the subject matter of this Agreement, including, without limitation, the Existing Agreement.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on Page Following]</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IN WITNESS WHEREOF, the Parties hereto have executed this Agreement as of the day and year set forth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Thomson</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Thomson</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Finance &amp; Accounting,</w:t>
            </w:r>
          </w:p>
        </w:tc>
      </w:tr>
      <w:tr>
        <w:trPr>
          <w:trHeight w:val="426"/>
        </w:trPr>
        <w:tc>
          <w:tcPr>
            <w:tcW w:w="70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Secretary, Treasurer</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Robert J. Gould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Subject to Section 409A</w:t>
      </w:r>
    </w:p>
    <w:p>
      <w:pPr>
        <w:spacing w:after="0" w:line="229" w:lineRule="exact"/>
        <w:rPr>
          <w:sz w:val="20"/>
          <w:szCs w:val="20"/>
          <w:color w:val="auto"/>
        </w:rPr>
      </w:pPr>
    </w:p>
    <w:p>
      <w:pPr>
        <w:ind w:left="-60" w:right="60" w:firstLine="656"/>
        <w:spacing w:after="0" w:line="312"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46" w:lineRule="exact"/>
        <w:rPr>
          <w:rFonts w:ascii="Arial" w:cs="Arial" w:eastAsia="Arial" w:hAnsi="Arial"/>
          <w:sz w:val="16"/>
          <w:szCs w:val="16"/>
          <w:color w:val="auto"/>
        </w:rPr>
      </w:pPr>
    </w:p>
    <w:p>
      <w:pPr>
        <w:ind w:left="600" w:right="280" w:firstLine="645"/>
        <w:spacing w:after="0" w:line="312" w:lineRule="auto"/>
        <w:tabs>
          <w:tab w:leader="none" w:pos="18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146" w:lineRule="exact"/>
        <w:rPr>
          <w:rFonts w:ascii="Arial" w:cs="Arial" w:eastAsia="Arial" w:hAnsi="Arial"/>
          <w:sz w:val="16"/>
          <w:szCs w:val="16"/>
          <w:color w:val="auto"/>
        </w:rPr>
      </w:pPr>
    </w:p>
    <w:p>
      <w:pPr>
        <w:ind w:left="600" w:right="220" w:firstLine="645"/>
        <w:spacing w:after="0" w:line="264" w:lineRule="auto"/>
        <w:tabs>
          <w:tab w:leader="none" w:pos="19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1" w:lineRule="exact"/>
        <w:rPr>
          <w:rFonts w:ascii="Arial" w:cs="Arial" w:eastAsia="Arial" w:hAnsi="Arial"/>
          <w:sz w:val="18"/>
          <w:szCs w:val="18"/>
          <w:color w:val="auto"/>
        </w:rPr>
      </w:pPr>
    </w:p>
    <w:p>
      <w:pPr>
        <w:ind w:left="600" w:right="100" w:firstLine="645"/>
        <w:spacing w:after="0" w:line="277" w:lineRule="auto"/>
        <w:tabs>
          <w:tab w:leader="none" w:pos="19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a “specified employee” (within the meaning of Section 409A), then:</w:t>
      </w:r>
    </w:p>
    <w:p>
      <w:pPr>
        <w:spacing w:after="0" w:line="170" w:lineRule="exact"/>
        <w:rPr>
          <w:sz w:val="20"/>
          <w:szCs w:val="20"/>
          <w:color w:val="auto"/>
        </w:rPr>
      </w:pPr>
    </w:p>
    <w:p>
      <w:pPr>
        <w:ind w:left="1900" w:hanging="655"/>
        <w:spacing w:after="0" w:line="257" w:lineRule="auto"/>
        <w:tabs>
          <w:tab w:leader="none" w:pos="19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88" w:lineRule="exact"/>
        <w:rPr>
          <w:rFonts w:ascii="Arial" w:cs="Arial" w:eastAsia="Arial" w:hAnsi="Arial"/>
          <w:sz w:val="18"/>
          <w:szCs w:val="18"/>
          <w:color w:val="auto"/>
        </w:rPr>
      </w:pPr>
    </w:p>
    <w:p>
      <w:pPr>
        <w:ind w:left="1900" w:right="100" w:hanging="655"/>
        <w:spacing w:after="0" w:line="272" w:lineRule="auto"/>
        <w:tabs>
          <w:tab w:leader="none" w:pos="1931"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37" w:right="279" w:bottom="1440" w:gutter="0" w:footer="0" w:header="0"/>
        </w:sectPr>
      </w:pPr>
    </w:p>
    <w:bookmarkStart w:id="22" w:name="page23"/>
    <w:bookmarkEnd w:id="22"/>
    <w:p>
      <w:pPr>
        <w:ind w:left="1952" w:right="140"/>
        <w:spacing w:after="0" w:line="291" w:lineRule="auto"/>
        <w:rPr>
          <w:sz w:val="20"/>
          <w:szCs w:val="20"/>
          <w:color w:val="auto"/>
        </w:rPr>
      </w:pPr>
      <w:r>
        <w:rPr>
          <w:rFonts w:ascii="Arial" w:cs="Arial" w:eastAsia="Arial" w:hAnsi="Arial"/>
          <w:sz w:val="16"/>
          <w:szCs w:val="16"/>
          <w:color w:val="auto"/>
        </w:rPr>
        <w:t>installment of payments if and to the maximum extent that that such installment is deemed to be paid under a separation pay plan that does not provide for a deferral of compensation by reason of the application of Treasury Regulation 1.409A-1(b)(9)</w:t>
      </w:r>
    </w:p>
    <w:p>
      <w:pPr>
        <w:ind w:left="1952" w:hanging="7"/>
        <w:spacing w:after="0" w:line="255" w:lineRule="auto"/>
        <w:tabs>
          <w:tab w:leader="none" w:pos="2267"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190" w:lineRule="exact"/>
        <w:rPr>
          <w:rFonts w:ascii="Arial" w:cs="Arial" w:eastAsia="Arial" w:hAnsi="Arial"/>
          <w:sz w:val="18"/>
          <w:szCs w:val="18"/>
          <w:color w:val="auto"/>
        </w:rPr>
      </w:pPr>
    </w:p>
    <w:p>
      <w:pPr>
        <w:ind w:left="-8" w:right="320" w:firstLine="656"/>
        <w:spacing w:after="0" w:line="259"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86" w:lineRule="exact"/>
        <w:rPr>
          <w:rFonts w:ascii="Arial" w:cs="Arial" w:eastAsia="Arial" w:hAnsi="Arial"/>
          <w:sz w:val="18"/>
          <w:szCs w:val="18"/>
          <w:color w:val="auto"/>
        </w:rPr>
      </w:pPr>
    </w:p>
    <w:p>
      <w:pPr>
        <w:ind w:left="-8" w:right="180" w:firstLine="656"/>
        <w:spacing w:after="0" w:line="291" w:lineRule="auto"/>
        <w:tabs>
          <w:tab w:leader="none" w:pos="128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w:t>
      </w:r>
    </w:p>
    <w:p>
      <w:pPr>
        <w:ind w:left="-8" w:right="60" w:firstLine="8"/>
        <w:spacing w:after="0" w:line="281" w:lineRule="auto"/>
        <w:tabs>
          <w:tab w:leader="none" w:pos="20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to reimbursement is not subject to set off or liquidation or exchange for any other benefit.</w:t>
      </w:r>
    </w:p>
    <w:p>
      <w:pPr>
        <w:spacing w:after="0" w:line="210" w:lineRule="exact"/>
        <w:rPr>
          <w:rFonts w:ascii="Arial" w:cs="Arial" w:eastAsia="Arial" w:hAnsi="Arial"/>
          <w:sz w:val="18"/>
          <w:szCs w:val="18"/>
          <w:color w:val="auto"/>
        </w:rPr>
      </w:pPr>
    </w:p>
    <w:p>
      <w:pPr>
        <w:ind w:left="-8" w:right="120" w:firstLine="656"/>
        <w:spacing w:after="0" w:line="264"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Agreement is intended to comply with, or be exempt from, Section 409A and shall be interpreted accordingly.</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EMPLOYMENT AGREEMENT (the “Agreement”), is made as of July 3, 2019 by and between Fulcrum Therapeutics, Inc. (the “Company”), and Bryan Stuart (the “Executive”) (together,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continue to employ the Executive as its Chief Operating Officer; and</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the Company and the Executive are party to a letter agreement dated December 6, 2018 (the “Existing Agreement”) and desire to amend and restate the Existing Agreement in its entirety;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has agreed to accept such continued employment on the terms and conditions set forth in this Agreement;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of the Parties herein contained, the Parties hereto agree as follows:</w:t>
      </w:r>
    </w:p>
    <w:p>
      <w:pPr>
        <w:spacing w:after="0" w:line="170" w:lineRule="exact"/>
        <w:rPr>
          <w:sz w:val="20"/>
          <w:szCs w:val="20"/>
          <w:color w:val="auto"/>
        </w:rPr>
      </w:pPr>
    </w:p>
    <w:p>
      <w:pPr>
        <w:ind w:right="440" w:firstLine="8"/>
        <w:spacing w:after="0" w:line="264"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Agreement shall be effective as of the date on which the registration statement relating to the Company’s initial public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is effective (the “Effective Date”). Following the Effective Date, the Executive shall continue to be an employee of the Company until such employment relationship is terminated in accordance with Section 7 hereof (the “Term of Employment”).</w:t>
      </w:r>
    </w:p>
    <w:p>
      <w:pPr>
        <w:spacing w:after="0" w:line="181"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Position</w:t>
      </w:r>
      <w:r>
        <w:rPr>
          <w:rFonts w:ascii="Arial" w:cs="Arial" w:eastAsia="Arial" w:hAnsi="Arial"/>
          <w:sz w:val="18"/>
          <w:szCs w:val="18"/>
          <w:color w:val="auto"/>
        </w:rPr>
        <w:t>. During the Term of Employment, the Executive shall serve as the Chief Operating Officer of the Company, working out of the Company’s office</w:t>
      </w:r>
      <w:r>
        <w:rPr>
          <w:rFonts w:ascii="Arial" w:cs="Arial" w:eastAsia="Arial" w:hAnsi="Arial"/>
          <w:sz w:val="18"/>
          <w:szCs w:val="18"/>
          <w:i w:val="1"/>
          <w:iCs w:val="1"/>
          <w:color w:val="auto"/>
        </w:rPr>
        <w:t xml:space="preserve"> </w:t>
      </w:r>
      <w:r>
        <w:rPr>
          <w:rFonts w:ascii="Arial" w:cs="Arial" w:eastAsia="Arial" w:hAnsi="Arial"/>
          <w:sz w:val="18"/>
          <w:szCs w:val="18"/>
          <w:color w:val="auto"/>
        </w:rPr>
        <w:t>in Cambridge, Massachusetts, and travelling as reasonably required by the Executive’s job duties.</w:t>
      </w:r>
    </w:p>
    <w:p>
      <w:pPr>
        <w:spacing w:after="0" w:line="170" w:lineRule="exact"/>
        <w:rPr>
          <w:rFonts w:ascii="Arial" w:cs="Arial" w:eastAsia="Arial" w:hAnsi="Arial"/>
          <w:sz w:val="18"/>
          <w:szCs w:val="18"/>
          <w:color w:val="auto"/>
        </w:rPr>
      </w:pPr>
    </w:p>
    <w:p>
      <w:pPr>
        <w:ind w:right="60" w:firstLine="8"/>
        <w:spacing w:after="0" w:line="284"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Scope of Employment</w:t>
      </w:r>
      <w:r>
        <w:rPr>
          <w:rFonts w:ascii="Arial" w:cs="Arial" w:eastAsia="Arial" w:hAnsi="Arial"/>
          <w:sz w:val="16"/>
          <w:szCs w:val="16"/>
          <w:color w:val="auto"/>
        </w:rPr>
        <w:t>. During the Term of Employment, the Executive shall be responsible for the performance of those duties consistent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position as Chief Operating Officer. The Executive shall report to the President and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w:t>
      </w:r>
    </w:p>
    <w:p>
      <w:pPr>
        <w:spacing w:after="0" w:line="4" w:lineRule="exact"/>
        <w:rPr>
          <w:rFonts w:ascii="Arial" w:cs="Arial" w:eastAsia="Arial" w:hAnsi="Arial"/>
          <w:sz w:val="16"/>
          <w:szCs w:val="16"/>
          <w:color w:val="auto"/>
        </w:rPr>
      </w:pPr>
    </w:p>
    <w:p>
      <w:pPr>
        <w:ind w:right="720"/>
        <w:spacing w:after="0" w:line="302" w:lineRule="auto"/>
        <w:rPr>
          <w:rFonts w:ascii="Arial" w:cs="Arial" w:eastAsia="Arial" w:hAnsi="Arial"/>
          <w:sz w:val="16"/>
          <w:szCs w:val="16"/>
          <w:color w:val="auto"/>
        </w:rPr>
      </w:pPr>
      <w:r>
        <w:rPr>
          <w:rFonts w:ascii="Arial" w:cs="Arial" w:eastAsia="Arial" w:hAnsi="Arial"/>
          <w:sz w:val="16"/>
          <w:szCs w:val="16"/>
          <w:color w:val="auto"/>
        </w:rPr>
        <w:t>(2)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ind w:left="-8" w:right="60" w:firstLine="8"/>
        <w:spacing w:after="0" w:line="277" w:lineRule="auto"/>
        <w:tabs>
          <w:tab w:leader="none" w:pos="17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As full compensation for all services rendered by the Executive to the Company and any affiliate thereof, during the Term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provide to the Executive the following:</w:t>
      </w:r>
    </w:p>
    <w:p>
      <w:pPr>
        <w:spacing w:after="0" w:line="170" w:lineRule="exact"/>
        <w:rPr>
          <w:rFonts w:ascii="Arial" w:cs="Arial" w:eastAsia="Arial" w:hAnsi="Arial"/>
          <w:sz w:val="18"/>
          <w:szCs w:val="18"/>
          <w:color w:val="auto"/>
        </w:rPr>
      </w:pPr>
    </w:p>
    <w:p>
      <w:pPr>
        <w:jc w:val="both"/>
        <w:ind w:left="-8" w:right="100" w:firstLine="656"/>
        <w:spacing w:after="0" w:line="312" w:lineRule="auto"/>
        <w:tabs>
          <w:tab w:leader="none" w:pos="885"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Effective as of the Effective Date, the Executive shall receive a base salary at the annualized rate of $415,000 (the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46" w:lineRule="exact"/>
        <w:rPr>
          <w:rFonts w:ascii="Arial" w:cs="Arial" w:eastAsia="Arial" w:hAnsi="Arial"/>
          <w:sz w:val="16"/>
          <w:szCs w:val="16"/>
          <w:color w:val="auto"/>
        </w:rPr>
      </w:pPr>
    </w:p>
    <w:p>
      <w:pPr>
        <w:ind w:left="-8" w:firstLine="656"/>
        <w:spacing w:after="0" w:line="287" w:lineRule="auto"/>
        <w:tabs>
          <w:tab w:leader="none" w:pos="895"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Annual Discretionary Bonus</w:t>
      </w:r>
      <w:r>
        <w:rPr>
          <w:rFonts w:ascii="Arial" w:cs="Arial" w:eastAsia="Arial" w:hAnsi="Arial"/>
          <w:sz w:val="16"/>
          <w:szCs w:val="16"/>
          <w:color w:val="auto"/>
        </w:rPr>
        <w:t>. Effective as of the Effective Date, the Executive will be eligible to earn an annual performance bonus of up to 35%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72" w:lineRule="exact"/>
        <w:rPr>
          <w:rFonts w:ascii="Arial" w:cs="Arial" w:eastAsia="Arial" w:hAnsi="Arial"/>
          <w:sz w:val="16"/>
          <w:szCs w:val="16"/>
          <w:color w:val="auto"/>
        </w:rPr>
      </w:pPr>
    </w:p>
    <w:p>
      <w:pPr>
        <w:ind w:left="-8" w:right="60" w:firstLine="656"/>
        <w:spacing w:after="0" w:line="277"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Equity Award</w:t>
      </w:r>
      <w:r>
        <w:rPr>
          <w:rFonts w:ascii="Arial" w:cs="Arial" w:eastAsia="Arial" w:hAnsi="Arial"/>
          <w:sz w:val="18"/>
          <w:szCs w:val="18"/>
          <w:color w:val="auto"/>
        </w:rPr>
        <w:t>. The Executive will be eligible to receive equity awards, if any, at such times and on such terms and conditions as the Board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 its sole discretion, determine.</w:t>
      </w:r>
    </w:p>
    <w:p>
      <w:pPr>
        <w:spacing w:after="0" w:line="170" w:lineRule="exact"/>
        <w:rPr>
          <w:rFonts w:ascii="Arial" w:cs="Arial" w:eastAsia="Arial" w:hAnsi="Arial"/>
          <w:sz w:val="18"/>
          <w:szCs w:val="18"/>
          <w:color w:val="auto"/>
        </w:rPr>
      </w:pPr>
    </w:p>
    <w:p>
      <w:pPr>
        <w:ind w:left="912" w:hanging="264"/>
        <w:spacing w:after="0"/>
        <w:tabs>
          <w:tab w:leader="none" w:pos="91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Paid Time Off</w:t>
      </w:r>
      <w:r>
        <w:rPr>
          <w:rFonts w:ascii="Arial" w:cs="Arial" w:eastAsia="Arial" w:hAnsi="Arial"/>
          <w:sz w:val="18"/>
          <w:szCs w:val="18"/>
          <w:color w:val="auto"/>
        </w:rPr>
        <w:t>. The Executive shall be entitled to paid time off, vacation time plus sick time, consistent with the Company’s policies.</w:t>
      </w:r>
    </w:p>
    <w:p>
      <w:pPr>
        <w:spacing w:after="0" w:line="225" w:lineRule="exact"/>
        <w:rPr>
          <w:rFonts w:ascii="Arial" w:cs="Arial" w:eastAsia="Arial" w:hAnsi="Arial"/>
          <w:sz w:val="18"/>
          <w:szCs w:val="18"/>
          <w:color w:val="auto"/>
        </w:rPr>
      </w:pPr>
    </w:p>
    <w:p>
      <w:pPr>
        <w:ind w:left="-8" w:right="160" w:firstLine="656"/>
        <w:spacing w:after="0" w:line="259"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Subject to eligibility requirements and the Company’s polices, the Executive shall have the right, on the 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186" w:lineRule="exact"/>
        <w:rPr>
          <w:rFonts w:ascii="Arial" w:cs="Arial" w:eastAsia="Arial" w:hAnsi="Arial"/>
          <w:sz w:val="18"/>
          <w:szCs w:val="18"/>
          <w:color w:val="auto"/>
        </w:rPr>
      </w:pPr>
    </w:p>
    <w:p>
      <w:pPr>
        <w:ind w:left="872" w:hanging="224"/>
        <w:spacing w:after="0"/>
        <w:tabs>
          <w:tab w:leader="none" w:pos="87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Withholdings</w:t>
      </w:r>
      <w:r>
        <w:rPr>
          <w:rFonts w:ascii="Arial" w:cs="Arial" w:eastAsia="Arial" w:hAnsi="Arial"/>
          <w:sz w:val="18"/>
          <w:szCs w:val="18"/>
          <w:color w:val="auto"/>
        </w:rPr>
        <w:t>. All compensation payable to the Executive shall be subject to applicable taxes and withholdings.</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5" w:name="page26"/>
    <w:bookmarkEnd w:id="25"/>
    <w:p>
      <w:pPr>
        <w:ind w:left="-8" w:right="620" w:firstLine="8"/>
        <w:spacing w:after="0" w:line="277" w:lineRule="auto"/>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Executive will be reimbursed for his actual, necessary and reasonable business expenses pursuant to Company policy,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Section 3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8" w:right="580" w:firstLine="8"/>
        <w:spacing w:after="0" w:line="277" w:lineRule="auto"/>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Restrictive Covenants Agreement</w:t>
      </w:r>
      <w:r>
        <w:rPr>
          <w:rFonts w:ascii="Arial" w:cs="Arial" w:eastAsia="Arial" w:hAnsi="Arial"/>
          <w:sz w:val="18"/>
          <w:szCs w:val="18"/>
          <w:color w:val="auto"/>
        </w:rPr>
        <w:t>. The Executive hereby acknowledges that in connection with entering into this Agreement, the Executive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enter into a new Employee Confidentiality and Assignment Agreement with the Company.</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Employment Termination</w:t>
      </w:r>
      <w:r>
        <w:rPr>
          <w:rFonts w:ascii="Arial" w:cs="Arial" w:eastAsia="Arial" w:hAnsi="Arial"/>
          <w:sz w:val="18"/>
          <w:szCs w:val="18"/>
          <w:color w:val="auto"/>
        </w:rPr>
        <w:t>. This Agreement and the employment of the Executive shall terminate upon the occurrence of any of the following:</w:t>
      </w:r>
    </w:p>
    <w:p>
      <w:pPr>
        <w:spacing w:after="0" w:line="225" w:lineRule="exact"/>
        <w:rPr>
          <w:rFonts w:ascii="Arial" w:cs="Arial" w:eastAsia="Arial" w:hAnsi="Arial"/>
          <w:sz w:val="18"/>
          <w:szCs w:val="18"/>
          <w:color w:val="auto"/>
        </w:rPr>
      </w:pPr>
    </w:p>
    <w:p>
      <w:pPr>
        <w:ind w:left="-8" w:right="260" w:firstLine="656"/>
        <w:spacing w:after="0" w:line="259" w:lineRule="auto"/>
        <w:tabs>
          <w:tab w:leader="none" w:pos="8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86" w:lineRule="exact"/>
        <w:rPr>
          <w:rFonts w:ascii="Arial" w:cs="Arial" w:eastAsia="Arial" w:hAnsi="Arial"/>
          <w:sz w:val="18"/>
          <w:szCs w:val="18"/>
          <w:color w:val="auto"/>
        </w:rPr>
      </w:pPr>
    </w:p>
    <w:p>
      <w:pPr>
        <w:ind w:left="-8" w:right="60" w:firstLine="656"/>
        <w:spacing w:after="0" w:line="277" w:lineRule="auto"/>
        <w:tabs>
          <w:tab w:leader="none" w:pos="8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the election of the Company, with or without “Cause” (as defined below), immediately upon written notice by the Company to the Executive. As used in this Agreement, “Cause” shall mean:</w:t>
      </w:r>
    </w:p>
    <w:p>
      <w:pPr>
        <w:spacing w:after="0" w:line="170" w:lineRule="exact"/>
        <w:rPr>
          <w:sz w:val="20"/>
          <w:szCs w:val="20"/>
          <w:color w:val="auto"/>
        </w:rPr>
      </w:pPr>
    </w:p>
    <w:p>
      <w:pPr>
        <w:ind w:left="1292" w:right="60" w:hanging="644"/>
        <w:spacing w:after="0" w:line="264" w:lineRule="auto"/>
        <w:tabs>
          <w:tab w:leader="none" w:pos="12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Executive’s conviction of (A) a felony or (B) any misdemeanor involving moral turpitude, deceit, dishonesty or fraud;</w:t>
      </w:r>
    </w:p>
    <w:p>
      <w:pPr>
        <w:spacing w:after="0" w:line="225" w:lineRule="exact"/>
        <w:rPr>
          <w:rFonts w:ascii="Arial" w:cs="Arial" w:eastAsia="Arial" w:hAnsi="Arial"/>
          <w:sz w:val="18"/>
          <w:szCs w:val="18"/>
          <w:color w:val="auto"/>
        </w:rPr>
      </w:pPr>
    </w:p>
    <w:p>
      <w:pPr>
        <w:ind w:left="1292" w:hanging="644"/>
        <w:spacing w:after="0" w:line="259" w:lineRule="auto"/>
        <w:tabs>
          <w:tab w:leader="none" w:pos="13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186" w:lineRule="exact"/>
        <w:rPr>
          <w:rFonts w:ascii="Arial" w:cs="Arial" w:eastAsia="Arial" w:hAnsi="Arial"/>
          <w:sz w:val="18"/>
          <w:szCs w:val="18"/>
          <w:color w:val="auto"/>
        </w:rPr>
      </w:pPr>
    </w:p>
    <w:p>
      <w:pPr>
        <w:ind w:left="1292" w:right="280" w:hanging="644"/>
        <w:spacing w:after="0" w:line="277" w:lineRule="auto"/>
        <w:tabs>
          <w:tab w:leader="none" w:pos="12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Executive’s material violation of any provision of any agreement(s) between the Executive and the Company relating to nonsolicitation, nondisclosure and/or assignment of inventions.</w:t>
      </w:r>
    </w:p>
    <w:p>
      <w:pPr>
        <w:spacing w:after="0" w:line="170" w:lineRule="exact"/>
        <w:rPr>
          <w:sz w:val="20"/>
          <w:szCs w:val="20"/>
          <w:color w:val="auto"/>
        </w:rPr>
      </w:pPr>
    </w:p>
    <w:p>
      <w:pPr>
        <w:ind w:left="-8" w:right="20" w:firstLine="656"/>
        <w:spacing w:after="0" w:line="264" w:lineRule="auto"/>
        <w:tabs>
          <w:tab w:leader="none" w:pos="8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81" w:lineRule="exact"/>
        <w:rPr>
          <w:sz w:val="20"/>
          <w:szCs w:val="20"/>
          <w:color w:val="auto"/>
        </w:rPr>
      </w:pPr>
    </w:p>
    <w:p>
      <w:pPr>
        <w:ind w:left="1292" w:hanging="644"/>
        <w:spacing w:after="0" w:line="277" w:lineRule="auto"/>
        <w:tabs>
          <w:tab w:leader="none" w:pos="12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material diminution of the Executive’s base compensation, other than in connection with, and substantially proportionate to, reductions by the Company of</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6" w:name="page27"/>
    <w:bookmarkEnd w:id="26"/>
    <w:p>
      <w:pPr>
        <w:ind w:left="1300"/>
        <w:spacing w:after="0"/>
        <w:rPr>
          <w:sz w:val="20"/>
          <w:szCs w:val="20"/>
          <w:color w:val="auto"/>
        </w:rPr>
      </w:pPr>
      <w:r>
        <w:rPr>
          <w:rFonts w:ascii="Arial" w:cs="Arial" w:eastAsia="Arial" w:hAnsi="Arial"/>
          <w:sz w:val="18"/>
          <w:szCs w:val="18"/>
          <w:color w:val="auto"/>
        </w:rPr>
        <w:t>the base compensation of all or substantially all senior executives of the Company;</w:t>
      </w:r>
    </w:p>
    <w:p>
      <w:pPr>
        <w:spacing w:after="0" w:line="22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material diminution in the Executive’s duties, authority or responsibilities;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requiring Executive to relocate Executive’s primary office more than fifty (50) miles from the Executive’s then-current primary office; or</w:t>
      </w:r>
    </w:p>
    <w:p>
      <w:pPr>
        <w:spacing w:after="0" w:line="170" w:lineRule="exact"/>
        <w:rPr>
          <w:sz w:val="20"/>
          <w:szCs w:val="20"/>
          <w:color w:val="auto"/>
        </w:rPr>
      </w:pPr>
    </w:p>
    <w:p>
      <w:pPr>
        <w:ind w:left="1300" w:right="360" w:hanging="644"/>
        <w:spacing w:after="0" w:line="277" w:lineRule="auto"/>
        <w:tabs>
          <w:tab w:leader="none" w:pos="13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material breach of this Agreement or any other agreement between the Company and the Executive by the Company not otherwise covered by this paragraph;</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1"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0" w:lineRule="auto"/>
        <w:tabs>
          <w:tab w:leader="none" w:pos="938"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All Terminations Other Than by the Company Without Cause or by the Executive With Good Reason</w:t>
      </w:r>
      <w:r>
        <w:rPr>
          <w:rFonts w:ascii="Arial" w:cs="Arial" w:eastAsia="Arial" w:hAnsi="Arial"/>
          <w:sz w:val="17"/>
          <w:szCs w:val="17"/>
          <w:color w:val="auto"/>
        </w:rPr>
        <w:t>. If the Executive’s employment is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77" w:lineRule="exact"/>
        <w:rPr>
          <w:rFonts w:ascii="Arial" w:cs="Arial" w:eastAsia="Arial" w:hAnsi="Arial"/>
          <w:sz w:val="17"/>
          <w:szCs w:val="17"/>
          <w:color w:val="auto"/>
        </w:rPr>
      </w:pPr>
    </w:p>
    <w:p>
      <w:pPr>
        <w:ind w:right="160" w:firstLine="656"/>
        <w:spacing w:after="0" w:line="293" w:lineRule="auto"/>
        <w:tabs>
          <w:tab w:leader="none" w:pos="903"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16"/>
          <w:szCs w:val="16"/>
          <w:color w:val="auto"/>
        </w:rPr>
        <w:t>If the Executive’s employment is terminated by the Company without Cause pursuant to Section 7(b) or by the Executive with Good Reason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the conditions of Section 8(d),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60"/>
        <w:spacing w:after="0" w:line="259" w:lineRule="auto"/>
        <w:rPr>
          <w:sz w:val="20"/>
          <w:szCs w:val="20"/>
          <w:color w:val="auto"/>
        </w:rPr>
      </w:pPr>
      <w:r>
        <w:rPr>
          <w:rFonts w:ascii="Arial" w:cs="Arial" w:eastAsia="Arial" w:hAnsi="Arial"/>
          <w:sz w:val="18"/>
          <w:szCs w:val="18"/>
          <w:color w:val="auto"/>
        </w:rPr>
        <w:t>“COBRA”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7" w:lineRule="exact"/>
        <w:rPr>
          <w:sz w:val="20"/>
          <w:szCs w:val="20"/>
          <w:color w:val="auto"/>
        </w:rPr>
      </w:pPr>
    </w:p>
    <w:p>
      <w:pPr>
        <w:ind w:right="40" w:firstLine="656"/>
        <w:spacing w:after="0" w:line="268" w:lineRule="auto"/>
        <w:tabs>
          <w:tab w:leader="none" w:pos="893"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Termination by the Company Without Cause or by the Executive With Good Reason Within Twelve Months Following a Change in Control. </w:t>
      </w:r>
      <w:r>
        <w:rPr>
          <w:rFonts w:ascii="Arial" w:cs="Arial" w:eastAsia="Arial" w:hAnsi="Arial"/>
          <w:sz w:val="17"/>
          <w:szCs w:val="17"/>
          <w:color w:val="auto"/>
        </w:rPr>
        <w:t>If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Qualifying Termination occurs within twelve (12) months following a Change in Control, then the Executive shall be entitled to the Accrued Obligations. In addition, and subject to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187" w:lineRule="exact"/>
        <w:rPr>
          <w:rFonts w:ascii="Arial" w:cs="Arial" w:eastAsia="Arial" w:hAnsi="Arial"/>
          <w:sz w:val="17"/>
          <w:szCs w:val="17"/>
          <w:color w:val="auto"/>
        </w:rPr>
      </w:pPr>
    </w:p>
    <w:p>
      <w:pPr>
        <w:ind w:firstLine="656"/>
        <w:spacing w:after="0" w:line="270" w:lineRule="auto"/>
        <w:tabs>
          <w:tab w:leader="none" w:pos="903"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Release</w:t>
      </w:r>
      <w:r>
        <w:rPr>
          <w:rFonts w:ascii="Arial" w:cs="Arial" w:eastAsia="Arial" w:hAnsi="Arial"/>
          <w:sz w:val="17"/>
          <w:szCs w:val="17"/>
          <w:color w:val="auto"/>
        </w:rPr>
        <w:t>. As a condition of the Executive’s receipt of the Severance Benefits or the Change in Control Severance Benefits, as applicable,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77" w:lineRule="exact"/>
        <w:rPr>
          <w:rFonts w:ascii="Arial" w:cs="Arial" w:eastAsia="Arial" w:hAnsi="Arial"/>
          <w:sz w:val="17"/>
          <w:szCs w:val="17"/>
          <w:color w:val="auto"/>
        </w:rPr>
      </w:pPr>
    </w:p>
    <w:p>
      <w:pPr>
        <w:ind w:right="220" w:firstLine="656"/>
        <w:spacing w:after="0" w:line="277" w:lineRule="auto"/>
        <w:tabs>
          <w:tab w:leader="none" w:pos="893"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Change in Control Definition</w:t>
      </w:r>
      <w:r>
        <w:rPr>
          <w:rFonts w:ascii="Arial" w:cs="Arial" w:eastAsia="Arial" w:hAnsi="Arial"/>
          <w:sz w:val="18"/>
          <w:szCs w:val="18"/>
          <w:color w:val="auto"/>
        </w:rPr>
        <w:t>. For purposes of this Agreement, “Change in Control” shall mean the occurrence of any of the following events,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such event or occurrence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60"/>
        <w:spacing w:after="0" w:line="291" w:lineRule="auto"/>
        <w:rPr>
          <w:sz w:val="20"/>
          <w:szCs w:val="20"/>
          <w:color w:val="auto"/>
        </w:rPr>
      </w:pPr>
      <w:r>
        <w:rPr>
          <w:rFonts w:ascii="Arial" w:cs="Arial" w:eastAsia="Arial" w:hAnsi="Arial"/>
          <w:sz w:val="16"/>
          <w:szCs w:val="16"/>
          <w:color w:val="auto"/>
        </w:rPr>
        <w:t>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w:t>
      </w:r>
    </w:p>
    <w:p>
      <w:pPr>
        <w:spacing w:after="0" w:line="283" w:lineRule="auto"/>
        <w:rPr>
          <w:sz w:val="20"/>
          <w:szCs w:val="20"/>
          <w:color w:val="auto"/>
        </w:rPr>
      </w:pPr>
      <w:r>
        <w:rPr>
          <w:rFonts w:ascii="Arial" w:cs="Arial" w:eastAsia="Arial" w:hAnsi="Arial"/>
          <w:sz w:val="16"/>
          <w:szCs w:val="16"/>
          <w:color w:val="auto"/>
        </w:rPr>
        <w:t>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ownership existed prior to the Business Combination); or (iv) the liquidation or dissolution of the Company.</w:t>
      </w:r>
    </w:p>
    <w:p>
      <w:pPr>
        <w:spacing w:after="0" w:line="225" w:lineRule="exact"/>
        <w:rPr>
          <w:sz w:val="20"/>
          <w:szCs w:val="20"/>
          <w:color w:val="auto"/>
        </w:rPr>
      </w:pPr>
    </w:p>
    <w:p>
      <w:pPr>
        <w:ind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Absence of Restrictions</w:t>
      </w:r>
      <w:r>
        <w:rPr>
          <w:rFonts w:ascii="Arial" w:cs="Arial" w:eastAsia="Arial" w:hAnsi="Arial"/>
          <w:sz w:val="18"/>
          <w:szCs w:val="18"/>
          <w:color w:val="auto"/>
        </w:rPr>
        <w:t>. The Executive represents and warrants that the Executive is not bound by any employment contracts, restrictive covenants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that prevent the Executive from entering into employment with, or carrying out the Executive’s responsibilities for, the Company, or which are in any way inconsistent with any of the terms of this Agreement.</w:t>
      </w:r>
    </w:p>
    <w:p>
      <w:pPr>
        <w:spacing w:after="0" w:line="181" w:lineRule="exact"/>
        <w:rPr>
          <w:rFonts w:ascii="Arial" w:cs="Arial" w:eastAsia="Arial" w:hAnsi="Arial"/>
          <w:sz w:val="18"/>
          <w:szCs w:val="18"/>
          <w:color w:val="auto"/>
        </w:rPr>
      </w:pPr>
    </w:p>
    <w:p>
      <w:pPr>
        <w:ind w:right="200" w:firstLine="8"/>
        <w:spacing w:after="0" w:line="264"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Any notice delivered under this Agreement shall be deemed duly delivered three (3) business days after it is sent by registered or certified mail,</w:t>
      </w:r>
      <w:r>
        <w:rPr>
          <w:rFonts w:ascii="Arial" w:cs="Arial" w:eastAsia="Arial" w:hAnsi="Arial"/>
          <w:sz w:val="18"/>
          <w:szCs w:val="18"/>
          <w:i w:val="1"/>
          <w:iCs w:val="1"/>
          <w:color w:val="auto"/>
        </w:rPr>
        <w:t xml:space="preserve"> </w:t>
      </w:r>
      <w:r>
        <w:rPr>
          <w:rFonts w:ascii="Arial" w:cs="Arial" w:eastAsia="Arial" w:hAnsi="Arial"/>
          <w:sz w:val="18"/>
          <w:szCs w:val="18"/>
          <w:color w:val="auto"/>
        </w:rPr>
        <w:t>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address set forth in the Executive’s personnel file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Fulcrum Therapeutics, Inc.</w:t>
      </w:r>
    </w:p>
    <w:p>
      <w:pPr>
        <w:ind w:left="660"/>
        <w:spacing w:after="0" w:line="218" w:lineRule="auto"/>
        <w:rPr>
          <w:sz w:val="20"/>
          <w:szCs w:val="20"/>
          <w:color w:val="auto"/>
        </w:rPr>
      </w:pPr>
      <w:r>
        <w:rPr>
          <w:rFonts w:ascii="Arial" w:cs="Arial" w:eastAsia="Arial" w:hAnsi="Arial"/>
          <w:sz w:val="18"/>
          <w:szCs w:val="18"/>
          <w:color w:val="auto"/>
        </w:rPr>
        <w:t>26 Landsdowne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Cambridge, MA 02139</w:t>
      </w:r>
    </w:p>
    <w:p>
      <w:pPr>
        <w:spacing w:after="0" w:line="2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Either Party may change the address to which notices are to be delivered by giving notice of such change to the other Party in the manner set forth in this Section 10.</w:t>
      </w:r>
    </w:p>
    <w:p>
      <w:pPr>
        <w:spacing w:after="0" w:line="170" w:lineRule="exact"/>
        <w:rPr>
          <w:sz w:val="20"/>
          <w:szCs w:val="20"/>
          <w:color w:val="auto"/>
        </w:rPr>
      </w:pPr>
    </w:p>
    <w:p>
      <w:pPr>
        <w:ind w:right="40" w:firstLine="8"/>
        <w:spacing w:after="0" w:line="255" w:lineRule="auto"/>
        <w:tabs>
          <w:tab w:leader="none" w:pos="26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Applicable Law; Jury Trial Waiver</w:t>
      </w:r>
      <w:r>
        <w:rPr>
          <w:rFonts w:ascii="Arial" w:cs="Arial" w:eastAsia="Arial" w:hAnsi="Arial"/>
          <w:sz w:val="18"/>
          <w:szCs w:val="18"/>
          <w:color w:val="auto"/>
        </w:rPr>
        <w:t>. This Agreement shall be governed by and construed in accordance with the laws of the Commonwealth of</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93"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be binding upon and inure to the benefit of both Parties and their respective successors and assigns,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corporation with which or into which the Company may be merged or which may succeed to its assets or business; provided, however, that the obligations of the Executive are personal and shall not be assigned by the Executive.</w:t>
      </w:r>
    </w:p>
    <w:p>
      <w:pPr>
        <w:spacing w:after="0" w:line="181" w:lineRule="exact"/>
        <w:rPr>
          <w:rFonts w:ascii="Arial" w:cs="Arial" w:eastAsia="Arial" w:hAnsi="Arial"/>
          <w:sz w:val="18"/>
          <w:szCs w:val="18"/>
          <w:color w:val="auto"/>
        </w:rPr>
      </w:pPr>
    </w:p>
    <w:p>
      <w:pPr>
        <w:ind w:right="480" w:firstLine="8"/>
        <w:spacing w:after="0" w:line="264"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At-Will Employment</w:t>
      </w:r>
      <w:r>
        <w:rPr>
          <w:rFonts w:ascii="Arial" w:cs="Arial" w:eastAsia="Arial" w:hAnsi="Arial"/>
          <w:sz w:val="18"/>
          <w:szCs w:val="18"/>
          <w:color w:val="auto"/>
        </w:rPr>
        <w:t>. During the Term of Employment, the Executive will continue to be an at-will employee of the Company, which means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other provision set forth herein, the employment relationship can be terminated by either Party for any reason, at any time, with or without prior notice and with or without Cause.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 w:name="page31"/>
    <w:bookmarkEnd w:id="30"/>
    <w:p>
      <w:pPr>
        <w:ind w:left="-8" w:right="60" w:firstLine="8"/>
        <w:spacing w:after="0" w:line="312" w:lineRule="auto"/>
        <w:tabs>
          <w:tab w:leader="none" w:pos="262"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Acknowledgment</w:t>
      </w:r>
      <w:r>
        <w:rPr>
          <w:rFonts w:ascii="Arial" w:cs="Arial" w:eastAsia="Arial" w:hAnsi="Arial"/>
          <w:sz w:val="16"/>
          <w:szCs w:val="16"/>
          <w:color w:val="auto"/>
        </w:rPr>
        <w:t>. The Executive states and represents that the Executive has had an opportunity to fully discuss and review the terms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46" w:lineRule="exact"/>
        <w:rPr>
          <w:rFonts w:ascii="Arial" w:cs="Arial" w:eastAsia="Arial" w:hAnsi="Arial"/>
          <w:sz w:val="16"/>
          <w:szCs w:val="16"/>
          <w:color w:val="auto"/>
        </w:rPr>
      </w:pPr>
    </w:p>
    <w:p>
      <w:pPr>
        <w:ind w:left="-8" w:right="140" w:firstLine="8"/>
        <w:spacing w:after="0" w:line="259" w:lineRule="auto"/>
        <w:tabs>
          <w:tab w:leader="none" w:pos="26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No Oral Modification, Waiver, Cancellation or Discharge</w:t>
      </w:r>
      <w:r>
        <w:rPr>
          <w:rFonts w:ascii="Arial" w:cs="Arial" w:eastAsia="Arial" w:hAnsi="Arial"/>
          <w:sz w:val="18"/>
          <w:szCs w:val="18"/>
          <w:color w:val="auto"/>
        </w:rPr>
        <w:t>. This Agreement may be amended or modified only by a written instrument executed by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6" w:lineRule="exact"/>
        <w:rPr>
          <w:rFonts w:ascii="Arial" w:cs="Arial" w:eastAsia="Arial" w:hAnsi="Arial"/>
          <w:sz w:val="18"/>
          <w:szCs w:val="18"/>
          <w:color w:val="auto"/>
        </w:rPr>
      </w:pPr>
    </w:p>
    <w:p>
      <w:pPr>
        <w:ind w:left="-8" w:firstLine="8"/>
        <w:spacing w:after="0" w:line="286" w:lineRule="auto"/>
        <w:tabs>
          <w:tab w:leader="none" w:pos="262"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Captions and Pronouns</w:t>
      </w:r>
      <w:r>
        <w:rPr>
          <w:rFonts w:ascii="Arial" w:cs="Arial" w:eastAsia="Arial" w:hAnsi="Arial"/>
          <w:sz w:val="17"/>
          <w:szCs w:val="17"/>
          <w:color w:val="auto"/>
        </w:rPr>
        <w:t>. The captions of the sections of this Agreement are for convenience of reference only and in no way define, limit or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65" w:lineRule="exact"/>
        <w:rPr>
          <w:rFonts w:ascii="Arial" w:cs="Arial" w:eastAsia="Arial" w:hAnsi="Arial"/>
          <w:sz w:val="17"/>
          <w:szCs w:val="17"/>
          <w:color w:val="auto"/>
        </w:rPr>
      </w:pPr>
    </w:p>
    <w:p>
      <w:pPr>
        <w:ind w:left="-8" w:right="120" w:firstLine="8"/>
        <w:spacing w:after="0" w:line="264" w:lineRule="auto"/>
        <w:tabs>
          <w:tab w:leader="none" w:pos="26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The Parties agree that this Agreement will be construed without regard to any presumption or rule requiring construction or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1" w:lineRule="exact"/>
        <w:rPr>
          <w:rFonts w:ascii="Arial" w:cs="Arial" w:eastAsia="Arial" w:hAnsi="Arial"/>
          <w:sz w:val="18"/>
          <w:szCs w:val="18"/>
          <w:color w:val="auto"/>
        </w:rPr>
      </w:pPr>
    </w:p>
    <w:p>
      <w:pPr>
        <w:ind w:left="-8" w:right="20" w:firstLine="8"/>
        <w:spacing w:after="0" w:line="273" w:lineRule="auto"/>
        <w:tabs>
          <w:tab w:leader="none" w:pos="262"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Each provision of this Agreement must be interpreted in such manner as to be effective and valid under applicable law, but if any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8" w:lineRule="exact"/>
        <w:rPr>
          <w:rFonts w:ascii="Arial" w:cs="Arial" w:eastAsia="Arial" w:hAnsi="Arial"/>
          <w:sz w:val="17"/>
          <w:szCs w:val="17"/>
          <w:color w:val="auto"/>
        </w:rPr>
      </w:pPr>
    </w:p>
    <w:p>
      <w:pPr>
        <w:ind w:left="-8" w:right="100" w:firstLine="8"/>
        <w:spacing w:after="0" w:line="277" w:lineRule="auto"/>
        <w:tabs>
          <w:tab w:leader="none" w:pos="26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or oral, relating to the subject matter of this Agreement, including, without limitation, the Existing Agreement.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on Page Following]</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IN WITNESS WHEREOF, the Parties hereto have executed this Agreement as of the day and year set forth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J. Gould</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 &amp; CEO</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Bryan Stuart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Subject to Section 409A</w:t>
      </w:r>
    </w:p>
    <w:p>
      <w:pPr>
        <w:spacing w:after="0" w:line="229" w:lineRule="exact"/>
        <w:rPr>
          <w:sz w:val="20"/>
          <w:szCs w:val="20"/>
          <w:color w:val="auto"/>
        </w:rPr>
      </w:pPr>
    </w:p>
    <w:p>
      <w:pPr>
        <w:ind w:left="-60" w:right="60" w:firstLine="656"/>
        <w:spacing w:after="0" w:line="312" w:lineRule="auto"/>
        <w:tabs>
          <w:tab w:leader="none" w:pos="12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46" w:lineRule="exact"/>
        <w:rPr>
          <w:rFonts w:ascii="Arial" w:cs="Arial" w:eastAsia="Arial" w:hAnsi="Arial"/>
          <w:sz w:val="16"/>
          <w:szCs w:val="16"/>
          <w:color w:val="auto"/>
        </w:rPr>
      </w:pPr>
    </w:p>
    <w:p>
      <w:pPr>
        <w:ind w:left="600" w:right="280" w:firstLine="645"/>
        <w:spacing w:after="0" w:line="312" w:lineRule="auto"/>
        <w:tabs>
          <w:tab w:leader="none" w:pos="1894" w:val="left"/>
        </w:tabs>
        <w:numPr>
          <w:ilvl w:val="1"/>
          <w:numId w:val="39"/>
        </w:numPr>
        <w:rPr>
          <w:rFonts w:ascii="Arial" w:cs="Arial" w:eastAsia="Arial" w:hAnsi="Arial"/>
          <w:sz w:val="16"/>
          <w:szCs w:val="16"/>
          <w:color w:val="auto"/>
        </w:rPr>
      </w:pPr>
      <w:r>
        <w:rPr>
          <w:rFonts w:ascii="Arial" w:cs="Arial" w:eastAsia="Arial" w:hAnsi="Arial"/>
          <w:sz w:val="16"/>
          <w:szCs w:val="16"/>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146" w:lineRule="exact"/>
        <w:rPr>
          <w:rFonts w:ascii="Arial" w:cs="Arial" w:eastAsia="Arial" w:hAnsi="Arial"/>
          <w:sz w:val="16"/>
          <w:szCs w:val="16"/>
          <w:color w:val="auto"/>
        </w:rPr>
      </w:pPr>
    </w:p>
    <w:p>
      <w:pPr>
        <w:ind w:left="600" w:right="220" w:firstLine="645"/>
        <w:spacing w:after="0" w:line="264" w:lineRule="auto"/>
        <w:tabs>
          <w:tab w:leader="none" w:pos="19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1" w:lineRule="exact"/>
        <w:rPr>
          <w:rFonts w:ascii="Arial" w:cs="Arial" w:eastAsia="Arial" w:hAnsi="Arial"/>
          <w:sz w:val="18"/>
          <w:szCs w:val="18"/>
          <w:color w:val="auto"/>
        </w:rPr>
      </w:pPr>
    </w:p>
    <w:p>
      <w:pPr>
        <w:ind w:left="600" w:right="100" w:firstLine="645"/>
        <w:spacing w:after="0" w:line="277" w:lineRule="auto"/>
        <w:tabs>
          <w:tab w:leader="none" w:pos="19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a “specified employee” (within the meaning of Section 409A), then:</w:t>
      </w:r>
    </w:p>
    <w:p>
      <w:pPr>
        <w:spacing w:after="0" w:line="170" w:lineRule="exact"/>
        <w:rPr>
          <w:sz w:val="20"/>
          <w:szCs w:val="20"/>
          <w:color w:val="auto"/>
        </w:rPr>
      </w:pPr>
    </w:p>
    <w:p>
      <w:pPr>
        <w:ind w:left="1900" w:hanging="655"/>
        <w:spacing w:after="0" w:line="257" w:lineRule="auto"/>
        <w:tabs>
          <w:tab w:leader="none" w:pos="19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88" w:lineRule="exact"/>
        <w:rPr>
          <w:rFonts w:ascii="Arial" w:cs="Arial" w:eastAsia="Arial" w:hAnsi="Arial"/>
          <w:sz w:val="18"/>
          <w:szCs w:val="18"/>
          <w:color w:val="auto"/>
        </w:rPr>
      </w:pPr>
    </w:p>
    <w:p>
      <w:pPr>
        <w:ind w:left="1900" w:right="100" w:hanging="655"/>
        <w:spacing w:after="0" w:line="290" w:lineRule="auto"/>
        <w:tabs>
          <w:tab w:leader="none" w:pos="1931"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37" w:right="279" w:bottom="1440" w:gutter="0" w:footer="0" w:header="0"/>
        </w:sectPr>
      </w:pPr>
    </w:p>
    <w:bookmarkStart w:id="33" w:name="page34"/>
    <w:bookmarkEnd w:id="33"/>
    <w:p>
      <w:pPr>
        <w:ind w:left="1952"/>
        <w:spacing w:after="0" w:line="259" w:lineRule="auto"/>
        <w:rPr>
          <w:sz w:val="20"/>
          <w:szCs w:val="20"/>
          <w:color w:val="auto"/>
        </w:rPr>
      </w:pPr>
      <w:r>
        <w:rPr>
          <w:rFonts w:ascii="Arial" w:cs="Arial" w:eastAsia="Arial" w:hAnsi="Arial"/>
          <w:sz w:val="18"/>
          <w:szCs w:val="18"/>
          <w:color w:val="auto"/>
        </w:rPr>
        <w:t>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187" w:lineRule="exact"/>
        <w:rPr>
          <w:sz w:val="20"/>
          <w:szCs w:val="20"/>
          <w:color w:val="auto"/>
        </w:rPr>
      </w:pPr>
    </w:p>
    <w:p>
      <w:pPr>
        <w:ind w:left="-8" w:right="260" w:firstLine="656"/>
        <w:spacing w:after="0" w:line="259"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86" w:lineRule="exact"/>
        <w:rPr>
          <w:rFonts w:ascii="Arial" w:cs="Arial" w:eastAsia="Arial" w:hAnsi="Arial"/>
          <w:sz w:val="18"/>
          <w:szCs w:val="18"/>
          <w:color w:val="auto"/>
        </w:rPr>
      </w:pPr>
    </w:p>
    <w:p>
      <w:pPr>
        <w:ind w:left="-8" w:right="120" w:firstLine="656"/>
        <w:spacing w:after="0" w:line="291" w:lineRule="auto"/>
        <w:tabs>
          <w:tab w:leader="none" w:pos="1288"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w:t>
      </w:r>
    </w:p>
    <w:p>
      <w:pPr>
        <w:ind w:left="-8" w:firstLine="8"/>
        <w:spacing w:after="0" w:line="281" w:lineRule="auto"/>
        <w:tabs>
          <w:tab w:leader="none" w:pos="20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 to reimbursement is not subject to set off or liquidation or exchange for any other benefit.</w:t>
      </w:r>
    </w:p>
    <w:p>
      <w:pPr>
        <w:spacing w:after="0" w:line="210" w:lineRule="exact"/>
        <w:rPr>
          <w:rFonts w:ascii="Arial" w:cs="Arial" w:eastAsia="Arial" w:hAnsi="Arial"/>
          <w:sz w:val="18"/>
          <w:szCs w:val="18"/>
          <w:color w:val="auto"/>
        </w:rPr>
      </w:pPr>
    </w:p>
    <w:p>
      <w:pPr>
        <w:ind w:left="-8" w:right="60" w:firstLine="656"/>
        <w:spacing w:after="0" w:line="264"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Agreement is intended to comply with, or be exempt from, Section 409A and shall be interpreted accordingly.</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41"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THIS EMPLOYMENT AGREEMENT (the “Agreement”), is made as of June 30, 2019 by and between Fulcrum Therapeutics, Inc. (the “Company”), and Diego Cadavid (the “Executive”) (together,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continue to employ the Executive as its Senior Vice President, Clinical Development; and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the Company and the Executive are party to a letter agreement dated August 9, 2016 (the “Existing Agreement”) and desire to amend and restate the Existing Agreement in its entirety;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has agreed to accept such continued employment on the terms and conditions set forth in this Agreement;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of the Parties herein contained, the Parties hereto agree as follows:</w:t>
      </w:r>
    </w:p>
    <w:p>
      <w:pPr>
        <w:spacing w:after="0" w:line="170" w:lineRule="exact"/>
        <w:rPr>
          <w:sz w:val="20"/>
          <w:szCs w:val="20"/>
          <w:color w:val="auto"/>
        </w:rPr>
      </w:pPr>
    </w:p>
    <w:p>
      <w:pPr>
        <w:ind w:right="440" w:firstLine="8"/>
        <w:spacing w:after="0" w:line="264"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Agreement shall be effective as of the date on which the registration statement relating to the Company’s initial public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is effective (the “Effective Date”). Following the Effective Date, the Executive shall continue to be an employee of the Company until such employment relationship is terminated in accordance with Section 7 hereof (the “Term of Employment”).</w:t>
      </w:r>
    </w:p>
    <w:p>
      <w:pPr>
        <w:spacing w:after="0" w:line="181"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Position</w:t>
      </w:r>
      <w:r>
        <w:rPr>
          <w:rFonts w:ascii="Arial" w:cs="Arial" w:eastAsia="Arial" w:hAnsi="Arial"/>
          <w:sz w:val="18"/>
          <w:szCs w:val="18"/>
          <w:color w:val="auto"/>
        </w:rPr>
        <w:t>. During the Term of Employment, the Executive shall serve as the Senior Vice President, Clinical Development of the Company, working out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office in Cambridge, Massachusetts, and travelling as reasonably required by the Executive’s job duties.</w:t>
      </w:r>
    </w:p>
    <w:p>
      <w:pPr>
        <w:spacing w:after="0" w:line="170" w:lineRule="exact"/>
        <w:rPr>
          <w:rFonts w:ascii="Arial" w:cs="Arial" w:eastAsia="Arial" w:hAnsi="Arial"/>
          <w:sz w:val="18"/>
          <w:szCs w:val="18"/>
          <w:color w:val="auto"/>
        </w:rPr>
      </w:pPr>
    </w:p>
    <w:p>
      <w:pPr>
        <w:ind w:firstLine="8"/>
        <w:spacing w:after="0" w:line="269"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Scope of Employment</w:t>
      </w:r>
      <w:r>
        <w:rPr>
          <w:rFonts w:ascii="Arial" w:cs="Arial" w:eastAsia="Arial" w:hAnsi="Arial"/>
          <w:sz w:val="17"/>
          <w:szCs w:val="17"/>
          <w:color w:val="auto"/>
        </w:rPr>
        <w:t>. During the Term of Employment, the Executive shall be responsible for the performance of those duties 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position as Senior Vice President, Clinical Development. The Executive shall report to the President and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Notwithstanding the foregoing, it is agreed and understood that the Executive may continue his current teaching activities at the University of Massachusetts Medical School for which he may receive nominal compensation for so long as such activities do not create a conflict of interest or otherwise interfere with the performance of the Executive’s duties hereunder. The Executive agrees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ind w:right="100"/>
        <w:spacing w:after="0" w:line="277" w:lineRule="auto"/>
        <w:rPr>
          <w:sz w:val="20"/>
          <w:szCs w:val="20"/>
          <w:color w:val="auto"/>
        </w:rPr>
      </w:pPr>
      <w:r>
        <w:rPr>
          <w:rFonts w:ascii="Arial" w:cs="Arial" w:eastAsia="Arial" w:hAnsi="Arial"/>
          <w:sz w:val="18"/>
          <w:szCs w:val="18"/>
          <w:color w:val="auto"/>
        </w:rPr>
        <w:t>abide by the rules, regulations, instructions, personnel practices and policies of the Company and any changes therein that may be adopted from time to time by the Company.</w:t>
      </w:r>
    </w:p>
    <w:p>
      <w:pPr>
        <w:spacing w:after="0" w:line="170" w:lineRule="exact"/>
        <w:rPr>
          <w:sz w:val="20"/>
          <w:szCs w:val="20"/>
          <w:color w:val="auto"/>
        </w:rPr>
      </w:pPr>
    </w:p>
    <w:p>
      <w:pPr>
        <w:ind w:right="6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As full compensation for all services rendered by the Executive to the Company and any affiliate thereof, during the Term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provide to the Executive the following:</w:t>
      </w:r>
    </w:p>
    <w:p>
      <w:pPr>
        <w:spacing w:after="0" w:line="170" w:lineRule="exact"/>
        <w:rPr>
          <w:rFonts w:ascii="Arial" w:cs="Arial" w:eastAsia="Arial" w:hAnsi="Arial"/>
          <w:sz w:val="18"/>
          <w:szCs w:val="18"/>
          <w:color w:val="auto"/>
        </w:rPr>
      </w:pPr>
    </w:p>
    <w:p>
      <w:pPr>
        <w:jc w:val="both"/>
        <w:ind w:right="100" w:firstLine="656"/>
        <w:spacing w:after="0" w:line="312" w:lineRule="auto"/>
        <w:tabs>
          <w:tab w:leader="none" w:pos="893"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Effective as of the Effective Date, the Executive shall receive a base salary at the annualized rate of $375,000 (the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46" w:lineRule="exact"/>
        <w:rPr>
          <w:rFonts w:ascii="Arial" w:cs="Arial" w:eastAsia="Arial" w:hAnsi="Arial"/>
          <w:sz w:val="16"/>
          <w:szCs w:val="16"/>
          <w:color w:val="auto"/>
        </w:rPr>
      </w:pPr>
    </w:p>
    <w:p>
      <w:pPr>
        <w:ind w:firstLine="656"/>
        <w:spacing w:after="0" w:line="287" w:lineRule="auto"/>
        <w:tabs>
          <w:tab w:leader="none" w:pos="903"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Annual Discretionary Bonus</w:t>
      </w:r>
      <w:r>
        <w:rPr>
          <w:rFonts w:ascii="Arial" w:cs="Arial" w:eastAsia="Arial" w:hAnsi="Arial"/>
          <w:sz w:val="16"/>
          <w:szCs w:val="16"/>
          <w:color w:val="auto"/>
        </w:rPr>
        <w:t>. Effective as of the Effective Date, the Executive will be eligible to earn an annual performance bonus of up to 30%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72" w:lineRule="exact"/>
        <w:rPr>
          <w:rFonts w:ascii="Arial" w:cs="Arial" w:eastAsia="Arial" w:hAnsi="Arial"/>
          <w:sz w:val="16"/>
          <w:szCs w:val="16"/>
          <w:color w:val="auto"/>
        </w:rPr>
      </w:pPr>
    </w:p>
    <w:p>
      <w:pPr>
        <w:ind w:right="60" w:firstLine="656"/>
        <w:spacing w:after="0" w:line="277" w:lineRule="auto"/>
        <w:tabs>
          <w:tab w:leader="none" w:pos="89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Equity Award</w:t>
      </w:r>
      <w:r>
        <w:rPr>
          <w:rFonts w:ascii="Arial" w:cs="Arial" w:eastAsia="Arial" w:hAnsi="Arial"/>
          <w:sz w:val="18"/>
          <w:szCs w:val="18"/>
          <w:color w:val="auto"/>
        </w:rPr>
        <w:t>. The Executive will be eligible to receive equity awards, if any, at such times and on such terms and conditions as the Board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 its sole discretion, determine.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Paid Time Off</w:t>
      </w:r>
      <w:r>
        <w:rPr>
          <w:rFonts w:ascii="Arial" w:cs="Arial" w:eastAsia="Arial" w:hAnsi="Arial"/>
          <w:sz w:val="18"/>
          <w:szCs w:val="18"/>
          <w:color w:val="auto"/>
        </w:rPr>
        <w:t>. The Executive shall be entitled to paid time off, vacation time plus sick time, consistent with the Company’s policies.</w:t>
      </w:r>
    </w:p>
    <w:p>
      <w:pPr>
        <w:spacing w:after="0" w:line="225" w:lineRule="exact"/>
        <w:rPr>
          <w:rFonts w:ascii="Arial" w:cs="Arial" w:eastAsia="Arial" w:hAnsi="Arial"/>
          <w:sz w:val="18"/>
          <w:szCs w:val="18"/>
          <w:color w:val="auto"/>
        </w:rPr>
      </w:pPr>
    </w:p>
    <w:p>
      <w:pPr>
        <w:ind w:right="160" w:firstLine="656"/>
        <w:spacing w:after="0" w:line="259" w:lineRule="auto"/>
        <w:tabs>
          <w:tab w:leader="none" w:pos="89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Subject to eligibility requirements and the Company’s polices, the Executive shall have the right, on the 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Withholdings</w:t>
      </w:r>
      <w:r>
        <w:rPr>
          <w:rFonts w:ascii="Arial" w:cs="Arial" w:eastAsia="Arial" w:hAnsi="Arial"/>
          <w:sz w:val="18"/>
          <w:szCs w:val="18"/>
          <w:color w:val="auto"/>
        </w:rPr>
        <w:t>. All compensation payable to the Executive shall be subject to applicable taxes and withholdings.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 w:name="page37"/>
    <w:bookmarkEnd w:id="36"/>
    <w:p>
      <w:pPr>
        <w:ind w:left="-8" w:right="620" w:firstLine="8"/>
        <w:spacing w:after="0" w:line="277" w:lineRule="auto"/>
        <w:tabs>
          <w:tab w:leader="none" w:pos="17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Executive will be reimbursed for his actual, necessary and reasonable business expenses pursuant to Company policy,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Section 3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8" w:right="580" w:firstLine="8"/>
        <w:spacing w:after="0" w:line="277" w:lineRule="auto"/>
        <w:tabs>
          <w:tab w:leader="none" w:pos="17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Restrictive Covenants Agreement</w:t>
      </w:r>
      <w:r>
        <w:rPr>
          <w:rFonts w:ascii="Arial" w:cs="Arial" w:eastAsia="Arial" w:hAnsi="Arial"/>
          <w:sz w:val="18"/>
          <w:szCs w:val="18"/>
          <w:color w:val="auto"/>
        </w:rPr>
        <w:t>. The Executive hereby acknowledges that in connection with entering into this Agreement, the Executive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enter into a new Employee Confidentiality and Assignment Agreement with the Company.</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Employment Termination</w:t>
      </w:r>
      <w:r>
        <w:rPr>
          <w:rFonts w:ascii="Arial" w:cs="Arial" w:eastAsia="Arial" w:hAnsi="Arial"/>
          <w:sz w:val="18"/>
          <w:szCs w:val="18"/>
          <w:color w:val="auto"/>
        </w:rPr>
        <w:t>. This Agreement and the employment of the Executive shall terminate upon the occurrence of any of the following:</w:t>
      </w:r>
    </w:p>
    <w:p>
      <w:pPr>
        <w:spacing w:after="0" w:line="225" w:lineRule="exact"/>
        <w:rPr>
          <w:rFonts w:ascii="Arial" w:cs="Arial" w:eastAsia="Arial" w:hAnsi="Arial"/>
          <w:sz w:val="18"/>
          <w:szCs w:val="18"/>
          <w:color w:val="auto"/>
        </w:rPr>
      </w:pPr>
    </w:p>
    <w:p>
      <w:pPr>
        <w:ind w:left="-8" w:right="260" w:firstLine="656"/>
        <w:spacing w:after="0" w:line="259" w:lineRule="auto"/>
        <w:tabs>
          <w:tab w:leader="none" w:pos="885"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86" w:lineRule="exact"/>
        <w:rPr>
          <w:rFonts w:ascii="Arial" w:cs="Arial" w:eastAsia="Arial" w:hAnsi="Arial"/>
          <w:sz w:val="18"/>
          <w:szCs w:val="18"/>
          <w:color w:val="auto"/>
        </w:rPr>
      </w:pPr>
    </w:p>
    <w:p>
      <w:pPr>
        <w:ind w:left="-8" w:right="60" w:firstLine="656"/>
        <w:spacing w:after="0" w:line="277" w:lineRule="auto"/>
        <w:tabs>
          <w:tab w:leader="none" w:pos="88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At the election of the Company, with or without “Cause” (as defined below), immediately upon written notice by the Company to the Executive. As used in this Agreement, “Cause” shall mean:</w:t>
      </w:r>
    </w:p>
    <w:p>
      <w:pPr>
        <w:spacing w:after="0" w:line="170" w:lineRule="exact"/>
        <w:rPr>
          <w:sz w:val="20"/>
          <w:szCs w:val="20"/>
          <w:color w:val="auto"/>
        </w:rPr>
      </w:pPr>
    </w:p>
    <w:p>
      <w:pPr>
        <w:ind w:left="1292" w:right="60" w:hanging="644"/>
        <w:spacing w:after="0" w:line="264" w:lineRule="auto"/>
        <w:tabs>
          <w:tab w:leader="none" w:pos="12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Executive’s conviction of (A) a felony or (B) any misdemeanor involving moral turpitude, deceit, dishonesty or fraud;</w:t>
      </w:r>
    </w:p>
    <w:p>
      <w:pPr>
        <w:spacing w:after="0" w:line="225" w:lineRule="exact"/>
        <w:rPr>
          <w:rFonts w:ascii="Arial" w:cs="Arial" w:eastAsia="Arial" w:hAnsi="Arial"/>
          <w:sz w:val="18"/>
          <w:szCs w:val="18"/>
          <w:color w:val="auto"/>
        </w:rPr>
      </w:pPr>
    </w:p>
    <w:p>
      <w:pPr>
        <w:ind w:left="1292" w:hanging="644"/>
        <w:spacing w:after="0" w:line="259" w:lineRule="auto"/>
        <w:tabs>
          <w:tab w:leader="none" w:pos="13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186" w:lineRule="exact"/>
        <w:rPr>
          <w:rFonts w:ascii="Arial" w:cs="Arial" w:eastAsia="Arial" w:hAnsi="Arial"/>
          <w:sz w:val="18"/>
          <w:szCs w:val="18"/>
          <w:color w:val="auto"/>
        </w:rPr>
      </w:pPr>
    </w:p>
    <w:p>
      <w:pPr>
        <w:ind w:left="1292" w:right="280" w:hanging="644"/>
        <w:spacing w:after="0" w:line="277" w:lineRule="auto"/>
        <w:tabs>
          <w:tab w:leader="none" w:pos="12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Executive’s material violation of any provision of any agreement(s) between the Executive and the Company relating to nonsolicitation, nondisclosure and/or assignment of inventions.</w:t>
      </w:r>
    </w:p>
    <w:p>
      <w:pPr>
        <w:spacing w:after="0" w:line="170" w:lineRule="exact"/>
        <w:rPr>
          <w:sz w:val="20"/>
          <w:szCs w:val="20"/>
          <w:color w:val="auto"/>
        </w:rPr>
      </w:pPr>
    </w:p>
    <w:p>
      <w:pPr>
        <w:ind w:left="-8" w:right="20" w:firstLine="656"/>
        <w:spacing w:after="0" w:line="264" w:lineRule="auto"/>
        <w:tabs>
          <w:tab w:leader="none" w:pos="8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81" w:lineRule="exact"/>
        <w:rPr>
          <w:sz w:val="20"/>
          <w:szCs w:val="20"/>
          <w:color w:val="auto"/>
        </w:rPr>
      </w:pPr>
    </w:p>
    <w:p>
      <w:pPr>
        <w:ind w:left="1292" w:hanging="644"/>
        <w:spacing w:after="0" w:line="277" w:lineRule="auto"/>
        <w:tabs>
          <w:tab w:leader="none" w:pos="12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diminution of the Executive’s base compensation, other than in connection with, and substantially proportionate to, reductions by the Company of</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37" w:name="page38"/>
    <w:bookmarkEnd w:id="37"/>
    <w:p>
      <w:pPr>
        <w:ind w:left="1300"/>
        <w:spacing w:after="0"/>
        <w:rPr>
          <w:sz w:val="20"/>
          <w:szCs w:val="20"/>
          <w:color w:val="auto"/>
        </w:rPr>
      </w:pPr>
      <w:r>
        <w:rPr>
          <w:rFonts w:ascii="Arial" w:cs="Arial" w:eastAsia="Arial" w:hAnsi="Arial"/>
          <w:sz w:val="18"/>
          <w:szCs w:val="18"/>
          <w:color w:val="auto"/>
        </w:rPr>
        <w:t>the base compensation of all or substantially all senior executives of the Company;</w:t>
      </w:r>
    </w:p>
    <w:p>
      <w:pPr>
        <w:spacing w:after="0" w:line="22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material diminution in the Executive’s duties, authority or responsibilities;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requiring Executive to relocate Executive’s primary office more than fifty (50) miles from the Executive’s then-current primary office; or</w:t>
      </w:r>
    </w:p>
    <w:p>
      <w:pPr>
        <w:spacing w:after="0" w:line="170" w:lineRule="exact"/>
        <w:rPr>
          <w:sz w:val="20"/>
          <w:szCs w:val="20"/>
          <w:color w:val="auto"/>
        </w:rPr>
      </w:pPr>
    </w:p>
    <w:p>
      <w:pPr>
        <w:ind w:left="1300" w:right="360" w:hanging="644"/>
        <w:spacing w:after="0" w:line="277" w:lineRule="auto"/>
        <w:tabs>
          <w:tab w:leader="none" w:pos="1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material breach of this Agreement or any other agreement between the Company and the Executive by the Company not otherwise covered by this paragraph;</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1"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0" w:lineRule="auto"/>
        <w:tabs>
          <w:tab w:leader="none" w:pos="938"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All Terminations Other Than by the Company Without Cause or by the Executive With Good Reason</w:t>
      </w:r>
      <w:r>
        <w:rPr>
          <w:rFonts w:ascii="Arial" w:cs="Arial" w:eastAsia="Arial" w:hAnsi="Arial"/>
          <w:sz w:val="17"/>
          <w:szCs w:val="17"/>
          <w:color w:val="auto"/>
        </w:rPr>
        <w:t>. If the Executive’s employment is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77" w:lineRule="exact"/>
        <w:rPr>
          <w:rFonts w:ascii="Arial" w:cs="Arial" w:eastAsia="Arial" w:hAnsi="Arial"/>
          <w:sz w:val="17"/>
          <w:szCs w:val="17"/>
          <w:color w:val="auto"/>
        </w:rPr>
      </w:pPr>
    </w:p>
    <w:p>
      <w:pPr>
        <w:ind w:right="160" w:firstLine="656"/>
        <w:spacing w:after="0" w:line="293" w:lineRule="auto"/>
        <w:tabs>
          <w:tab w:leader="none" w:pos="903"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16"/>
          <w:szCs w:val="16"/>
          <w:color w:val="auto"/>
        </w:rPr>
        <w:t>If the Executive’s employment is terminated by the Company without Cause pursuant to Section 7(b) or by the Executive with Good Reason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the conditions of Section 8(d),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right="60"/>
        <w:spacing w:after="0" w:line="259" w:lineRule="auto"/>
        <w:rPr>
          <w:sz w:val="20"/>
          <w:szCs w:val="20"/>
          <w:color w:val="auto"/>
        </w:rPr>
      </w:pPr>
      <w:r>
        <w:rPr>
          <w:rFonts w:ascii="Arial" w:cs="Arial" w:eastAsia="Arial" w:hAnsi="Arial"/>
          <w:sz w:val="18"/>
          <w:szCs w:val="18"/>
          <w:color w:val="auto"/>
        </w:rPr>
        <w:t>“COBRA”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7" w:lineRule="exact"/>
        <w:rPr>
          <w:sz w:val="20"/>
          <w:szCs w:val="20"/>
          <w:color w:val="auto"/>
        </w:rPr>
      </w:pPr>
    </w:p>
    <w:p>
      <w:pPr>
        <w:ind w:right="40" w:firstLine="656"/>
        <w:spacing w:after="0" w:line="268" w:lineRule="auto"/>
        <w:tabs>
          <w:tab w:leader="none" w:pos="893"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Termination by the Company Without Cause or by the Executive With Good Reason Within Twelve Months Following a Change in Control. </w:t>
      </w:r>
      <w:r>
        <w:rPr>
          <w:rFonts w:ascii="Arial" w:cs="Arial" w:eastAsia="Arial" w:hAnsi="Arial"/>
          <w:sz w:val="17"/>
          <w:szCs w:val="17"/>
          <w:color w:val="auto"/>
        </w:rPr>
        <w:t>If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Qualifying Termination occurs within twelve (12) months following a Change in Control, then the Executive shall be entitled to the Accrued Obligations. In addition, and subject to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187" w:lineRule="exact"/>
        <w:rPr>
          <w:rFonts w:ascii="Arial" w:cs="Arial" w:eastAsia="Arial" w:hAnsi="Arial"/>
          <w:sz w:val="17"/>
          <w:szCs w:val="17"/>
          <w:color w:val="auto"/>
        </w:rPr>
      </w:pPr>
    </w:p>
    <w:p>
      <w:pPr>
        <w:ind w:firstLine="656"/>
        <w:spacing w:after="0" w:line="270" w:lineRule="auto"/>
        <w:tabs>
          <w:tab w:leader="none" w:pos="903"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Release</w:t>
      </w:r>
      <w:r>
        <w:rPr>
          <w:rFonts w:ascii="Arial" w:cs="Arial" w:eastAsia="Arial" w:hAnsi="Arial"/>
          <w:sz w:val="17"/>
          <w:szCs w:val="17"/>
          <w:color w:val="auto"/>
        </w:rPr>
        <w:t>. As a condition of the Executive’s receipt of the Severance Benefits or the Change in Control Severance Benefits, as applicable,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77" w:lineRule="exact"/>
        <w:rPr>
          <w:rFonts w:ascii="Arial" w:cs="Arial" w:eastAsia="Arial" w:hAnsi="Arial"/>
          <w:sz w:val="17"/>
          <w:szCs w:val="17"/>
          <w:color w:val="auto"/>
        </w:rPr>
      </w:pPr>
    </w:p>
    <w:p>
      <w:pPr>
        <w:ind w:right="220" w:firstLine="656"/>
        <w:spacing w:after="0" w:line="277" w:lineRule="auto"/>
        <w:tabs>
          <w:tab w:leader="none" w:pos="893"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Change in Control Definition</w:t>
      </w:r>
      <w:r>
        <w:rPr>
          <w:rFonts w:ascii="Arial" w:cs="Arial" w:eastAsia="Arial" w:hAnsi="Arial"/>
          <w:sz w:val="18"/>
          <w:szCs w:val="18"/>
          <w:color w:val="auto"/>
        </w:rPr>
        <w:t>. For purposes of this Agreement, “Change in Control” shall mean the occurrence of any of the following events,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such event or occurrence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60"/>
        <w:spacing w:after="0" w:line="291" w:lineRule="auto"/>
        <w:rPr>
          <w:sz w:val="20"/>
          <w:szCs w:val="20"/>
          <w:color w:val="auto"/>
        </w:rPr>
      </w:pPr>
      <w:r>
        <w:rPr>
          <w:rFonts w:ascii="Arial" w:cs="Arial" w:eastAsia="Arial" w:hAnsi="Arial"/>
          <w:sz w:val="16"/>
          <w:szCs w:val="16"/>
          <w:color w:val="auto"/>
        </w:rPr>
        <w:t>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w:t>
      </w:r>
    </w:p>
    <w:p>
      <w:pPr>
        <w:spacing w:after="0" w:line="283" w:lineRule="auto"/>
        <w:rPr>
          <w:sz w:val="20"/>
          <w:szCs w:val="20"/>
          <w:color w:val="auto"/>
        </w:rPr>
      </w:pPr>
      <w:r>
        <w:rPr>
          <w:rFonts w:ascii="Arial" w:cs="Arial" w:eastAsia="Arial" w:hAnsi="Arial"/>
          <w:sz w:val="16"/>
          <w:szCs w:val="16"/>
          <w:color w:val="auto"/>
        </w:rPr>
        <w:t>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ownership existed prior to the Business Combination); or (iv) the liquidation or dissolution of the Company.</w:t>
      </w:r>
    </w:p>
    <w:p>
      <w:pPr>
        <w:spacing w:after="0" w:line="225" w:lineRule="exact"/>
        <w:rPr>
          <w:sz w:val="20"/>
          <w:szCs w:val="20"/>
          <w:color w:val="auto"/>
        </w:rPr>
      </w:pPr>
    </w:p>
    <w:p>
      <w:pPr>
        <w:ind w:firstLine="8"/>
        <w:spacing w:after="0" w:line="264"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Absence of Restrictions</w:t>
      </w:r>
      <w:r>
        <w:rPr>
          <w:rFonts w:ascii="Arial" w:cs="Arial" w:eastAsia="Arial" w:hAnsi="Arial"/>
          <w:sz w:val="18"/>
          <w:szCs w:val="18"/>
          <w:color w:val="auto"/>
        </w:rPr>
        <w:t>. The Executive represents and warrants that the Executive is not bound by any employment contracts, restrictive covenants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that prevent the Executive from entering into employment with, or carrying out the Executive’s responsibilities for, the Company, or which are in any way inconsistent with any of the terms of this Agreement.</w:t>
      </w:r>
    </w:p>
    <w:p>
      <w:pPr>
        <w:spacing w:after="0" w:line="181" w:lineRule="exact"/>
        <w:rPr>
          <w:rFonts w:ascii="Arial" w:cs="Arial" w:eastAsia="Arial" w:hAnsi="Arial"/>
          <w:sz w:val="18"/>
          <w:szCs w:val="18"/>
          <w:color w:val="auto"/>
        </w:rPr>
      </w:pPr>
    </w:p>
    <w:p>
      <w:pPr>
        <w:ind w:right="200" w:firstLine="8"/>
        <w:spacing w:after="0" w:line="264" w:lineRule="auto"/>
        <w:tabs>
          <w:tab w:leader="none" w:pos="27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Any notice delivered under this Agreement shall be deemed duly delivered three (3) business days after it is sent by registered or certified mail,</w:t>
      </w:r>
      <w:r>
        <w:rPr>
          <w:rFonts w:ascii="Arial" w:cs="Arial" w:eastAsia="Arial" w:hAnsi="Arial"/>
          <w:sz w:val="18"/>
          <w:szCs w:val="18"/>
          <w:i w:val="1"/>
          <w:iCs w:val="1"/>
          <w:color w:val="auto"/>
        </w:rPr>
        <w:t xml:space="preserve"> </w:t>
      </w:r>
      <w:r>
        <w:rPr>
          <w:rFonts w:ascii="Arial" w:cs="Arial" w:eastAsia="Arial" w:hAnsi="Arial"/>
          <w:sz w:val="18"/>
          <w:szCs w:val="18"/>
          <w:color w:val="auto"/>
        </w:rPr>
        <w:t>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address set forth in the Executive’s personnel file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Fulcrum Therapeutics, Inc.</w:t>
      </w:r>
    </w:p>
    <w:p>
      <w:pPr>
        <w:ind w:left="660"/>
        <w:spacing w:after="0" w:line="218" w:lineRule="auto"/>
        <w:rPr>
          <w:sz w:val="20"/>
          <w:szCs w:val="20"/>
          <w:color w:val="auto"/>
        </w:rPr>
      </w:pPr>
      <w:r>
        <w:rPr>
          <w:rFonts w:ascii="Arial" w:cs="Arial" w:eastAsia="Arial" w:hAnsi="Arial"/>
          <w:sz w:val="18"/>
          <w:szCs w:val="18"/>
          <w:color w:val="auto"/>
        </w:rPr>
        <w:t>26 Landsdowne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Cambridge, MA 02139</w:t>
      </w:r>
    </w:p>
    <w:p>
      <w:pPr>
        <w:spacing w:after="0" w:line="2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Either Party may change the address to which notices are to be delivered by giving notice of such change to the other Party in the manner set forth in this Section 10.</w:t>
      </w:r>
    </w:p>
    <w:p>
      <w:pPr>
        <w:spacing w:after="0" w:line="170" w:lineRule="exact"/>
        <w:rPr>
          <w:sz w:val="20"/>
          <w:szCs w:val="20"/>
          <w:color w:val="auto"/>
        </w:rPr>
      </w:pPr>
    </w:p>
    <w:p>
      <w:pPr>
        <w:ind w:right="40" w:firstLine="8"/>
        <w:spacing w:after="0" w:line="255" w:lineRule="auto"/>
        <w:tabs>
          <w:tab w:leader="none" w:pos="263"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Applicable Law; Jury Trial Waiver</w:t>
      </w:r>
      <w:r>
        <w:rPr>
          <w:rFonts w:ascii="Arial" w:cs="Arial" w:eastAsia="Arial" w:hAnsi="Arial"/>
          <w:sz w:val="18"/>
          <w:szCs w:val="18"/>
          <w:color w:val="auto"/>
        </w:rPr>
        <w:t>. This Agreement shall be governed by and construed in accordance with the laws of the Commonwealth of</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93"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be binding upon and inure to the benefit of both Parties and their respective successors and assigns,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corporation with which or into which the Company may be merged or which may succeed to its assets or business; provided, however, that the obligations of the Executive are personal and shall not be assigned by the Executive.</w:t>
      </w:r>
    </w:p>
    <w:p>
      <w:pPr>
        <w:spacing w:after="0" w:line="181" w:lineRule="exact"/>
        <w:rPr>
          <w:rFonts w:ascii="Arial" w:cs="Arial" w:eastAsia="Arial" w:hAnsi="Arial"/>
          <w:sz w:val="18"/>
          <w:szCs w:val="18"/>
          <w:color w:val="auto"/>
        </w:rPr>
      </w:pPr>
    </w:p>
    <w:p>
      <w:pPr>
        <w:ind w:right="480" w:firstLine="8"/>
        <w:spacing w:after="0" w:line="264"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At-Will Employment</w:t>
      </w:r>
      <w:r>
        <w:rPr>
          <w:rFonts w:ascii="Arial" w:cs="Arial" w:eastAsia="Arial" w:hAnsi="Arial"/>
          <w:sz w:val="18"/>
          <w:szCs w:val="18"/>
          <w:color w:val="auto"/>
        </w:rPr>
        <w:t>. During the Term of Employment, the Executive will continue to be an at-will employee of the Company, which means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other provision set forth herein, the employment relationship can be terminated by either Party for any reason, at any time, with or without prior notice and with or without Cause.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ind w:left="-8" w:right="60" w:firstLine="8"/>
        <w:spacing w:after="0" w:line="312" w:lineRule="auto"/>
        <w:tabs>
          <w:tab w:leader="none" w:pos="262"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Acknowledgment</w:t>
      </w:r>
      <w:r>
        <w:rPr>
          <w:rFonts w:ascii="Arial" w:cs="Arial" w:eastAsia="Arial" w:hAnsi="Arial"/>
          <w:sz w:val="16"/>
          <w:szCs w:val="16"/>
          <w:color w:val="auto"/>
        </w:rPr>
        <w:t>. The Executive states and represents that the Executive has had an opportunity to fully discuss and review the terms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46" w:lineRule="exact"/>
        <w:rPr>
          <w:rFonts w:ascii="Arial" w:cs="Arial" w:eastAsia="Arial" w:hAnsi="Arial"/>
          <w:sz w:val="16"/>
          <w:szCs w:val="16"/>
          <w:color w:val="auto"/>
        </w:rPr>
      </w:pPr>
    </w:p>
    <w:p>
      <w:pPr>
        <w:ind w:left="-8" w:right="140" w:firstLine="8"/>
        <w:spacing w:after="0" w:line="259"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No Oral Modification, Waiver, Cancellation or Discharge</w:t>
      </w:r>
      <w:r>
        <w:rPr>
          <w:rFonts w:ascii="Arial" w:cs="Arial" w:eastAsia="Arial" w:hAnsi="Arial"/>
          <w:sz w:val="18"/>
          <w:szCs w:val="18"/>
          <w:color w:val="auto"/>
        </w:rPr>
        <w:t>. This Agreement may be amended or modified only by a written instrument executed by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6" w:lineRule="exact"/>
        <w:rPr>
          <w:rFonts w:ascii="Arial" w:cs="Arial" w:eastAsia="Arial" w:hAnsi="Arial"/>
          <w:sz w:val="18"/>
          <w:szCs w:val="18"/>
          <w:color w:val="auto"/>
        </w:rPr>
      </w:pPr>
    </w:p>
    <w:p>
      <w:pPr>
        <w:ind w:left="-8" w:firstLine="8"/>
        <w:spacing w:after="0" w:line="286" w:lineRule="auto"/>
        <w:tabs>
          <w:tab w:leader="none" w:pos="262"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Captions and Pronouns</w:t>
      </w:r>
      <w:r>
        <w:rPr>
          <w:rFonts w:ascii="Arial" w:cs="Arial" w:eastAsia="Arial" w:hAnsi="Arial"/>
          <w:sz w:val="17"/>
          <w:szCs w:val="17"/>
          <w:color w:val="auto"/>
        </w:rPr>
        <w:t>. The captions of the sections of this Agreement are for convenience of reference only and in no way define, limit or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65" w:lineRule="exact"/>
        <w:rPr>
          <w:rFonts w:ascii="Arial" w:cs="Arial" w:eastAsia="Arial" w:hAnsi="Arial"/>
          <w:sz w:val="17"/>
          <w:szCs w:val="17"/>
          <w:color w:val="auto"/>
        </w:rPr>
      </w:pPr>
    </w:p>
    <w:p>
      <w:pPr>
        <w:ind w:left="-8" w:right="120" w:firstLine="8"/>
        <w:spacing w:after="0" w:line="264"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The Parties agree that this Agreement will be construed without regard to any presumption or rule requiring construction or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1" w:lineRule="exact"/>
        <w:rPr>
          <w:rFonts w:ascii="Arial" w:cs="Arial" w:eastAsia="Arial" w:hAnsi="Arial"/>
          <w:sz w:val="18"/>
          <w:szCs w:val="18"/>
          <w:color w:val="auto"/>
        </w:rPr>
      </w:pPr>
    </w:p>
    <w:p>
      <w:pPr>
        <w:ind w:left="-8" w:right="20" w:firstLine="8"/>
        <w:spacing w:after="0" w:line="273" w:lineRule="auto"/>
        <w:tabs>
          <w:tab w:leader="none" w:pos="262"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Each provision of this Agreement must be interpreted in such manner as to be effective and valid under applicable law, but if any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8" w:lineRule="exact"/>
        <w:rPr>
          <w:rFonts w:ascii="Arial" w:cs="Arial" w:eastAsia="Arial" w:hAnsi="Arial"/>
          <w:sz w:val="17"/>
          <w:szCs w:val="17"/>
          <w:color w:val="auto"/>
        </w:rPr>
      </w:pPr>
    </w:p>
    <w:p>
      <w:pPr>
        <w:ind w:left="-8" w:right="100" w:firstLine="8"/>
        <w:spacing w:after="0" w:line="277"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or oral, relating to the subject matter of this Agreement, including, without limitation, the Existing Agreement.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on Page Following]</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IN WITNESS WHEREOF, the Parties hereto have executed this Agreement as of the day and year set forth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3035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Name:</w:t>
        <w:tab/>
        <w:t>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30359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3035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Diego Cadavid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Diego Cadavid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Subject to Section 409A</w:t>
      </w:r>
    </w:p>
    <w:p>
      <w:pPr>
        <w:spacing w:after="0" w:line="229" w:lineRule="exact"/>
        <w:rPr>
          <w:sz w:val="20"/>
          <w:szCs w:val="20"/>
          <w:color w:val="auto"/>
        </w:rPr>
      </w:pPr>
    </w:p>
    <w:p>
      <w:pPr>
        <w:ind w:left="-60" w:right="60" w:firstLine="656"/>
        <w:spacing w:after="0" w:line="312" w:lineRule="auto"/>
        <w:tabs>
          <w:tab w:leader="none" w:pos="1236"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46" w:lineRule="exact"/>
        <w:rPr>
          <w:rFonts w:ascii="Arial" w:cs="Arial" w:eastAsia="Arial" w:hAnsi="Arial"/>
          <w:sz w:val="16"/>
          <w:szCs w:val="16"/>
          <w:color w:val="auto"/>
        </w:rPr>
      </w:pPr>
    </w:p>
    <w:p>
      <w:pPr>
        <w:ind w:left="600" w:right="280" w:firstLine="645"/>
        <w:spacing w:after="0" w:line="312" w:lineRule="auto"/>
        <w:tabs>
          <w:tab w:leader="none" w:pos="1894" w:val="left"/>
        </w:tabs>
        <w:numPr>
          <w:ilvl w:val="1"/>
          <w:numId w:val="57"/>
        </w:numPr>
        <w:rPr>
          <w:rFonts w:ascii="Arial" w:cs="Arial" w:eastAsia="Arial" w:hAnsi="Arial"/>
          <w:sz w:val="16"/>
          <w:szCs w:val="16"/>
          <w:color w:val="auto"/>
        </w:rPr>
      </w:pPr>
      <w:r>
        <w:rPr>
          <w:rFonts w:ascii="Arial" w:cs="Arial" w:eastAsia="Arial" w:hAnsi="Arial"/>
          <w:sz w:val="16"/>
          <w:szCs w:val="16"/>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146" w:lineRule="exact"/>
        <w:rPr>
          <w:rFonts w:ascii="Arial" w:cs="Arial" w:eastAsia="Arial" w:hAnsi="Arial"/>
          <w:sz w:val="16"/>
          <w:szCs w:val="16"/>
          <w:color w:val="auto"/>
        </w:rPr>
      </w:pPr>
    </w:p>
    <w:p>
      <w:pPr>
        <w:ind w:left="600" w:right="220" w:firstLine="645"/>
        <w:spacing w:after="0" w:line="264" w:lineRule="auto"/>
        <w:tabs>
          <w:tab w:leader="none" w:pos="19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1" w:lineRule="exact"/>
        <w:rPr>
          <w:rFonts w:ascii="Arial" w:cs="Arial" w:eastAsia="Arial" w:hAnsi="Arial"/>
          <w:sz w:val="18"/>
          <w:szCs w:val="18"/>
          <w:color w:val="auto"/>
        </w:rPr>
      </w:pPr>
    </w:p>
    <w:p>
      <w:pPr>
        <w:ind w:left="600" w:right="100" w:firstLine="645"/>
        <w:spacing w:after="0" w:line="277" w:lineRule="auto"/>
        <w:tabs>
          <w:tab w:leader="none" w:pos="19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a “specified employee” (within the meaning of Section 409A), then:</w:t>
      </w:r>
    </w:p>
    <w:p>
      <w:pPr>
        <w:spacing w:after="0" w:line="170" w:lineRule="exact"/>
        <w:rPr>
          <w:sz w:val="20"/>
          <w:szCs w:val="20"/>
          <w:color w:val="auto"/>
        </w:rPr>
      </w:pPr>
    </w:p>
    <w:p>
      <w:pPr>
        <w:ind w:left="1900" w:hanging="655"/>
        <w:spacing w:after="0" w:line="257" w:lineRule="auto"/>
        <w:tabs>
          <w:tab w:leader="none" w:pos="19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88" w:lineRule="exact"/>
        <w:rPr>
          <w:rFonts w:ascii="Arial" w:cs="Arial" w:eastAsia="Arial" w:hAnsi="Arial"/>
          <w:sz w:val="18"/>
          <w:szCs w:val="18"/>
          <w:color w:val="auto"/>
        </w:rPr>
      </w:pPr>
    </w:p>
    <w:p>
      <w:pPr>
        <w:ind w:left="1900" w:right="100" w:hanging="655"/>
        <w:spacing w:after="0" w:line="270" w:lineRule="auto"/>
        <w:tabs>
          <w:tab w:leader="none" w:pos="1931"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37" w:right="279" w:bottom="1440" w:gutter="0" w:footer="0" w:header="0"/>
        </w:sectPr>
      </w:pPr>
    </w:p>
    <w:bookmarkStart w:id="44" w:name="page45"/>
    <w:bookmarkEnd w:id="44"/>
    <w:p>
      <w:pPr>
        <w:ind w:left="1960"/>
        <w:spacing w:after="0" w:line="286" w:lineRule="auto"/>
        <w:rPr>
          <w:sz w:val="20"/>
          <w:szCs w:val="20"/>
          <w:color w:val="auto"/>
        </w:rPr>
      </w:pPr>
      <w:r>
        <w:rPr>
          <w:rFonts w:ascii="Arial" w:cs="Arial" w:eastAsia="Arial" w:hAnsi="Arial"/>
          <w:sz w:val="17"/>
          <w:szCs w:val="17"/>
          <w:color w:val="auto"/>
        </w:rPr>
        <w:t>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166" w:lineRule="exact"/>
        <w:rPr>
          <w:sz w:val="20"/>
          <w:szCs w:val="20"/>
          <w:color w:val="auto"/>
        </w:rPr>
      </w:pPr>
    </w:p>
    <w:p>
      <w:pPr>
        <w:ind w:right="340" w:firstLine="656"/>
        <w:spacing w:after="0" w:line="259" w:lineRule="auto"/>
        <w:tabs>
          <w:tab w:leader="none" w:pos="12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86" w:lineRule="exact"/>
        <w:rPr>
          <w:rFonts w:ascii="Arial" w:cs="Arial" w:eastAsia="Arial" w:hAnsi="Arial"/>
          <w:sz w:val="18"/>
          <w:szCs w:val="18"/>
          <w:color w:val="auto"/>
        </w:rPr>
      </w:pPr>
    </w:p>
    <w:p>
      <w:pPr>
        <w:ind w:right="200" w:firstLine="656"/>
        <w:spacing w:after="0" w:line="291" w:lineRule="auto"/>
        <w:tabs>
          <w:tab w:leader="none" w:pos="1296"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w:t>
      </w:r>
    </w:p>
    <w:p>
      <w:pPr>
        <w:ind w:right="80" w:firstLine="8"/>
        <w:spacing w:after="0" w:line="281" w:lineRule="auto"/>
        <w:tabs>
          <w:tab w:leader="none" w:pos="2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 to reimbursement is not subject to set off or liquidation or exchange for any other benefit.</w:t>
      </w:r>
    </w:p>
    <w:p>
      <w:pPr>
        <w:spacing w:after="0" w:line="210" w:lineRule="exact"/>
        <w:rPr>
          <w:rFonts w:ascii="Arial" w:cs="Arial" w:eastAsia="Arial" w:hAnsi="Arial"/>
          <w:sz w:val="18"/>
          <w:szCs w:val="18"/>
          <w:color w:val="auto"/>
        </w:rPr>
      </w:pPr>
    </w:p>
    <w:p>
      <w:pPr>
        <w:ind w:right="140" w:firstLine="656"/>
        <w:spacing w:after="0" w:line="264" w:lineRule="auto"/>
        <w:tabs>
          <w:tab w:leader="none" w:pos="12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Agreement is intended to comply with, or be exempt from, Section 409A and shall be interpreted accordingly.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lowerLetter"/>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Letter"/>
      <w:start w:val="1"/>
    </w:lvl>
    <w:lvl w:ilvl="1">
      <w:lvlJc w:val="left"/>
      <w:lvlText w:val="†"/>
      <w:numFmt w:val="bullet"/>
      <w:start w:val="1"/>
    </w:lvl>
  </w:abstractNum>
  <w:abstractNum w:abstractNumId="4">
    <w:nsid w:val="4516DDE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
    <w:nsid w:val="3006C83E"/>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4"/>
    </w:lvl>
    <w:lvl w:ilvl="1">
      <w:lvlJc w:val="left"/>
      <w:lvlText w:val="(%2)"/>
      <w:numFmt w:val="lowerLetter"/>
      <w:start w:val="1"/>
    </w:lvl>
  </w:abstractNum>
  <w:abstractNum w:abstractNumId="8">
    <w:nsid w:val="5577F8E1"/>
    <w:multiLevelType w:val="hybridMultilevel"/>
    <w:lvl w:ilvl="0">
      <w:lvlJc w:val="left"/>
      <w:lvlText w:val="%1."/>
      <w:numFmt w:val="decimal"/>
      <w:start w:val="5"/>
    </w:lvl>
    <w:lvl w:ilvl="1">
      <w:lvlJc w:val="left"/>
      <w:lvlText w:val="(%2)"/>
      <w:numFmt w:val="lowerLetter"/>
      <w:start w:val="1"/>
    </w:lvl>
  </w:abstractNum>
  <w:abstractNum w:abstractNumId="9">
    <w:nsid w:val="440BADFC"/>
    <w:multiLevelType w:val="hybridMultilevel"/>
    <w:lvl w:ilvl="0">
      <w:lvlJc w:val="left"/>
      <w:lvlText w:val="(%1)"/>
      <w:numFmt w:val="lowerRoman"/>
      <w:start w:val="1"/>
    </w:lvl>
  </w:abstractNum>
  <w:abstractNum w:abstractNumId="10">
    <w:nsid w:val="5072367"/>
    <w:multiLevelType w:val="hybridMultilevel"/>
    <w:lvl w:ilvl="0">
      <w:lvlJc w:val="left"/>
      <w:lvlText w:val="(%1)"/>
      <w:numFmt w:val="lowerLetter"/>
      <w:start w:val="3"/>
    </w:lvl>
  </w:abstractNum>
  <w:abstractNum w:abstractNumId="11">
    <w:nsid w:val="3804823E"/>
    <w:multiLevelType w:val="hybridMultilevel"/>
    <w:lvl w:ilvl="0">
      <w:lvlJc w:val="left"/>
      <w:lvlText w:val="(%1)"/>
      <w:numFmt w:val="lowerRoman"/>
      <w:start w:val="1"/>
    </w:lvl>
  </w:abstractNum>
  <w:abstractNum w:abstractNumId="12">
    <w:nsid w:val="77465F01"/>
    <w:multiLevelType w:val="hybridMultilevel"/>
    <w:lvl w:ilvl="0">
      <w:lvlJc w:val="left"/>
      <w:lvlText w:val="(%1)"/>
      <w:numFmt w:val="lowerRoman"/>
      <w:start w:val="2"/>
    </w:lvl>
  </w:abstractNum>
  <w:abstractNum w:abstractNumId="13">
    <w:nsid w:val="7724C67E"/>
    <w:multiLevelType w:val="hybridMultilevel"/>
    <w:lvl w:ilvl="0">
      <w:lvlJc w:val="left"/>
      <w:lvlText w:val="(%1)"/>
      <w:numFmt w:val="lowerRoman"/>
      <w:start w:val="3"/>
    </w:lvl>
  </w:abstractNum>
  <w:abstractNum w:abstractNumId="14">
    <w:nsid w:val="5C482A97"/>
    <w:multiLevelType w:val="hybridMultilevel"/>
    <w:lvl w:ilvl="0">
      <w:lvlJc w:val="left"/>
      <w:lvlText w:val="%1."/>
      <w:numFmt w:val="decimal"/>
      <w:start w:val="8"/>
    </w:lvl>
    <w:lvl w:ilvl="1">
      <w:lvlJc w:val="left"/>
      <w:lvlText w:val="(%2)"/>
      <w:numFmt w:val="lowerLetter"/>
      <w:start w:val="1"/>
    </w:lvl>
  </w:abstractNum>
  <w:abstractNum w:abstractNumId="15">
    <w:nsid w:val="2463B9EA"/>
    <w:multiLevelType w:val="hybridMultilevel"/>
    <w:lvl w:ilvl="0">
      <w:lvlJc w:val="left"/>
      <w:lvlText w:val="(%1)"/>
      <w:numFmt w:val="lowerLetter"/>
      <w:start w:val="3"/>
    </w:lvl>
  </w:abstractNum>
  <w:abstractNum w:abstractNumId="16">
    <w:nsid w:val="5E884ADC"/>
    <w:multiLevelType w:val="hybridMultilevel"/>
    <w:lvl w:ilvl="0">
      <w:lvlJc w:val="left"/>
      <w:lvlText w:val="%1."/>
      <w:numFmt w:val="decimal"/>
      <w:start w:val="9"/>
    </w:lvl>
  </w:abstractNum>
  <w:abstractNum w:abstractNumId="17">
    <w:nsid w:val="51EAD36B"/>
    <w:multiLevelType w:val="hybridMultilevel"/>
    <w:lvl w:ilvl="0">
      <w:lvlJc w:val="left"/>
      <w:lvlText w:val="%1."/>
      <w:numFmt w:val="decimal"/>
      <w:start w:val="11"/>
    </w:lvl>
  </w:abstractNum>
  <w:abstractNum w:abstractNumId="18">
    <w:nsid w:val="2D517796"/>
    <w:multiLevelType w:val="hybridMultilevel"/>
    <w:lvl w:ilvl="0">
      <w:lvlJc w:val="left"/>
      <w:lvlText w:val="%1."/>
      <w:numFmt w:val="decimal"/>
      <w:start w:val="14"/>
    </w:lvl>
  </w:abstractNum>
  <w:abstractNum w:abstractNumId="19">
    <w:nsid w:val="580BD78F"/>
    <w:multiLevelType w:val="hybridMultilevel"/>
    <w:lvl w:ilvl="0">
      <w:lvlJc w:val="left"/>
      <w:lvlText w:val="%1."/>
      <w:numFmt w:val="decimal"/>
      <w:start w:val="1"/>
    </w:lvl>
    <w:lvl w:ilvl="1">
      <w:lvlJc w:val="left"/>
      <w:lvlText w:val="(%2)"/>
      <w:numFmt w:val="lowerLetter"/>
      <w:start w:val="1"/>
    </w:lvl>
  </w:abstractNum>
  <w:abstractNum w:abstractNumId="20">
    <w:nsid w:val="153EA438"/>
    <w:multiLevelType w:val="hybridMultilevel"/>
    <w:lvl w:ilvl="0">
      <w:lvlJc w:val="left"/>
      <w:lvlText w:val="(%1)"/>
      <w:numFmt w:val="lowerRoman"/>
      <w:start w:val="1"/>
    </w:lvl>
  </w:abstractNum>
  <w:abstractNum w:abstractNumId="21">
    <w:nsid w:val="3855585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3"/>
    </w:lvl>
  </w:abstractNum>
  <w:abstractNum w:abstractNumId="22">
    <w:nsid w:val="70A64E2A"/>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23">
    <w:nsid w:val="6A2342E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24">
    <w:nsid w:val="2A487CB0"/>
    <w:multiLevelType w:val="hybridMultilevel"/>
    <w:lvl w:ilvl="0">
      <w:lvlJc w:val="left"/>
      <w:lvlText w:val="(%1)"/>
      <w:numFmt w:val="lowerRoman"/>
      <w:start w:val="4"/>
    </w:lvl>
    <w:lvl w:ilvl="1">
      <w:lvlJc w:val="left"/>
      <w:lvlText w:val="%2."/>
      <w:numFmt w:val="decimal"/>
      <w:start w:val="4"/>
    </w:lvl>
    <w:lvl w:ilvl="2">
      <w:lvlJc w:val="left"/>
      <w:lvlText w:val="%3"/>
      <w:numFmt w:val="lowerRoman"/>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4"/>
    </w:lvl>
    <w:lvl w:ilvl="1">
      <w:lvlJc w:val="left"/>
      <w:lvlText w:val="(%2)"/>
      <w:numFmt w:val="lowerLetter"/>
      <w:start w:val="1"/>
    </w:lvl>
  </w:abstractNum>
  <w:abstractNum w:abstractNumId="27">
    <w:nsid w:val="2CD89A32"/>
    <w:multiLevelType w:val="hybridMultilevel"/>
    <w:lvl w:ilvl="0">
      <w:lvlJc w:val="left"/>
      <w:lvlText w:val="%1."/>
      <w:numFmt w:val="decimal"/>
      <w:start w:val="5"/>
    </w:lvl>
    <w:lvl w:ilvl="1">
      <w:lvlJc w:val="left"/>
      <w:lvlText w:val="(%2)"/>
      <w:numFmt w:val="lowerLetter"/>
      <w:start w:val="1"/>
    </w:lvl>
  </w:abstractNum>
  <w:abstractNum w:abstractNumId="28">
    <w:nsid w:val="57E4CCAF"/>
    <w:multiLevelType w:val="hybridMultilevel"/>
    <w:lvl w:ilvl="0">
      <w:lvlJc w:val="left"/>
      <w:lvlText w:val="(%1)"/>
      <w:numFmt w:val="lowerRoman"/>
      <w:start w:val="1"/>
    </w:lvl>
  </w:abstractNum>
  <w:abstractNum w:abstractNumId="29">
    <w:nsid w:val="7A6D8D3C"/>
    <w:multiLevelType w:val="hybridMultilevel"/>
    <w:lvl w:ilvl="0">
      <w:lvlJc w:val="left"/>
      <w:lvlText w:val="(%1)"/>
      <w:numFmt w:val="lowerLetter"/>
      <w:start w:val="3"/>
    </w:lvl>
  </w:abstractNum>
  <w:abstractNum w:abstractNumId="30">
    <w:nsid w:val="4B588F54"/>
    <w:multiLevelType w:val="hybridMultilevel"/>
    <w:lvl w:ilvl="0">
      <w:lvlJc w:val="left"/>
      <w:lvlText w:val="(%1)"/>
      <w:numFmt w:val="lowerRoman"/>
      <w:start w:val="1"/>
    </w:lvl>
  </w:abstractNum>
  <w:abstractNum w:abstractNumId="31">
    <w:nsid w:val="542289EC"/>
    <w:multiLevelType w:val="hybridMultilevel"/>
    <w:lvl w:ilvl="0">
      <w:lvlJc w:val="left"/>
      <w:lvlText w:val="(%1)"/>
      <w:numFmt w:val="lowerRoman"/>
      <w:start w:val="2"/>
    </w:lvl>
  </w:abstractNum>
  <w:abstractNum w:abstractNumId="32">
    <w:nsid w:val="6DE91B18"/>
    <w:multiLevelType w:val="hybridMultilevel"/>
    <w:lvl w:ilvl="0">
      <w:lvlJc w:val="left"/>
      <w:lvlText w:val="(%1)"/>
      <w:numFmt w:val="lowerRoman"/>
      <w:start w:val="3"/>
    </w:lvl>
  </w:abstractNum>
  <w:abstractNum w:abstractNumId="33">
    <w:nsid w:val="38437FDB"/>
    <w:multiLevelType w:val="hybridMultilevel"/>
    <w:lvl w:ilvl="0">
      <w:lvlJc w:val="left"/>
      <w:lvlText w:val="%1."/>
      <w:numFmt w:val="decimal"/>
      <w:start w:val="8"/>
    </w:lvl>
    <w:lvl w:ilvl="1">
      <w:lvlJc w:val="left"/>
      <w:lvlText w:val="(%2)"/>
      <w:numFmt w:val="lowerLetter"/>
      <w:start w:val="1"/>
    </w:lvl>
  </w:abstractNum>
  <w:abstractNum w:abstractNumId="34">
    <w:nsid w:val="7644A45C"/>
    <w:multiLevelType w:val="hybridMultilevel"/>
    <w:lvl w:ilvl="0">
      <w:lvlJc w:val="left"/>
      <w:lvlText w:val="(%1)"/>
      <w:numFmt w:val="lowerLetter"/>
      <w:start w:val="3"/>
    </w:lvl>
  </w:abstractNum>
  <w:abstractNum w:abstractNumId="35">
    <w:nsid w:val="32FFF902"/>
    <w:multiLevelType w:val="hybridMultilevel"/>
    <w:lvl w:ilvl="0">
      <w:lvlJc w:val="left"/>
      <w:lvlText w:val="%1."/>
      <w:numFmt w:val="decimal"/>
      <w:start w:val="9"/>
    </w:lvl>
  </w:abstractNum>
  <w:abstractNum w:abstractNumId="36">
    <w:nsid w:val="684A481A"/>
    <w:multiLevelType w:val="hybridMultilevel"/>
    <w:lvl w:ilvl="0">
      <w:lvlJc w:val="left"/>
      <w:lvlText w:val="%1."/>
      <w:numFmt w:val="decimal"/>
      <w:start w:val="11"/>
    </w:lvl>
  </w:abstractNum>
  <w:abstractNum w:abstractNumId="37">
    <w:nsid w:val="579478FE"/>
    <w:multiLevelType w:val="hybridMultilevel"/>
    <w:lvl w:ilvl="0">
      <w:lvlJc w:val="left"/>
      <w:lvlText w:val="%1."/>
      <w:numFmt w:val="decimal"/>
      <w:start w:val="14"/>
    </w:lvl>
  </w:abstractNum>
  <w:abstractNum w:abstractNumId="38">
    <w:nsid w:val="749ABB43"/>
    <w:multiLevelType w:val="hybridMultilevel"/>
    <w:lvl w:ilvl="0">
      <w:lvlJc w:val="left"/>
      <w:lvlText w:val="%1."/>
      <w:numFmt w:val="decimal"/>
      <w:start w:val="1"/>
    </w:lvl>
    <w:lvl w:ilvl="1">
      <w:lvlJc w:val="left"/>
      <w:lvlText w:val="(%2)"/>
      <w:numFmt w:val="lowerLetter"/>
      <w:start w:val="1"/>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1"/>
      <w:numFmt w:val="lowerRoman"/>
      <w:start w:val="1"/>
    </w:lvl>
    <w:lvl w:ilvl="1">
      <w:lvlJc w:val="left"/>
      <w:lvlText w:val="%2."/>
      <w:numFmt w:val="decimal"/>
      <w:start w:val="2"/>
    </w:lvl>
  </w:abstractNum>
  <w:abstractNum w:abstractNumId="41">
    <w:nsid w:val="79A1DEAA"/>
    <w:multiLevelType w:val="hybridMultilevel"/>
    <w:lvl w:ilvl="0">
      <w:lvlJc w:val="left"/>
      <w:lvlText w:val="(%1)"/>
      <w:numFmt w:val="lowerRoman"/>
      <w:start w:val="1"/>
    </w:lvl>
    <w:lvl w:ilvl="1">
      <w:lvlJc w:val="left"/>
      <w:lvlText w:val="%2"/>
      <w:numFmt w:val="decimal"/>
      <w:start w:val="1"/>
    </w:lvl>
  </w:abstractNum>
  <w:abstractNum w:abstractNumId="42">
    <w:nsid w:val="75C6C33A"/>
    <w:multiLevelType w:val="hybridMultilevel"/>
    <w:lvl w:ilvl="0">
      <w:lvlJc w:val="left"/>
      <w:lvlText w:val="(%1)"/>
      <w:numFmt w:val="lowerRoman"/>
      <w:start w:val="4"/>
    </w:lvl>
    <w:lvl w:ilvl="1">
      <w:lvlJc w:val="left"/>
      <w:lvlText w:val="%2."/>
      <w:numFmt w:val="decimal"/>
      <w:start w:val="4"/>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4"/>
    </w:lvl>
    <w:lvl w:ilvl="1">
      <w:lvlJc w:val="left"/>
      <w:lvlText w:val="(%2)"/>
      <w:numFmt w:val="lowerLetter"/>
      <w:start w:val="1"/>
    </w:lvl>
  </w:abstractNum>
  <w:abstractNum w:abstractNumId="45">
    <w:nsid w:val="520EEDD1"/>
    <w:multiLevelType w:val="hybridMultilevel"/>
    <w:lvl w:ilvl="0">
      <w:lvlJc w:val="left"/>
      <w:lvlText w:val="%1."/>
      <w:numFmt w:val="decimal"/>
      <w:start w:val="5"/>
    </w:lvl>
    <w:lvl w:ilvl="1">
      <w:lvlJc w:val="left"/>
      <w:lvlText w:val="(%2)"/>
      <w:numFmt w:val="lowerLetter"/>
      <w:start w:val="1"/>
    </w:lvl>
  </w:abstractNum>
  <w:abstractNum w:abstractNumId="46">
    <w:nsid w:val="374A3FE6"/>
    <w:multiLevelType w:val="hybridMultilevel"/>
    <w:lvl w:ilvl="0">
      <w:lvlJc w:val="left"/>
      <w:lvlText w:val="(%1)"/>
      <w:numFmt w:val="lowerRoman"/>
      <w:start w:val="1"/>
    </w:lvl>
  </w:abstractNum>
  <w:abstractNum w:abstractNumId="47">
    <w:nsid w:val="4F4EF005"/>
    <w:multiLevelType w:val="hybridMultilevel"/>
    <w:lvl w:ilvl="0">
      <w:lvlJc w:val="left"/>
      <w:lvlText w:val="(%1)"/>
      <w:numFmt w:val="lowerLetter"/>
      <w:start w:val="3"/>
    </w:lvl>
  </w:abstractNum>
  <w:abstractNum w:abstractNumId="48">
    <w:nsid w:val="23F9C13C"/>
    <w:multiLevelType w:val="hybridMultilevel"/>
    <w:lvl w:ilvl="0">
      <w:lvlJc w:val="left"/>
      <w:lvlText w:val="(%1)"/>
      <w:numFmt w:val="lowerRoman"/>
      <w:start w:val="1"/>
    </w:lvl>
  </w:abstractNum>
  <w:abstractNum w:abstractNumId="49">
    <w:nsid w:val="649BB77C"/>
    <w:multiLevelType w:val="hybridMultilevel"/>
    <w:lvl w:ilvl="0">
      <w:lvlJc w:val="left"/>
      <w:lvlText w:val="(%1)"/>
      <w:numFmt w:val="lowerRoman"/>
      <w:start w:val="2"/>
    </w:lvl>
  </w:abstractNum>
  <w:abstractNum w:abstractNumId="50">
    <w:nsid w:val="275AC794"/>
    <w:multiLevelType w:val="hybridMultilevel"/>
    <w:lvl w:ilvl="0">
      <w:lvlJc w:val="left"/>
      <w:lvlText w:val="(%1)"/>
      <w:numFmt w:val="lowerRoman"/>
      <w:start w:val="3"/>
    </w:lvl>
  </w:abstractNum>
  <w:abstractNum w:abstractNumId="51">
    <w:nsid w:val="39386575"/>
    <w:multiLevelType w:val="hybridMultilevel"/>
    <w:lvl w:ilvl="0">
      <w:lvlJc w:val="left"/>
      <w:lvlText w:val="%1."/>
      <w:numFmt w:val="decimal"/>
      <w:start w:val="8"/>
    </w:lvl>
    <w:lvl w:ilvl="1">
      <w:lvlJc w:val="left"/>
      <w:lvlText w:val="(%2)"/>
      <w:numFmt w:val="lowerLetter"/>
      <w:start w:val="1"/>
    </w:lvl>
  </w:abstractNum>
  <w:abstractNum w:abstractNumId="52">
    <w:nsid w:val="1CF10FD8"/>
    <w:multiLevelType w:val="hybridMultilevel"/>
    <w:lvl w:ilvl="0">
      <w:lvlJc w:val="left"/>
      <w:lvlText w:val="(%1)"/>
      <w:numFmt w:val="lowerLetter"/>
      <w:start w:val="3"/>
    </w:lvl>
  </w:abstractNum>
  <w:abstractNum w:abstractNumId="53">
    <w:nsid w:val="180115BE"/>
    <w:multiLevelType w:val="hybridMultilevel"/>
    <w:lvl w:ilvl="0">
      <w:lvlJc w:val="left"/>
      <w:lvlText w:val="%1."/>
      <w:numFmt w:val="decimal"/>
      <w:start w:val="9"/>
    </w:lvl>
  </w:abstractNum>
  <w:abstractNum w:abstractNumId="54">
    <w:nsid w:val="235BA861"/>
    <w:multiLevelType w:val="hybridMultilevel"/>
    <w:lvl w:ilvl="0">
      <w:lvlJc w:val="left"/>
      <w:lvlText w:val="%1."/>
      <w:numFmt w:val="decimal"/>
      <w:start w:val="11"/>
    </w:lvl>
  </w:abstractNum>
  <w:abstractNum w:abstractNumId="55">
    <w:nsid w:val="47398C89"/>
    <w:multiLevelType w:val="hybridMultilevel"/>
    <w:lvl w:ilvl="0">
      <w:lvlJc w:val="left"/>
      <w:lvlText w:val="%1."/>
      <w:numFmt w:val="decimal"/>
      <w:start w:val="14"/>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lowerRoman"/>
      <w:start w:val="1"/>
    </w:lvl>
  </w:abstractNum>
  <w:abstractNum w:abstractNumId="58">
    <w:nsid w:val="741226BB"/>
    <w:multiLevelType w:val="hybridMultilevel"/>
    <w:lvl w:ilvl="0">
      <w:lvlJc w:val="left"/>
      <w:lvlText w:val="%1"/>
      <w:numFmt w:val="lowerRoman"/>
      <w:start w:val="1"/>
    </w:lvl>
    <w:lvl w:ilvl="1">
      <w:lvlJc w:val="left"/>
      <w:lvlText w:val="%2."/>
      <w:numFmt w:val="decimal"/>
      <w:start w:val="2"/>
    </w:lvl>
  </w:abstractNum>
  <w:abstractNum w:abstractNumId="59">
    <w:nsid w:val="D34B6A8"/>
    <w:multiLevelType w:val="hybridMultilevel"/>
    <w:lvl w:ilvl="0">
      <w:lvlJc w:val="left"/>
      <w:lvlText w:val="(%1)"/>
      <w:numFmt w:val="lowerRoman"/>
      <w:start w:val="1"/>
    </w:lvl>
    <w:lvl w:ilvl="1">
      <w:lvlJc w:val="left"/>
      <w:lvlText w:val="%2"/>
      <w:numFmt w:val="decimal"/>
      <w:start w:val="1"/>
    </w:lvl>
  </w:abstractNum>
  <w:abstractNum w:abstractNumId="60">
    <w:nsid w:val="10233C99"/>
    <w:multiLevelType w:val="hybridMultilevel"/>
    <w:lvl w:ilvl="0">
      <w:lvlJc w:val="left"/>
      <w:lvlText w:val="(%1)"/>
      <w:numFmt w:val="lowerRoman"/>
      <w:start w:val="4"/>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23" Type="http://schemas.openxmlformats.org/officeDocument/2006/relationships/hyperlink" Target="http://www.sec.gov/Archives/edgar/data/1680581/000104746919003793/a2239080zex-1_1.htm" TargetMode="External"/><Relationship Id="rId24" Type="http://schemas.openxmlformats.org/officeDocument/2006/relationships/hyperlink" Target="http://www.sec.gov/Archives/edgar/data/1680581/000104746919003793/a2239080zex-3_1.htm" TargetMode="External"/><Relationship Id="rId25" Type="http://schemas.openxmlformats.org/officeDocument/2006/relationships/hyperlink" Target="http://www.sec.gov/Archives/edgar/data/1680581/000104746919003793/a2239080zex-3_2.htm" TargetMode="External"/><Relationship Id="rId26" Type="http://schemas.openxmlformats.org/officeDocument/2006/relationships/hyperlink" Target="http://www.sec.gov/Archives/edgar/data/1680581/000104746919003793/a2239080zex-3_3.htm" TargetMode="External"/><Relationship Id="rId27" Type="http://schemas.openxmlformats.org/officeDocument/2006/relationships/hyperlink" Target="http://www.sec.gov/Archives/edgar/data/1680581/000104746919003793/a2239080zex-3_4.htm" TargetMode="External"/><Relationship Id="rId28" Type="http://schemas.openxmlformats.org/officeDocument/2006/relationships/hyperlink" Target="http://www.sec.gov/Archives/edgar/data/1680581/000104746919004014/a2239182zex-3_5.htm" TargetMode="External"/><Relationship Id="rId29" Type="http://schemas.openxmlformats.org/officeDocument/2006/relationships/hyperlink" Target="http://www.sec.gov/Archives/edgar/data/1680581/000104746919003793/a2239080zex-4_1.htm" TargetMode="External"/><Relationship Id="rId30" Type="http://schemas.openxmlformats.org/officeDocument/2006/relationships/hyperlink" Target="http://www.sec.gov/Archives/edgar/data/1680581/000104746919004014/a2239182zex-5_1.htm" TargetMode="External"/><Relationship Id="rId31" Type="http://schemas.openxmlformats.org/officeDocument/2006/relationships/hyperlink" Target="http://www.sec.gov/Archives/edgar/data/1680581/000104746919003793/a2239080zex-10_1.htm" TargetMode="External"/><Relationship Id="rId32" Type="http://schemas.openxmlformats.org/officeDocument/2006/relationships/hyperlink" Target="http://www.sec.gov/Archives/edgar/data/1680581/000104746919003793/a2239080zex-10_2.htm" TargetMode="External"/><Relationship Id="rId33" Type="http://schemas.openxmlformats.org/officeDocument/2006/relationships/hyperlink" Target="http://www.sec.gov/Archives/edgar/data/1680581/000104746919003793/a2239080zex-10_3.htm" TargetMode="External"/><Relationship Id="rId34" Type="http://schemas.openxmlformats.org/officeDocument/2006/relationships/hyperlink" Target="http://www.sec.gov/Archives/edgar/data/1680581/000104746919003793/a2239080zex-10_4.htm" TargetMode="External"/><Relationship Id="rId35" Type="http://schemas.openxmlformats.org/officeDocument/2006/relationships/hyperlink" Target="http://www.sec.gov/Archives/edgar/data/1680581/000104746919003793/a2239080zex-10_5.htm" TargetMode="External"/><Relationship Id="rId36" Type="http://schemas.openxmlformats.org/officeDocument/2006/relationships/hyperlink" Target="http://www.sec.gov/Archives/edgar/data/1680581/000104746919004014/a2239182zex-10_6.htm" TargetMode="External"/><Relationship Id="rId37" Type="http://schemas.openxmlformats.org/officeDocument/2006/relationships/hyperlink" Target="http://www.sec.gov/Archives/edgar/data/1680581/000104746919004014/a2239182zex-10_7.htm" TargetMode="External"/><Relationship Id="rId38" Type="http://schemas.openxmlformats.org/officeDocument/2006/relationships/hyperlink" Target="http://www.sec.gov/Archives/edgar/data/1680581/000104746919004014/a2239182zex-10_8.htm" TargetMode="External"/><Relationship Id="rId39" Type="http://schemas.openxmlformats.org/officeDocument/2006/relationships/hyperlink" Target="http://www.sec.gov/Archives/edgar/data/1680581/000104746919004014/a2239182zex-10_9.htm" TargetMode="External"/><Relationship Id="rId40" Type="http://schemas.openxmlformats.org/officeDocument/2006/relationships/hyperlink" Target="http://www.sec.gov/Archives/edgar/data/1680581/000104746919003793/a2239080zex-10_10.htm" TargetMode="External"/><Relationship Id="rId41" Type="http://schemas.openxmlformats.org/officeDocument/2006/relationships/hyperlink" Target="http://www.sec.gov/Archives/edgar/data/1680581/000104746919003793/a2239080zex-10_11.htm" TargetMode="External"/><Relationship Id="rId42" Type="http://schemas.openxmlformats.org/officeDocument/2006/relationships/hyperlink" Target="http://www.sec.gov/Archives/edgar/data/1680581/000104746919004014/a2239182zex-10_12.htm" TargetMode="External"/><Relationship Id="rId43" Type="http://schemas.openxmlformats.org/officeDocument/2006/relationships/hyperlink" Target="http://www.sec.gov/Archives/edgar/data/1680581/000104746919003793/a2239080zex-10_15.htm" TargetMode="External"/><Relationship Id="rId44" Type="http://schemas.openxmlformats.org/officeDocument/2006/relationships/hyperlink" Target="http://www.sec.gov/Archives/edgar/data/1680581/000104746919003793/a2239080zex-21_1.htm" TargetMode="External"/><Relationship Id="rId45" Type="http://schemas.openxmlformats.org/officeDocument/2006/relationships/hyperlink" Target="http://www.sec.gov/Archives/edgar/data/1680581/000104746919004014/a2239182zex-23_1.htm" TargetMode="External"/><Relationship Id="rId49" Type="http://schemas.openxmlformats.org/officeDocument/2006/relationships/hyperlink" Target="http://www.sec.gov/Archives/edgar/data/1680581/000104746919003793/a2239080zs-1.htm#SIGN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2019-12-01T01:16:46Z</dcterms:created>
  <dcterms:modified xsi:type="dcterms:W3CDTF">2019-12-01T01:16:46Z</dcterms:modified>
</cp:coreProperties>
</file>