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vMerge w:val="restart"/>
          </w:tcPr>
          <w:p>
            <w:pPr>
              <w:ind w:left="20"/>
              <w:spacing w:after="0"/>
              <w:rPr>
                <w:rFonts w:ascii="Arial" w:cs="Arial" w:eastAsia="Arial" w:hAnsi="Arial"/>
                <w:sz w:val="21"/>
                <w:szCs w:val="21"/>
                <w:u w:val="single" w:color="auto"/>
                <w:color w:val="0000EE"/>
                <w:w w:val="95"/>
              </w:rPr>
            </w:pPr>
            <w:hyperlink r:id="rId13">
              <w:r>
                <w:rPr>
                  <w:rFonts w:ascii="Arial" w:cs="Arial" w:eastAsia="Arial" w:hAnsi="Arial"/>
                  <w:sz w:val="21"/>
                  <w:szCs w:val="21"/>
                  <w:u w:val="single" w:color="auto"/>
                  <w:color w:val="0000EE"/>
                  <w:w w:val="95"/>
                </w:rPr>
                <w:t>Ezekowitz Alan</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8"/>
          </w:tcPr>
          <w:p>
            <w:pPr>
              <w:ind w:left="80"/>
              <w:spacing w:after="0" w:line="104"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Fulcrum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FULC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140"/>
              <w:spacing w:after="0" w:line="122"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60" w:type="dxa"/>
            <w:vAlign w:val="bottom"/>
            <w:gridSpan w:val="4"/>
            <w:vMerge w:val="restart"/>
          </w:tcPr>
          <w:p>
            <w:pPr>
              <w:ind w:left="240"/>
              <w:spacing w:after="0"/>
              <w:rPr>
                <w:sz w:val="20"/>
                <w:szCs w:val="20"/>
                <w:color w:val="auto"/>
              </w:rPr>
            </w:pPr>
            <w:r>
              <w:rPr>
                <w:rFonts w:ascii="Arial" w:cs="Arial" w:eastAsia="Arial" w:hAnsi="Arial"/>
                <w:sz w:val="17"/>
                <w:szCs w:val="17"/>
                <w:color w:val="0000FF"/>
              </w:rPr>
              <w:t>06/11/2020</w:t>
            </w: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FULCRUM THERAPEUTICS, INC.</w:t>
            </w:r>
          </w:p>
        </w:tc>
        <w:tc>
          <w:tcPr>
            <w:tcW w:w="126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26 LANDSDOWNE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CAMBRIDGE   CA</w:t>
            </w:r>
          </w:p>
        </w:tc>
        <w:tc>
          <w:tcPr>
            <w:tcW w:w="1140" w:type="dxa"/>
            <w:vAlign w:val="bottom"/>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160"/>
              <w:spacing w:after="0" w:line="131"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7"/>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4"/>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920" w:type="dxa"/>
            <w:vAlign w:val="bottom"/>
            <w:tcBorders>
              <w:bottom w:val="single" w:sz="8" w:color="2C2C2C"/>
            </w:tcBorders>
            <w:gridSpan w:val="8"/>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54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17.63</w:t>
            </w: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06/11/2020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9,285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06/10/2030</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9,285</w:t>
            </w:r>
          </w:p>
        </w:tc>
        <w:tc>
          <w:tcPr>
            <w:tcW w:w="20" w:type="dxa"/>
            <w:vAlign w:val="bottom"/>
          </w:tcPr>
          <w:p>
            <w:pPr>
              <w:spacing w:after="0"/>
              <w:rPr>
                <w:sz w:val="12"/>
                <w:szCs w:val="1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9,285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-2935605</wp:posOffset>
            </wp:positionV>
            <wp:extent cx="7033260" cy="3075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075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1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was granted on June 11, 2020 and is scheduled to vest with respect to all shares on the first anniversary of the grant date or, if earlier, immediately prior to the first annual meeting of stockholders occurring after the grant date, subject to continued service.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Alan 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145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554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0209"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2020-06-15T15:17:38Z</dcterms:created>
  <dcterms:modified xsi:type="dcterms:W3CDTF">2020-06-15T15:17:38Z</dcterms:modified>
</cp:coreProperties>
</file>