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Banks Sonja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FULCRUM THERAPEUTICS,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LANDSDOWNE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Fulcrum Therapeutics, Inc.</w:t>
              </w:r>
            </w:hyperlink>
            <w:r>
              <w:rPr/>
              <w:t xml:space="preserve"> [ </w:t>
            </w:r>
            <w:r>
              <w:rPr>
                <w:rFonts w:ascii="Times;serif" w:hAnsi="Times;serif"/>
                <w:color w:val="0000FF"/>
                <w:sz w:val="24"/>
                <w:shd w:fill="FFFFFF" w:val="clear"/>
              </w:rPr>
              <w:t>FULC</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06/27/2023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06/27/2023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06/26/2033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was granted on June 27, 2023 and is scheduled to vest with respect to all shares on the first anniversary of the grant date or, if earlier, immediately prior to the first annual meeting of stockholders occurring after the grant date, subject to continued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 Tourangeau, as attorney-in-fact for Sonja Banks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06/29/2023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96415" TargetMode="External"/><Relationship Id="rId4" Type="http://schemas.openxmlformats.org/officeDocument/2006/relationships/hyperlink" Target="http://www.sec.gov/cgi-bin/browse-edgar?action=getcompany&amp;CIK=000168058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3340</Characters>
  <CharactersWithSpaces>3891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