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09,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March 9, 2023, Fulcrum Therapeutics, Inc., or Fulcrum, announced its financial results for the quarter and year ended December 31, 2022. The full text of the press release issued in connection with the announcement is being furnished as Exhibit 99.1 to this Current Report on Form 8-K and is incorporated herein by reference.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that involve substantial risks and uncertainties. All statements, other than statements of historical facts, contained in this report are forward-looking statements, including statements regarding the strategic operational realignment, estimated cost savings, estimated charges and Fulcrum’s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realize the cost savings from the realignment; continue to advance its product candidates in clinical trials; initiate and enroll clinical trials on the timeline expected or at all; obtain and maintain necessary approvals from the FDA and other regulatory authorities; replicate in clinical trials positive results found in preclinical studies and/or earlier-stage clinical trials of losmapimod, FTX-6058 and its other product candidates;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3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1637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March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Robert J. Gould, Ph.D.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Interim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66306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right="1100"/>
        <w:spacing w:after="0" w:line="443" w:lineRule="auto"/>
        <w:rPr>
          <w:sz w:val="20"/>
          <w:szCs w:val="20"/>
          <w:color w:val="auto"/>
        </w:rPr>
      </w:pPr>
      <w:r>
        <w:rPr>
          <w:rFonts w:ascii="Times New Roman" w:cs="Times New Roman" w:eastAsia="Times New Roman" w:hAnsi="Times New Roman"/>
          <w:sz w:val="25"/>
          <w:szCs w:val="25"/>
          <w:b w:val="1"/>
          <w:bCs w:val="1"/>
          <w:color w:val="auto"/>
        </w:rPr>
        <w:t>Fulcrum Therapeutics Announces Recent Business Highlights and Financial Results for the Fourth Quarter and Full Year 2022</w:t>
      </w:r>
    </w:p>
    <w:p>
      <w:pPr>
        <w:ind w:left="240" w:hanging="232"/>
        <w:spacing w:after="0"/>
        <w:tabs>
          <w:tab w:leader="none" w:pos="240"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Company is working to address clinical hold on the Investigational New Drug application for FTX-6058 for the potential treatment of sickle cell disease</w:t>
      </w:r>
    </w:p>
    <w:p>
      <w:pPr>
        <w:spacing w:after="0" w:line="40" w:lineRule="exact"/>
        <w:rPr>
          <w:rFonts w:ascii="Times New Roman" w:cs="Times New Roman" w:eastAsia="Times New Roman" w:hAnsi="Times New Roman"/>
          <w:sz w:val="17"/>
          <w:szCs w:val="17"/>
          <w:i w:val="1"/>
          <w:iCs w:val="1"/>
          <w:color w:val="auto"/>
        </w:rPr>
      </w:pPr>
    </w:p>
    <w:p>
      <w:pPr>
        <w:ind w:left="554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w:t>
      </w:r>
    </w:p>
    <w:p>
      <w:pPr>
        <w:spacing w:after="0" w:line="204" w:lineRule="exact"/>
        <w:rPr>
          <w:rFonts w:ascii="Times New Roman" w:cs="Times New Roman" w:eastAsia="Times New Roman" w:hAnsi="Times New Roman"/>
          <w:sz w:val="17"/>
          <w:szCs w:val="17"/>
          <w:i w:val="1"/>
          <w:iCs w:val="1"/>
          <w:color w:val="auto"/>
        </w:rPr>
      </w:pPr>
    </w:p>
    <w:p>
      <w:pPr>
        <w:ind w:left="1360" w:hanging="226"/>
        <w:spacing w:after="0"/>
        <w:tabs>
          <w:tab w:leader="none" w:pos="1360" w:val="left"/>
        </w:tabs>
        <w:numPr>
          <w:ilvl w:val="3"/>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FTX-6058 data from 12 mg cohort of Phase 1b trial show clinically relevant fetal hemoglobin increases of up to 10.0%―</w:t>
      </w:r>
    </w:p>
    <w:p>
      <w:pPr>
        <w:spacing w:after="0" w:line="225" w:lineRule="exact"/>
        <w:rPr>
          <w:rFonts w:ascii="Times New Roman" w:cs="Times New Roman" w:eastAsia="Times New Roman" w:hAnsi="Times New Roman"/>
          <w:sz w:val="18"/>
          <w:szCs w:val="18"/>
          <w:i w:val="1"/>
          <w:iCs w:val="1"/>
          <w:color w:val="auto"/>
        </w:rPr>
      </w:pPr>
    </w:p>
    <w:p>
      <w:pPr>
        <w:ind w:left="900" w:hanging="234"/>
        <w:spacing w:after="0"/>
        <w:tabs>
          <w:tab w:leader="none" w:pos="900" w:val="left"/>
        </w:tabs>
        <w:numPr>
          <w:ilvl w:val="2"/>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track to complete enrollment in Phase 3 REACH trial of losmapimod in facioscapulohumeral muscular dystrophy during 2H’23 ―</w:t>
      </w:r>
    </w:p>
    <w:p>
      <w:pPr>
        <w:spacing w:after="0" w:line="225" w:lineRule="exact"/>
        <w:rPr>
          <w:rFonts w:ascii="Times New Roman" w:cs="Times New Roman" w:eastAsia="Times New Roman" w:hAnsi="Times New Roman"/>
          <w:sz w:val="18"/>
          <w:szCs w:val="18"/>
          <w:i w:val="1"/>
          <w:iCs w:val="1"/>
          <w:color w:val="auto"/>
        </w:rPr>
      </w:pPr>
    </w:p>
    <w:p>
      <w:pPr>
        <w:ind w:left="880" w:hanging="217"/>
        <w:spacing w:after="0"/>
        <w:tabs>
          <w:tab w:leader="none" w:pos="880" w:val="left"/>
        </w:tabs>
        <w:numPr>
          <w:ilvl w:val="2"/>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1Q'23 completed public offering generating approximately $117.3 million in net proceeds; Cash runway guidance into mid-2025 ―</w:t>
      </w:r>
    </w:p>
    <w:p>
      <w:pPr>
        <w:spacing w:after="0" w:line="225" w:lineRule="exact"/>
        <w:rPr>
          <w:rFonts w:ascii="Times New Roman" w:cs="Times New Roman" w:eastAsia="Times New Roman" w:hAnsi="Times New Roman"/>
          <w:sz w:val="18"/>
          <w:szCs w:val="18"/>
          <w:i w:val="1"/>
          <w:iCs w:val="1"/>
          <w:color w:val="auto"/>
        </w:rPr>
      </w:pPr>
    </w:p>
    <w:p>
      <w:pPr>
        <w:ind w:left="260" w:hanging="219"/>
        <w:spacing w:after="0"/>
        <w:tabs>
          <w:tab w:leader="none" w:pos="26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Company announces departure of Chief Medical Officer Santiago Arroyo, MD, Ph.D.; Appoints Iain Fraser, MBChB, D.Phil, as Interim Chief Medical</w:t>
      </w:r>
    </w:p>
    <w:p>
      <w:pPr>
        <w:spacing w:after="0" w:line="29" w:lineRule="exact"/>
        <w:rPr>
          <w:rFonts w:ascii="Times New Roman" w:cs="Times New Roman" w:eastAsia="Times New Roman" w:hAnsi="Times New Roman"/>
          <w:sz w:val="18"/>
          <w:szCs w:val="18"/>
          <w:i w:val="1"/>
          <w:iCs w:val="1"/>
          <w:color w:val="auto"/>
        </w:rPr>
      </w:pPr>
    </w:p>
    <w:p>
      <w:pPr>
        <w:ind w:left="52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Officer ―</w:t>
      </w:r>
    </w:p>
    <w:p>
      <w:pPr>
        <w:spacing w:after="0" w:line="204" w:lineRule="exact"/>
        <w:rPr>
          <w:rFonts w:ascii="Times New Roman" w:cs="Times New Roman" w:eastAsia="Times New Roman" w:hAnsi="Times New Roman"/>
          <w:sz w:val="18"/>
          <w:szCs w:val="18"/>
          <w:i w:val="1"/>
          <w:iCs w:val="1"/>
          <w:color w:val="auto"/>
        </w:rPr>
      </w:pPr>
    </w:p>
    <w:p>
      <w:pPr>
        <w:ind w:left="3360" w:hanging="224"/>
        <w:spacing w:after="0"/>
        <w:tabs>
          <w:tab w:leader="none" w:pos="3360" w:val="left"/>
        </w:tabs>
        <w:numPr>
          <w:ilvl w:val="4"/>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Conference call and webcast scheduled for 8:00 a.m. ET today ―</w:t>
      </w:r>
    </w:p>
    <w:p>
      <w:pPr>
        <w:spacing w:after="0" w:line="33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CAMBRIDGE, Mass., – March 9, 2023 </w:t>
      </w:r>
      <w:r>
        <w:rPr>
          <w:rFonts w:ascii="Times New Roman" w:cs="Times New Roman" w:eastAsia="Times New Roman" w:hAnsi="Times New Roman"/>
          <w:sz w:val="18"/>
          <w:szCs w:val="18"/>
          <w:color w:val="auto"/>
        </w:rPr>
        <w:t>– Fulcrum Therapeutics, Inc.® (the “Company”) (Nasdaq: FULC), a clinical-stage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improving the lives of patients with genetically defined rare diseases, today reported financial results for the fourth quarter and full year 2022 and provided a business update, including on FTX-6058.</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are confident that FTX-6058 has the potential to provide a differentiated therapeutic option for people living with sickle cell disease and that the clinical and preclinical data generated to date demonstrate a favorable benefit-risk profile. We are working diligently to address the clinical hold,” said Robert J. Gould, Ph.D., Fulcrum’s interim president and chief executive officer. “Additionally, we remain on track to complete enrollment in the losmapimod Phase 3 REACH trial in the second half of 2023, and are excited about potentially being first to market with a treatment for FSHD patients who have no approved therapies.”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Business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FTX-6058</w:t>
      </w:r>
    </w:p>
    <w:p>
      <w:pPr>
        <w:spacing w:after="0" w:line="121" w:lineRule="exact"/>
        <w:rPr>
          <w:sz w:val="20"/>
          <w:szCs w:val="20"/>
          <w:color w:val="auto"/>
        </w:rPr>
      </w:pPr>
    </w:p>
    <w:p>
      <w:pPr>
        <w:ind w:left="1020" w:right="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23, 2023, the FDA placed the investigational new drug (IND) application for FTX-6058 for the potential treatment of sickle cell disease (SCD) on full clinical hold. In its communication, the Agency noted preclinical data previously submitted in April, October and December 2022, and non-clinical and clinical evidence of hematological malignancies observed with other inhibitors of polycomb repressive complex 2 (PRC2).</w:t>
      </w:r>
    </w:p>
    <w:p>
      <w:pPr>
        <w:spacing w:after="0" w:line="71"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a formal Clinical Hold Letter from the Agency on February 24, 2023. Enrollment has been paused and dosing suspended in the Phase 1b trial of FTX-6058.</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hold noted that the profile of hematological malignancies observed in the non-clinical studies of FTX-6058 is similar to that observed with other inhibitors of PRC2, and that hematological malignancies have been reported clinically with other PRC2 inhibitors. The Agency requested that Fulcrum further define the population where the potential benefit of continued treatment with FTX-6058 outweighs potential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Preceding the FDA hold:</w:t>
      </w:r>
    </w:p>
    <w:p>
      <w:pPr>
        <w:spacing w:after="0" w:line="11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submissions to the FDA in April, October and December 2022 that included non-clinical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the FDA granted FTX-6058 Fast Track Designation for the treatment of SCD.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previously disclosed Phase 1b data from Cohort 1 subjects in the 6 mg cohort (n=10): Primary endpoint showed up to 9.5% absolute fetal hemoglobin (HbF) increases from baseline, data suggest no difference in response in subjects on (n=3) and off (n=7) background hydroxyurea.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ind w:left="1540" w:right="200" w:hanging="514"/>
        <w:spacing w:after="0" w:line="282" w:lineRule="auto"/>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FTX-6058 treatment appears to result in dose dependent and clinically relevant increases in HbF; all subjects adherent to the dosing regimen showed a response.</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biomarkers of hemolysis were observed in evaluable patients.</w:t>
      </w:r>
    </w:p>
    <w:p>
      <w:pPr>
        <w:spacing w:after="0" w:line="117"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FTX-6058 was generally well tolerated with no drug-related treatment emergent serious adverse events and no discontinuations due to treatment emergent adverse events to date.</w:t>
      </w:r>
    </w:p>
    <w:p>
      <w:pPr>
        <w:spacing w:after="0" w:line="53" w:lineRule="exact"/>
        <w:rPr>
          <w:rFonts w:ascii="Times New Roman" w:cs="Times New Roman" w:eastAsia="Times New Roman" w:hAnsi="Times New Roman"/>
          <w:sz w:val="18"/>
          <w:szCs w:val="18"/>
          <w:color w:val="auto"/>
        </w:rPr>
      </w:pPr>
    </w:p>
    <w:p>
      <w:pPr>
        <w:ind w:left="1540" w:right="60" w:hanging="514"/>
        <w:spacing w:after="0" w:line="282" w:lineRule="auto"/>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subjects in the 2 mg cohort (n=2) demonstrated continued absolute HbF increases up to 4.6% through the end of treatment, suggesting 2 mg is a potentially minimally efficacious dose.</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a subject in the 12 mg dose cohort (n=3), prior to the suspension of the trial, showed up to 10.0% absolute HbF increases from baseline after 42 days of treatment.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17, 2023, the Company responded to a request received on February 9, 2023, from the FDA about non-clinical data submitted in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confident in its ability to address the Agency’s feedback and looks forward to providing further updates as the process unfolds.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Losmapimod</w:t>
      </w:r>
    </w:p>
    <w:p>
      <w:pPr>
        <w:spacing w:after="0" w:line="121"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is ongoing in the REACH Phase 3 pivotal trial evaluating losmapimod in FSHD at sites in the United States, Canada and Europe.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track to complete enrollment in the second half of 2023.</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the Company presented new data from the open label extension portion of the Phase 2 ReDUX4 study of losmapimod for the treatment of FSHD.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Updates</w:t>
      </w:r>
    </w:p>
    <w:p>
      <w:pPr>
        <w:spacing w:after="0" w:line="12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underwritten public offering of common stock in January 2023, raising approximately $117.3 million in net proceeds.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Santiago Arroyo, MD, Ph.D., recently resigned from the Company, effective March 7, 2022, to pursue another opportunity.</w:t>
      </w:r>
    </w:p>
    <w:p>
      <w:pPr>
        <w:spacing w:after="0" w:line="117" w:lineRule="exact"/>
        <w:rPr>
          <w:rFonts w:ascii="Times New Roman" w:cs="Times New Roman" w:eastAsia="Times New Roman" w:hAnsi="Times New Roman"/>
          <w:sz w:val="18"/>
          <w:szCs w:val="18"/>
          <w:color w:val="auto"/>
        </w:rPr>
      </w:pPr>
    </w:p>
    <w:p>
      <w:pPr>
        <w:ind w:left="1020" w:hanging="503"/>
        <w:spacing w:after="0" w:line="24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Iain Fraser, MBChB, D.Phil was appointed Interim Chief Medical Officer (CMO), effective March 9, 2023. Dr. Fraser brings over two decades of experience advancing therapies through early- and late-stage development, and possesses deep expertise in regulatory affairs. He most recently served as Vice President and Clinical Fellow at AlloVir, an Elevate Bio Company. He previously held clinical development roles of increasing responsibility at Abide Therapeutics (acquired by Lundbeck in 2019) and Merck where he led the first in-human clinical trials of a range of compounds across therapeutic areas, and contributed to the development of Zepatier®, Zinplava</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and Recarbrio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as well as the pediatric development of Januvia® and Maxalt®. He received a Master of Science in Clinical Investigation from Harvard University and a Doctor of Philosophy in Experimental Pathology from the University of Oxford. Dr. Fraser received his Bachelor of Science in Biochemistry as well as his Bachelor of Medicine, Bachelor of Surgery – MBChB from the University of Cape Town.</w:t>
      </w:r>
    </w:p>
    <w:p>
      <w:pPr>
        <w:spacing w:after="0" w:line="8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Ezekowitz, MBChB, D.Phil, member of the Fulcrum Board of Directors since February 2017, will serve as a senior clinical advisor to provide program continuity.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and Full Year 2022 Financial Results</w:t>
      </w:r>
    </w:p>
    <w:p>
      <w:pPr>
        <w:spacing w:after="0" w:line="117" w:lineRule="exact"/>
        <w:rPr>
          <w:sz w:val="20"/>
          <w:szCs w:val="20"/>
          <w:color w:val="auto"/>
        </w:rPr>
      </w:pPr>
    </w:p>
    <w:p>
      <w:pPr>
        <w:jc w:val="both"/>
        <w:ind w:left="1020" w:right="36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December 31, 2022, cash, cash equivalents, and marketable securities were $202.9 million as compared to $218.2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as of December 31, 2021. The decrease in cash is primarily due to our net cash used in operating activities during 2022, partially offset by proceeds from our equity offering in August 2022.</w:t>
      </w:r>
    </w:p>
    <w:p>
      <w:pPr>
        <w:spacing w:after="0" w:line="62" w:lineRule="exact"/>
        <w:rPr>
          <w:rFonts w:ascii="Times New Roman" w:cs="Times New Roman" w:eastAsia="Times New Roman" w:hAnsi="Times New Roman"/>
          <w:sz w:val="18"/>
          <w:szCs w:val="18"/>
          <w:color w:val="auto"/>
        </w:rPr>
      </w:pPr>
    </w:p>
    <w:p>
      <w:pPr>
        <w:ind w:left="1020" w:right="14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Collaboration revenue was $0.7 million for the fourth quarter of 2022 as compared to $5.1 million for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2021. The decrease of $4.4 million was primarily due to the winding down of Fulcrum's collaboration agreement with Acceleron Pharma Inc., a wholly owned subsidiary of Merck &amp; Co., Inc.</w:t>
      </w:r>
    </w:p>
    <w:p>
      <w:pPr>
        <w:spacing w:after="0" w:line="107" w:lineRule="exact"/>
        <w:rPr>
          <w:rFonts w:ascii="Times New Roman" w:cs="Times New Roman" w:eastAsia="Times New Roman" w:hAnsi="Times New Roman"/>
          <w:sz w:val="18"/>
          <w:szCs w:val="18"/>
          <w:color w:val="auto"/>
        </w:rPr>
      </w:pPr>
    </w:p>
    <w:p>
      <w:pPr>
        <w:ind w:left="102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revenue was $6.3 million for the year ended December 31, 2022, as compared to $19.2 million for the year ended December 31, 2021. The decrease of $12.9 million was primarily due to the winding down of Fulcrum's collaboration agreement with Acceleron Pharma Inc., a wholly owned subsidiary of Merck &amp; Co., Inc.</w:t>
      </w:r>
    </w:p>
    <w:p>
      <w:pPr>
        <w:spacing w:after="0" w:line="63" w:lineRule="exact"/>
        <w:rPr>
          <w:rFonts w:ascii="Times New Roman" w:cs="Times New Roman" w:eastAsia="Times New Roman" w:hAnsi="Times New Roman"/>
          <w:sz w:val="18"/>
          <w:szCs w:val="18"/>
          <w:color w:val="auto"/>
        </w:rPr>
      </w:pPr>
    </w:p>
    <w:p>
      <w:pPr>
        <w:ind w:left="1020" w:right="20" w:hanging="503"/>
        <w:spacing w:after="0" w:line="259"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Total operating expenses were $28.7 million for the fourth quarter of 2022 as compared to $28.6 million for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2021. An increase of $0.4 million in G&amp;A expenses was primarily due to increased employee-related costs, including increased stock-based compensation expense. A decrease of $0.3 million in R&amp;D expenses was primarily due to a decrease in employee-related costs, including increased stock-based compensation expense, partially offset by increased external research and development costs to support our lead programs.</w:t>
      </w:r>
    </w:p>
    <w:p>
      <w:pPr>
        <w:spacing w:after="0" w:line="115" w:lineRule="exact"/>
        <w:rPr>
          <w:rFonts w:ascii="Times New Roman" w:cs="Times New Roman" w:eastAsia="Times New Roman" w:hAnsi="Times New Roman"/>
          <w:sz w:val="18"/>
          <w:szCs w:val="18"/>
          <w:color w:val="auto"/>
        </w:rPr>
      </w:pPr>
    </w:p>
    <w:p>
      <w:pPr>
        <w:ind w:left="10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were $118.9 million for the year ended December 31, 2022, as compared to $100.2 million for the year ended December 31, 2021. An increase of $7.1 million in R&amp;D expenses was primarily due to increased external research and development costs to support our lead programs, including a $5.0 million milestone paid to GlaxoSmithKline plc, upon the initiation of the Phase 3 REACH trial under our right of reference and license agreement. An increase of $11.2 million in G&amp;A expenses was primarily due to increased employee-related costs, including increased stock-based compensation expense, increased professional services costs, and increased facility-related costs.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$26.1 million for the fourth quarter of 2022, as compared to a net loss of $23.5 million for the fourth quarter of 2021.</w:t>
      </w:r>
    </w:p>
    <w:p>
      <w:pPr>
        <w:spacing w:after="0" w:line="161" w:lineRule="exact"/>
        <w:rPr>
          <w:rFonts w:ascii="Times New Roman" w:cs="Times New Roman" w:eastAsia="Times New Roman" w:hAnsi="Times New Roman"/>
          <w:sz w:val="18"/>
          <w:szCs w:val="18"/>
          <w:color w:val="auto"/>
        </w:rPr>
      </w:pPr>
    </w:p>
    <w:p>
      <w:pPr>
        <w:ind w:left="1020" w:right="1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$109.9 million for the year ended December 31, 2022, as compared to a net loss of $80.8 million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Guidance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Fulcrum expects that its existing cash, cash equivalents, and marketable securities will be sufficient to fund its operating expenses and capital expenditure requirements into mid-2025.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Fulcrum Therapeutics, Inc. will host a conference call and webcast today at 8:00 a.m. ET to review the fourth quarter and full year 2022 recent business highlights and financial results. Individuals may participate in the live call via telephone by dialing (877) 407-0792 (domestic) or (201) 689-8263 (international) and using the conference ID: 13735955. Participants are asked to dial in 15 minutes before the start of the call to register. The webcast will be accessible through the Investor Relations section of Fulcrum’s website at www.fulcrumtx.com or by clicking here. Following the live webcast, an archived replay will also be available for 90 days.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Fulcrum Therapeutics is a clinical-stage biopharmaceutical company focused on improving the lives of patients with genetically defined rare diseases in areas of high unmet medical need. Fulcrum’s two lead programs in clinical development are losmapimod, a small molecule for the treatment of facioscapulohumeral muscular dystrophy (FSHD), and FTX-6058, a small molecule designed to increase expression of fetal hemoglobin for the treatment of sickle cell disease (SCD) and other hemoglobinopathies, including beta-thalassemia. Fulcrum’s proprietary product engine, FulcrumSeek™, identifies drug targets that can modulate gene expression to treat the known root cause of gene mis-expression. For more information, visit </w:t>
      </w:r>
      <w:r>
        <w:rPr>
          <w:rFonts w:ascii="Times New Roman" w:cs="Times New Roman" w:eastAsia="Times New Roman" w:hAnsi="Times New Roman"/>
          <w:sz w:val="18"/>
          <w:szCs w:val="18"/>
          <w:u w:val="single" w:color="auto"/>
          <w:color w:val="auto"/>
        </w:rPr>
        <w:t>www.fulcrumtx.com</w:t>
      </w:r>
      <w:r>
        <w:rPr>
          <w:rFonts w:ascii="Times New Roman" w:cs="Times New Roman" w:eastAsia="Times New Roman" w:hAnsi="Times New Roman"/>
          <w:sz w:val="18"/>
          <w:szCs w:val="18"/>
          <w:color w:val="auto"/>
        </w:rPr>
        <w:t xml:space="preserve"> and follow us on Twitter @FulcrumTx and </w:t>
      </w:r>
      <w:r>
        <w:rPr>
          <w:rFonts w:ascii="Times New Roman" w:cs="Times New Roman" w:eastAsia="Times New Roman" w:hAnsi="Times New Roman"/>
          <w:sz w:val="18"/>
          <w:szCs w:val="18"/>
          <w:u w:val="single" w:color="auto"/>
          <w:color w:val="auto"/>
        </w:rPr>
        <w:t>LinkedIn.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FTX-6058</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FTX-6058 is an investigational oral small-molecule inhibitor of Embryonic Ectoderm Development (EED) that was discovered using FulcrumSeek™, Fulcrum’s proprietary discovery engine. Inhibition of EED leads to potent downregulation of key fetal globin repressors, including BCL11A, thereby causing an increase in fetal hemoglobin (HbF). FTX-6058 is being developed for the treatment of sickle cell disease (SCD) and other hemoglobinopathies. Initial data in SCD demonstrated proof-of-concept and achieved absolute levels of HbF increases associated with potential overall patient benefit. To date, FTX-6058 has been generally well-tolerated in people with SCD with up to three months of exposure, with no serious treatment-emergent adverse events reported. FTX-6058 has been granted U.S. Food and Drug Administration (FDA) Fast Track designation and Orphan Drug Designation for the treatment of SCD.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Sickle Cell Disease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Losmapimod</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Losmapimod is a selective p38α/β mitogen activated protein kinase (MAPK) inhibitor. Fulcrum exclusively in-licensed losmapimod from GSK following Fulcrum’s discovery of the role of p38α/β inhibitors in the reduction of DUX4 expression and an extensive review of known compounds. Results reported from the Phase 2b ReDUX4 trial demonstrated slowed disease progression and improved function, including positive impacts on upper extremity strength and functional measures supporting losmapimod’s potential to be a transformative therapy for the treatment of FSHD. Although losmapimod had never previously been explored in muscular dystrophies, it had been evaluated in more than 3,600 subjects in clinical trials across multiple other indications, with no safety signals attributed to losmapimod. Losmapimod has been granted U.S. Food and Drug Administration (FDA) Fast Track designation and Orphan Drug Designation for the treatment of FSHD. Losmapimod is currently being evaluated in a Phase 3 multi-center randomized, double-blind, placebo-controlled, 48-week parallel-group study in people with FSHD (NCT05397470).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FSHD</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FSHD is a serious, rare, progressive and debilitating disease for which there are no approved treatments. It is characterized by fat infiltration of skeletal muscle leading to muscular atrophy involving primarily the face, scapula and shoulders, upper arms, and abdomen. Impact on patients includes profound decreases in the ability to perform activities of daily living, loss of upper limb function, loss of mobility and independence and chronic pain. FSHD is one of the most common forms of muscular dystrophy and has an estimated patient population of 16,000 to 38,000 in the United States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the clinical hold on FTX-6058, including Fulcrum’s ability to resolve such hold; enrollment in Fulcrum’s ongoing clinical trial of losmapimod and timing of completion; potential therapeutic benefit of FTX-6058 and losmapimod; Fulcrum’s ability to market a treatment for FSHD patients; and Fulcrum’s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resolving the clinical hold on FTX-6058 and responding to FDA’s requests; Fulcrum’s ability to continue to advance its product candidates in clinical trials; initiate and enroll clinical trials on the timeline expected or at all; obtain and maintain necessary approvals from the FDA and other regulatory authorities; replicate in clinical trials positive results found in preclinical studies and/or earlier-stage clinical trials of losmapimod, FTX-6058 (if resumed) and any other product candidates; obtain, maintain or protect intellectual property rights related to its product candidates; manage expenses; realize the anticipated benefits of the strategic realignment; manage executive and employee turnover; and raise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500" w:type="dxa"/>
            <w:vAlign w:val="bottom"/>
            <w:tcBorders>
              <w:top w:val="single" w:sz="8" w:color="auto"/>
            </w:tcBorders>
          </w:tcPr>
          <w:p>
            <w:pPr>
              <w:spacing w:after="0"/>
              <w:rPr>
                <w:sz w:val="13"/>
                <w:szCs w:val="13"/>
                <w:color w:val="auto"/>
              </w:rPr>
            </w:pPr>
          </w:p>
        </w:tc>
        <w:tc>
          <w:tcPr>
            <w:tcW w:w="6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6"/>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96"/>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15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202,921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218,162</w:t>
            </w:r>
          </w:p>
        </w:tc>
        <w:tc>
          <w:tcPr>
            <w:tcW w:w="100" w:type="dxa"/>
            <w:vAlign w:val="bottom"/>
            <w:shd w:val="clear" w:color="auto" w:fill="CFF0FC"/>
          </w:tcPr>
          <w:p>
            <w:pPr>
              <w:spacing w:after="0"/>
              <w:rPr>
                <w:sz w:val="20"/>
                <w:szCs w:val="20"/>
                <w:color w:val="auto"/>
              </w:rPr>
            </w:pPr>
          </w:p>
        </w:tc>
      </w:tr>
      <w:tr>
        <w:trPr>
          <w:trHeight w:val="243"/>
        </w:trPr>
        <w:tc>
          <w:tcPr>
            <w:tcW w:w="76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206,799</w:t>
            </w:r>
          </w:p>
        </w:tc>
        <w:tc>
          <w:tcPr>
            <w:tcW w:w="100" w:type="dxa"/>
            <w:vAlign w:val="bottom"/>
          </w:tcPr>
          <w:p>
            <w:pPr>
              <w:spacing w:after="0"/>
              <w:rPr>
                <w:sz w:val="21"/>
                <w:szCs w:val="21"/>
                <w:color w:val="auto"/>
              </w:rPr>
            </w:pPr>
          </w:p>
        </w:tc>
      </w:tr>
      <w:tr>
        <w:trPr>
          <w:trHeight w:val="243"/>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226,685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00" w:type="dxa"/>
            <w:vAlign w:val="bottom"/>
            <w:shd w:val="clear" w:color="auto" w:fill="CFF0FC"/>
          </w:tcPr>
          <w:p>
            <w:pPr>
              <w:spacing w:after="0"/>
              <w:rPr>
                <w:sz w:val="21"/>
                <w:szCs w:val="21"/>
                <w:color w:val="auto"/>
              </w:rPr>
            </w:pPr>
          </w:p>
        </w:tc>
      </w:tr>
      <w:tr>
        <w:trPr>
          <w:trHeight w:val="23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198,942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211,539</w:t>
            </w:r>
          </w:p>
        </w:tc>
        <w:tc>
          <w:tcPr>
            <w:tcW w:w="100" w:type="dxa"/>
            <w:vAlign w:val="bottom"/>
          </w:tcPr>
          <w:p>
            <w:pPr>
              <w:spacing w:after="0"/>
              <w:rPr>
                <w:sz w:val="20"/>
                <w:szCs w:val="20"/>
                <w:color w:val="auto"/>
              </w:rPr>
            </w:pPr>
          </w:p>
        </w:tc>
      </w:tr>
      <w:tr>
        <w:trPr>
          <w:trHeight w:val="265"/>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Fulcrum defines working capital as current assets minus current liabilities.</w:t>
            </w: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53"/>
        </w:trPr>
        <w:tc>
          <w:tcPr>
            <w:tcW w:w="150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76,782</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69,701</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30,516</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expenses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(38 )</w:t>
            </w:r>
          </w:p>
        </w:tc>
        <w:tc>
          <w:tcPr>
            <w:tcW w:w="3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28,658</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28,617</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118,903</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100,217</w:t>
            </w:r>
          </w:p>
        </w:tc>
        <w:tc>
          <w:tcPr>
            <w:tcW w:w="100" w:type="dxa"/>
            <w:vAlign w:val="bottom"/>
            <w:tcBorders>
              <w:top w:val="single" w:sz="8" w:color="CFF0FC"/>
            </w:tcBorders>
          </w:tcPr>
          <w:p>
            <w:pPr>
              <w:spacing w:after="0"/>
              <w:rPr>
                <w:sz w:val="20"/>
                <w:szCs w:val="20"/>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(23,559</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(112,561</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(109,871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(0.50 )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(0.58 )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(2.44 )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52,077</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40,579</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44,991</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-1028065</wp:posOffset>
            </wp:positionV>
            <wp:extent cx="7683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-1028065</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-1028065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-385445</wp:posOffset>
            </wp:positionV>
            <wp:extent cx="2717165"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17165" cy="20574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Calabrese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ccalabrese@lifesciadvisors.com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917-680-5608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dsmith@fulcrumtx.com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202-746-1324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o"/>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2023-03-09T06:16:41Z</dcterms:created>
  <dcterms:modified xsi:type="dcterms:W3CDTF">2023-03-09T06:16:41Z</dcterms:modified>
</cp:coreProperties>
</file>