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As filed with the Securities and Exchange Commission on March 4, 2021</w:t>
      </w:r>
    </w:p>
    <w:p>
      <w:pPr>
        <w:spacing w:after="0" w:line="27" w:lineRule="exact"/>
        <w:rPr>
          <w:sz w:val="24"/>
          <w:szCs w:val="24"/>
          <w:color w:val="auto"/>
        </w:rPr>
      </w:pPr>
    </w:p>
    <w:p>
      <w:pPr>
        <w:ind w:left="8664"/>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REGISTRATION STATEMENT</w:t>
      </w:r>
    </w:p>
    <w:p>
      <w:pPr>
        <w:jc w:val="center"/>
        <w:ind w:right="-3"/>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4" w:type="dxa"/>
        <w:tblCellMar>
          <w:top w:w="0" w:type="dxa"/>
          <w:left w:w="0" w:type="dxa"/>
          <w:bottom w:w="0" w:type="dxa"/>
          <w:right w:w="0" w:type="dxa"/>
        </w:tblCellMar>
      </w:tblPr>
      <w:tr>
        <w:trPr>
          <w:trHeight w:val="212"/>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jc w:val="right"/>
              <w:ind w:right="39"/>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840" w:type="dxa"/>
            <w:vAlign w:val="bottom"/>
          </w:tcPr>
          <w:p>
            <w:pPr>
              <w:jc w:val="center"/>
              <w:ind w:left="36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4840" w:type="dxa"/>
            <w:vAlign w:val="bottom"/>
          </w:tcPr>
          <w:p>
            <w:pPr>
              <w:jc w:val="center"/>
              <w:ind w:left="3639"/>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4840" w:type="dxa"/>
            <w:vAlign w:val="bottom"/>
          </w:tcPr>
          <w:p>
            <w:pPr>
              <w:spacing w:after="0"/>
              <w:rPr>
                <w:sz w:val="24"/>
                <w:szCs w:val="24"/>
                <w:color w:val="auto"/>
              </w:rPr>
            </w:pPr>
          </w:p>
        </w:tc>
      </w:tr>
      <w:tr>
        <w:trPr>
          <w:trHeight w:val="225"/>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4840" w:type="dxa"/>
            <w:vAlign w:val="bottom"/>
          </w:tcPr>
          <w:p>
            <w:pPr>
              <w:jc w:val="right"/>
              <w:ind w:right="259"/>
              <w:spacing w:after="0"/>
              <w:rPr>
                <w:sz w:val="20"/>
                <w:szCs w:val="20"/>
                <w:color w:val="auto"/>
              </w:rPr>
            </w:pPr>
            <w:r>
              <w:rPr>
                <w:rFonts w:ascii="Arial" w:cs="Arial" w:eastAsia="Arial" w:hAnsi="Arial"/>
                <w:sz w:val="18"/>
                <w:szCs w:val="18"/>
                <w:b w:val="1"/>
                <w:bCs w:val="1"/>
                <w:color w:val="auto"/>
              </w:rPr>
              <w:t>02139</w:t>
            </w:r>
          </w:p>
        </w:tc>
      </w:tr>
      <w:tr>
        <w:trPr>
          <w:trHeight w:val="18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40" w:type="dxa"/>
            <w:vAlign w:val="bottom"/>
          </w:tcPr>
          <w:p>
            <w:pPr>
              <w:jc w:val="center"/>
              <w:ind w:left="3639"/>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2520" w:type="dxa"/>
            <w:vAlign w:val="bottom"/>
          </w:tcPr>
          <w:p>
            <w:pPr>
              <w:spacing w:after="0"/>
              <w:rPr>
                <w:sz w:val="24"/>
                <w:szCs w:val="24"/>
                <w:color w:val="auto"/>
              </w:rPr>
            </w:pPr>
          </w:p>
        </w:tc>
        <w:tc>
          <w:tcPr>
            <w:tcW w:w="484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2019 Stock Incentive Plan</w:t>
            </w:r>
          </w:p>
        </w:tc>
      </w:tr>
      <w:tr>
        <w:trPr>
          <w:trHeight w:val="212"/>
        </w:trPr>
        <w:tc>
          <w:tcPr>
            <w:tcW w:w="2520" w:type="dxa"/>
            <w:vAlign w:val="bottom"/>
          </w:tcPr>
          <w:p>
            <w:pPr>
              <w:spacing w:after="0"/>
              <w:rPr>
                <w:sz w:val="18"/>
                <w:szCs w:val="18"/>
                <w:color w:val="auto"/>
              </w:rPr>
            </w:pPr>
          </w:p>
        </w:tc>
        <w:tc>
          <w:tcPr>
            <w:tcW w:w="4840" w:type="dxa"/>
            <w:vAlign w:val="bottom"/>
          </w:tcPr>
          <w:p>
            <w:pPr>
              <w:jc w:val="center"/>
              <w:ind w:right="1859"/>
              <w:spacing w:after="0"/>
              <w:rPr>
                <w:sz w:val="20"/>
                <w:szCs w:val="20"/>
                <w:color w:val="auto"/>
              </w:rPr>
            </w:pPr>
            <w:r>
              <w:rPr>
                <w:rFonts w:ascii="Arial" w:cs="Arial" w:eastAsia="Arial" w:hAnsi="Arial"/>
                <w:sz w:val="18"/>
                <w:szCs w:val="18"/>
                <w:b w:val="1"/>
                <w:bCs w:val="1"/>
                <w:color w:val="auto"/>
                <w:w w:val="88"/>
              </w:rPr>
              <w:t>2019 Employee Stock Purchase Plan</w:t>
            </w:r>
          </w:p>
        </w:tc>
      </w:tr>
      <w:tr>
        <w:trPr>
          <w:trHeight w:val="186"/>
        </w:trPr>
        <w:tc>
          <w:tcPr>
            <w:tcW w:w="2520" w:type="dxa"/>
            <w:vAlign w:val="bottom"/>
          </w:tcPr>
          <w:p>
            <w:pPr>
              <w:spacing w:after="0"/>
              <w:rPr>
                <w:sz w:val="16"/>
                <w:szCs w:val="16"/>
                <w:color w:val="auto"/>
              </w:rPr>
            </w:pPr>
          </w:p>
        </w:tc>
        <w:tc>
          <w:tcPr>
            <w:tcW w:w="48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5"/>
              </w:rPr>
              <w:t>(Full Title of the Plan)</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Robert J. Gould, Ph.D.</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Fulcrum Therapeutics, Inc.</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26 Landsdowne Street</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Massachusetts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651-8851</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8"/>
                <w:szCs w:val="18"/>
                <w:color w:val="auto"/>
              </w:rPr>
              <w:t>1,403,370(2)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$13.66(3)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$19,170,034.20(3)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$2,092</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80" w:hanging="424"/>
        <w:spacing w:after="0" w:line="290"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ind w:left="424" w:right="60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an additional (i) 1,122,696 shares issuable under the 2019 Stock Incentive Plan and (ii) 280,674 shares issuable under the 2019 Employee Stock Purchase Plan.</w:t>
      </w:r>
    </w:p>
    <w:p>
      <w:pPr>
        <w:ind w:left="424" w:right="10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of the Securities Act of 1933, as amended, and based upon the average of the high and low sale prices of the Registrant’s Common Stock as reported on the Nasdaq Global Market on February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9" w:right="439" w:bottom="12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STATEMENT OF INCORPORATION BY REFERENCE</w:t>
      </w:r>
    </w:p>
    <w:p>
      <w:pPr>
        <w:spacing w:after="0" w:line="229" w:lineRule="exact"/>
        <w:rPr>
          <w:sz w:val="20"/>
          <w:szCs w:val="20"/>
          <w:color w:val="auto"/>
        </w:rPr>
      </w:pPr>
    </w:p>
    <w:p>
      <w:pPr>
        <w:spacing w:after="0" w:line="284" w:lineRule="auto"/>
        <w:rPr>
          <w:rFonts w:ascii="Arial" w:cs="Arial" w:eastAsia="Arial" w:hAnsi="Arial"/>
          <w:sz w:val="16"/>
          <w:szCs w:val="16"/>
          <w:color w:val="0000EE"/>
        </w:rPr>
      </w:pPr>
      <w:r>
        <w:rPr>
          <w:rFonts w:ascii="Arial" w:cs="Arial" w:eastAsia="Arial" w:hAnsi="Arial"/>
          <w:sz w:val="16"/>
          <w:szCs w:val="16"/>
          <w:color w:val="auto"/>
        </w:rPr>
        <w:t xml:space="preserve">This Registration Statement on Form S-8, relating to the 2019 Stock Incentive Plan of Fulcrum Therapeutics, Inc. (the “Registrant”) and the 2019 Employee Stock Purchase Plan of the Registrant, is being filed for the purpose of registering additional securities of the same class as other securities for which a Registration Statement on Form S-8 relating to the 2019 Stock Incentive Plan and the 2019 Employee Stock Purchase Plan has previously been filed and is effective. Accordingly, this Registration Statement incorporates by reference the contents of (i) the Registration Statement on Form S-8, </w:t>
      </w:r>
      <w:hyperlink r:id="rId18">
        <w:r>
          <w:rPr>
            <w:rFonts w:ascii="Arial" w:cs="Arial" w:eastAsia="Arial" w:hAnsi="Arial"/>
            <w:sz w:val="16"/>
            <w:szCs w:val="16"/>
            <w:u w:val="single" w:color="auto"/>
            <w:color w:val="0000EE"/>
          </w:rPr>
          <w:t>File No. 333-233452</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filed with the Securities and Exchange Commission on August 26, 2019 by the Registrant, relating to the Registrant’s 2016 Stock</w:t>
      </w:r>
      <w:r>
        <w:rPr>
          <w:rFonts w:ascii="Arial" w:cs="Arial" w:eastAsia="Arial" w:hAnsi="Arial"/>
          <w:sz w:val="16"/>
          <w:szCs w:val="16"/>
          <w:color w:val="0000EE"/>
        </w:rPr>
        <w:t xml:space="preserve"> </w:t>
      </w:r>
      <w:r>
        <w:rPr>
          <w:rFonts w:ascii="Arial" w:cs="Arial" w:eastAsia="Arial" w:hAnsi="Arial"/>
          <w:sz w:val="16"/>
          <w:szCs w:val="16"/>
          <w:color w:val="000000"/>
        </w:rPr>
        <w:t>Incentive Plan, as amended, 2019 Stock Incentive Plan and 2019 Employee Stock Purchase Plan and (ii) the Registration Statement on Form S-8,</w:t>
      </w:r>
    </w:p>
    <w:p>
      <w:pPr>
        <w:spacing w:after="0" w:line="4" w:lineRule="exact"/>
        <w:rPr>
          <w:sz w:val="20"/>
          <w:szCs w:val="20"/>
          <w:color w:val="auto"/>
        </w:rPr>
      </w:pPr>
    </w:p>
    <w:p>
      <w:pPr>
        <w:ind w:right="180"/>
        <w:spacing w:after="0" w:line="260" w:lineRule="auto"/>
        <w:rPr>
          <w:rFonts w:ascii="Arial" w:cs="Arial" w:eastAsia="Arial" w:hAnsi="Arial"/>
          <w:sz w:val="18"/>
          <w:szCs w:val="18"/>
          <w:color w:val="0000EE"/>
        </w:rPr>
      </w:pPr>
      <w:hyperlink r:id="rId19">
        <w:r>
          <w:rPr>
            <w:rFonts w:ascii="Arial" w:cs="Arial" w:eastAsia="Arial" w:hAnsi="Arial"/>
            <w:sz w:val="18"/>
            <w:szCs w:val="18"/>
            <w:u w:val="single" w:color="auto"/>
            <w:color w:val="0000EE"/>
          </w:rPr>
          <w:t>File No. 333-236910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filed with the Securities and Exchange Commission on March 5, 2020 by the Registrant, relating to the Registrant’s 2019 Stock</w:t>
      </w:r>
      <w:r>
        <w:rPr>
          <w:rFonts w:ascii="Arial" w:cs="Arial" w:eastAsia="Arial" w:hAnsi="Arial"/>
          <w:sz w:val="18"/>
          <w:szCs w:val="18"/>
          <w:color w:val="0000EE"/>
        </w:rPr>
        <w:t xml:space="preserve"> </w:t>
      </w:r>
      <w:r>
        <w:rPr>
          <w:rFonts w:ascii="Arial" w:cs="Arial" w:eastAsia="Arial" w:hAnsi="Arial"/>
          <w:sz w:val="18"/>
          <w:szCs w:val="18"/>
          <w:color w:val="000000"/>
        </w:rPr>
        <w:t>Incentive Plan and 2019 Employee Stock Purchase Plan and, in each case, except for Item 8, Exhibits.</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Item 8. </w:t>
      </w: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2"/>
                <w:szCs w:val="22"/>
                <w:color w:val="auto"/>
              </w:rPr>
            </w:pPr>
          </w:p>
        </w:tc>
        <w:tc>
          <w:tcPr>
            <w:tcW w:w="9580" w:type="dxa"/>
            <w:vAlign w:val="bottom"/>
            <w:tcBorders>
              <w:top w:val="single" w:sz="8" w:color="auto"/>
              <w:bottom w:val="single" w:sz="8" w:color="0000EE"/>
            </w:tcBorders>
            <w:gridSpan w:val="3"/>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Restated Certificate of Incorporation of the Registrant (incorporated by reference to Exhibit 3.1 to the Registrant’s Current Report on</w:t>
              </w:r>
            </w:hyperlink>
          </w:p>
        </w:tc>
        <w:tc>
          <w:tcPr>
            <w:tcW w:w="400" w:type="dxa"/>
            <w:vAlign w:val="bottom"/>
            <w:tcBorders>
              <w:top w:val="single" w:sz="8" w:color="auto"/>
            </w:tcBorders>
            <w:gridSpan w:val="4"/>
          </w:tcPr>
          <w:p>
            <w:pPr>
              <w:spacing w:after="0"/>
              <w:rPr>
                <w:sz w:val="22"/>
                <w:szCs w:val="22"/>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7"/>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Form 8-K (File No. 001-38978) filed with the Securities and Exchange Commission on July 22, 2019)</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80" w:type="dxa"/>
            <w:vAlign w:val="bottom"/>
            <w:gridSpan w:val="7"/>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the Registrant (incorporated by reference to Exhibit 3.2 to the Registrant’s Current Report on Form 8-K</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(File No. 001-38978) filed with the Securities and Exchange Commission on July 22, 2019)</w:t>
              </w:r>
            </w:hyperlink>
          </w:p>
        </w:tc>
        <w:tc>
          <w:tcPr>
            <w:tcW w:w="40" w:type="dxa"/>
            <w:vAlign w:val="bottom"/>
          </w:tcPr>
          <w:p>
            <w:pPr>
              <w:spacing w:after="0"/>
              <w:rPr>
                <w:sz w:val="17"/>
                <w:szCs w:val="17"/>
                <w:color w:val="auto"/>
              </w:rPr>
            </w:pPr>
          </w:p>
        </w:tc>
      </w:tr>
      <w:tr>
        <w:trPr>
          <w:trHeight w:val="345"/>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600" w:type="dxa"/>
            <w:vAlign w:val="bottom"/>
            <w:tcBorders>
              <w:top w:val="single" w:sz="8" w:color="0000EE"/>
            </w:tcBorders>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Wilmer Cutler Pickering Hale and Dorr LLP, counsel to the Registrant</w:t>
              </w:r>
            </w:hyperlink>
          </w:p>
        </w:tc>
        <w:tc>
          <w:tcPr>
            <w:tcW w:w="3380" w:type="dxa"/>
            <w:vAlign w:val="bottom"/>
            <w:gridSpan w:val="6"/>
          </w:tcPr>
          <w:p>
            <w:pPr>
              <w:spacing w:after="0"/>
              <w:rPr>
                <w:sz w:val="24"/>
                <w:szCs w:val="24"/>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23.1*</w:t>
            </w:r>
          </w:p>
        </w:tc>
        <w:tc>
          <w:tcPr>
            <w:tcW w:w="540" w:type="dxa"/>
            <w:vAlign w:val="bottom"/>
          </w:tcPr>
          <w:p>
            <w:pPr>
              <w:spacing w:after="0"/>
              <w:rPr>
                <w:sz w:val="24"/>
                <w:szCs w:val="24"/>
                <w:color w:val="auto"/>
              </w:rPr>
            </w:pPr>
          </w:p>
        </w:tc>
        <w:tc>
          <w:tcPr>
            <w:tcW w:w="9980" w:type="dxa"/>
            <w:vAlign w:val="bottom"/>
            <w:gridSpan w:val="7"/>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Consent of Ernst &amp; Young LLP, independent registered public accounting firm</w:t>
              </w:r>
            </w:hyperlink>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23.2*</w:t>
            </w:r>
          </w:p>
        </w:tc>
        <w:tc>
          <w:tcPr>
            <w:tcW w:w="540" w:type="dxa"/>
            <w:vAlign w:val="bottom"/>
          </w:tcPr>
          <w:p>
            <w:pPr>
              <w:spacing w:after="0"/>
              <w:rPr>
                <w:sz w:val="24"/>
                <w:szCs w:val="24"/>
                <w:color w:val="auto"/>
              </w:rPr>
            </w:pPr>
          </w:p>
        </w:tc>
        <w:tc>
          <w:tcPr>
            <w:tcW w:w="9980" w:type="dxa"/>
            <w:vAlign w:val="bottom"/>
            <w:gridSpan w:val="7"/>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Wilmer Cutler Pickering Hale and Dorr LLP (included in Exhibit 5.1)</w:t>
              </w:r>
            </w:hyperlink>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24.1*</w:t>
            </w:r>
          </w:p>
        </w:tc>
        <w:tc>
          <w:tcPr>
            <w:tcW w:w="540" w:type="dxa"/>
            <w:vAlign w:val="bottom"/>
          </w:tcPr>
          <w:p>
            <w:pPr>
              <w:spacing w:after="0"/>
              <w:rPr>
                <w:sz w:val="24"/>
                <w:szCs w:val="24"/>
                <w:color w:val="auto"/>
              </w:rPr>
            </w:pPr>
          </w:p>
        </w:tc>
        <w:tc>
          <w:tcPr>
            <w:tcW w:w="998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Power of Attorney (included on the signature pages of this registration statement)</w:t>
              </w:r>
            </w:hyperlink>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840" w:type="dxa"/>
            <w:vAlign w:val="bottom"/>
            <w:tcBorders>
              <w:bottom w:val="single" w:sz="8" w:color="0000EE"/>
            </w:tcBorders>
            <w:gridSpan w:val="5"/>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2019 Stock Incentive Plan (incorporated by reference to Exhibit 10.6 to Amendment No. 1 to the Registrant’s Registration Statement on</w:t>
              </w:r>
            </w:hyperlink>
          </w:p>
        </w:tc>
        <w:tc>
          <w:tcPr>
            <w:tcW w:w="140" w:type="dxa"/>
            <w:vAlign w:val="bottom"/>
            <w:gridSpan w:val="2"/>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Form S-1 (File No. 333-232260) filed with the Securities and Exchange Commission on July 8, 2019)</w:t>
              </w:r>
            </w:hyperlink>
          </w:p>
        </w:tc>
        <w:tc>
          <w:tcPr>
            <w:tcW w:w="2620" w:type="dxa"/>
            <w:vAlign w:val="bottom"/>
            <w:gridSpan w:val="5"/>
          </w:tcPr>
          <w:p>
            <w:pPr>
              <w:spacing w:after="0"/>
              <w:rPr>
                <w:sz w:val="17"/>
                <w:szCs w:val="17"/>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99.2</w:t>
            </w:r>
          </w:p>
        </w:tc>
        <w:tc>
          <w:tcPr>
            <w:tcW w:w="540" w:type="dxa"/>
            <w:vAlign w:val="bottom"/>
          </w:tcPr>
          <w:p>
            <w:pPr>
              <w:spacing w:after="0"/>
              <w:rPr>
                <w:sz w:val="24"/>
                <w:szCs w:val="24"/>
                <w:color w:val="auto"/>
              </w:rPr>
            </w:pPr>
          </w:p>
        </w:tc>
        <w:tc>
          <w:tcPr>
            <w:tcW w:w="9980" w:type="dxa"/>
            <w:vAlign w:val="bottom"/>
            <w:gridSpan w:val="7"/>
          </w:tcPr>
          <w:p>
            <w:pPr>
              <w:spacing w:after="0"/>
              <w:rPr>
                <w:rFonts w:ascii="Arial" w:cs="Arial" w:eastAsia="Arial" w:hAnsi="Arial"/>
                <w:sz w:val="18"/>
                <w:szCs w:val="18"/>
                <w:color w:val="0000EE"/>
                <w:w w:val="94"/>
              </w:rPr>
            </w:pPr>
            <w:hyperlink r:id="rId24">
              <w:r>
                <w:rPr>
                  <w:rFonts w:ascii="Arial" w:cs="Arial" w:eastAsia="Arial" w:hAnsi="Arial"/>
                  <w:sz w:val="18"/>
                  <w:szCs w:val="18"/>
                  <w:color w:val="0000EE"/>
                  <w:w w:val="94"/>
                </w:rPr>
                <w:t>2019 Employee Stock Purchase Plan (incorporated by reference to Exhibit 10.8 to Amendment No. 1 to the Registrant’s Registration</w:t>
              </w:r>
            </w:hyperlink>
          </w:p>
        </w:tc>
      </w:tr>
      <w:tr>
        <w:trPr>
          <w:trHeight w:val="237"/>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Statement on Form S-1 (File No. 333-232260) filed with the Securities and Exchange Commission on July 8, 2019)</w:t>
              </w:r>
            </w:hyperlink>
          </w:p>
        </w:tc>
        <w:tc>
          <w:tcPr>
            <w:tcW w:w="380" w:type="dxa"/>
            <w:vAlign w:val="bottom"/>
            <w:gridSpan w:val="3"/>
          </w:tcPr>
          <w:p>
            <w:pPr>
              <w:spacing w:after="0"/>
              <w:rPr>
                <w:sz w:val="20"/>
                <w:szCs w:val="20"/>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jc w:val="both"/>
        <w:ind w:right="64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4</w:t>
      </w:r>
      <w:r>
        <w:rPr>
          <w:rFonts w:ascii="Arial" w:cs="Arial" w:eastAsia="Arial" w:hAnsi="Arial"/>
          <w:sz w:val="14"/>
          <w:szCs w:val="14"/>
          <w:color w:val="auto"/>
        </w:rPr>
        <w:t>th</w:t>
      </w:r>
      <w:r>
        <w:rPr>
          <w:rFonts w:ascii="Arial" w:cs="Arial" w:eastAsia="Arial" w:hAnsi="Arial"/>
          <w:sz w:val="17"/>
          <w:szCs w:val="17"/>
          <w:color w:val="auto"/>
        </w:rPr>
        <w:t xml:space="preserve"> day of March, 2021.</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Robert J. Gould,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the undersigned officers and directors of Fulcrum Therapeutics, Inc., hereby severally constitute and appoint Robert J. Gould and Bryan Stuart,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Fulcrum Therapeutics,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6"/>
              </w:rPr>
              <w:t>President and Chief Executive Officer,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Robert J. Gould, Ph.D.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Stuart</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Operating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Bryan Stuart</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Thomson</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Vice President, Finance &amp; Accounting</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Peter Thomson</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Levin</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Mark Levin</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Collins</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James J. Collins, Ph.D.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Katina Dorton</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Katina Dorton</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Ezekowitz</w:t>
            </w:r>
          </w:p>
        </w:tc>
        <w:tc>
          <w:tcPr>
            <w:tcW w:w="28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2100"/>
              <w:spacing w:after="0"/>
              <w:rPr>
                <w:sz w:val="20"/>
                <w:szCs w:val="20"/>
                <w:color w:val="auto"/>
              </w:rPr>
            </w:pPr>
            <w:r>
              <w:rPr>
                <w:rFonts w:ascii="Arial" w:cs="Arial" w:eastAsia="Arial" w:hAnsi="Arial"/>
                <w:sz w:val="18"/>
                <w:szCs w:val="18"/>
                <w:color w:val="auto"/>
                <w:w w:val="90"/>
              </w:rPr>
              <w:t>March 4,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Alan Ezekowitz, MBChB, D. Phil</w:t>
            </w:r>
          </w:p>
        </w:tc>
        <w:tc>
          <w:tcPr>
            <w:tcW w:w="282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Geraghty</w:t>
            </w:r>
          </w:p>
        </w:tc>
        <w:tc>
          <w:tcPr>
            <w:tcW w:w="28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2100"/>
              <w:spacing w:after="0"/>
              <w:rPr>
                <w:sz w:val="20"/>
                <w:szCs w:val="20"/>
                <w:color w:val="auto"/>
              </w:rPr>
            </w:pPr>
            <w:r>
              <w:rPr>
                <w:rFonts w:ascii="Arial" w:cs="Arial" w:eastAsia="Arial" w:hAnsi="Arial"/>
                <w:sz w:val="18"/>
                <w:szCs w:val="18"/>
                <w:color w:val="auto"/>
                <w:w w:val="90"/>
              </w:rPr>
              <w:t>March 4,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James Geraghty</w:t>
            </w:r>
          </w:p>
        </w:tc>
        <w:tc>
          <w:tcPr>
            <w:tcW w:w="282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Haviland</w:t>
            </w:r>
          </w:p>
        </w:tc>
        <w:tc>
          <w:tcPr>
            <w:tcW w:w="28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2100"/>
              <w:spacing w:after="0"/>
              <w:rPr>
                <w:sz w:val="20"/>
                <w:szCs w:val="20"/>
                <w:color w:val="auto"/>
              </w:rPr>
            </w:pPr>
            <w:r>
              <w:rPr>
                <w:rFonts w:ascii="Arial" w:cs="Arial" w:eastAsia="Arial" w:hAnsi="Arial"/>
                <w:sz w:val="18"/>
                <w:szCs w:val="18"/>
                <w:color w:val="auto"/>
                <w:w w:val="90"/>
              </w:rPr>
              <w:t>March 4,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Kate Haviland</w:t>
            </w:r>
          </w:p>
        </w:tc>
        <w:tc>
          <w:tcPr>
            <w:tcW w:w="282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ectPr>
          <w:pgSz w:w="11900" w:h="16838" w:orient="portrait"/>
          <w:cols w:equalWidth="0" w:num="1">
            <w:col w:w="10019"/>
          </w:cols>
          <w:pgMar w:left="440" w:top="274"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96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904"/>
        </w:trPr>
        <w:tc>
          <w:tcPr>
            <w:tcW w:w="5060" w:type="dxa"/>
            <w:vAlign w:val="bottom"/>
            <w:gridSpan w:val="2"/>
          </w:tcPr>
          <w:p>
            <w:pPr>
              <w:spacing w:after="0"/>
              <w:rPr>
                <w:sz w:val="20"/>
                <w:szCs w:val="20"/>
                <w:color w:val="auto"/>
              </w:rPr>
            </w:pPr>
            <w:r>
              <w:rPr>
                <w:rFonts w:ascii="Arial" w:cs="Arial" w:eastAsia="Arial" w:hAnsi="Arial"/>
                <w:sz w:val="18"/>
                <w:szCs w:val="18"/>
                <w:color w:val="auto"/>
              </w:rPr>
              <w:t>March 4, 2021</w:t>
            </w:r>
          </w:p>
        </w:tc>
        <w:tc>
          <w:tcPr>
            <w:tcW w:w="5960" w:type="dxa"/>
            <w:vAlign w:val="bottom"/>
          </w:tcPr>
          <w:p>
            <w:pPr>
              <w:spacing w:after="0"/>
              <w:rPr>
                <w:sz w:val="24"/>
                <w:szCs w:val="24"/>
                <w:color w:val="auto"/>
              </w:rPr>
            </w:pPr>
          </w:p>
        </w:tc>
      </w:tr>
      <w:tr>
        <w:trPr>
          <w:trHeight w:val="445"/>
        </w:trPr>
        <w:tc>
          <w:tcPr>
            <w:tcW w:w="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+1 617 526 6000 (t)</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Fulcrum Therapeutics, Inc.</w:t>
            </w:r>
          </w:p>
        </w:tc>
        <w:tc>
          <w:tcPr>
            <w:tcW w:w="5960" w:type="dxa"/>
            <w:vAlign w:val="bottom"/>
          </w:tcPr>
          <w:p>
            <w:pPr>
              <w:jc w:val="right"/>
              <w:spacing w:after="0"/>
              <w:rPr>
                <w:sz w:val="20"/>
                <w:szCs w:val="20"/>
                <w:color w:val="auto"/>
              </w:rPr>
            </w:pPr>
            <w:r>
              <w:rPr>
                <w:rFonts w:ascii="Arial" w:cs="Arial" w:eastAsia="Arial" w:hAnsi="Arial"/>
                <w:sz w:val="18"/>
                <w:szCs w:val="18"/>
                <w:color w:val="auto"/>
              </w:rPr>
              <w:t>+1 617 526 5000 (f)</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26 Landsdowne Street</w:t>
            </w:r>
          </w:p>
        </w:tc>
        <w:tc>
          <w:tcPr>
            <w:tcW w:w="5960" w:type="dxa"/>
            <w:vAlign w:val="bottom"/>
          </w:tcPr>
          <w:p>
            <w:pPr>
              <w:jc w:val="right"/>
              <w:spacing w:after="0"/>
              <w:rPr>
                <w:sz w:val="20"/>
                <w:szCs w:val="20"/>
                <w:color w:val="auto"/>
              </w:rPr>
            </w:pPr>
            <w:r>
              <w:rPr>
                <w:rFonts w:ascii="Arial" w:cs="Arial" w:eastAsia="Arial" w:hAnsi="Arial"/>
                <w:sz w:val="18"/>
                <w:szCs w:val="18"/>
                <w:color w:val="auto"/>
              </w:rPr>
              <w:t>wilmerhale.com</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Cambridge, Massachusetts 02139</w:t>
            </w:r>
          </w:p>
        </w:tc>
        <w:tc>
          <w:tcPr>
            <w:tcW w:w="5960" w:type="dxa"/>
            <w:vAlign w:val="bottom"/>
          </w:tcPr>
          <w:p>
            <w:pPr>
              <w:spacing w:after="0"/>
              <w:rPr>
                <w:sz w:val="20"/>
                <w:szCs w:val="20"/>
                <w:color w:val="auto"/>
              </w:rPr>
            </w:pPr>
          </w:p>
        </w:tc>
      </w:tr>
      <w:tr>
        <w:trPr>
          <w:trHeight w:val="418"/>
        </w:trPr>
        <w:tc>
          <w:tcPr>
            <w:tcW w:w="5060" w:type="dxa"/>
            <w:vAlign w:val="bottom"/>
            <w:gridSpan w:val="2"/>
          </w:tcPr>
          <w:p>
            <w:pPr>
              <w:spacing w:after="0"/>
              <w:rPr>
                <w:sz w:val="20"/>
                <w:szCs w:val="20"/>
                <w:color w:val="auto"/>
              </w:rPr>
            </w:pPr>
            <w:r>
              <w:rPr>
                <w:rFonts w:ascii="Arial" w:cs="Arial" w:eastAsia="Arial" w:hAnsi="Arial"/>
                <w:sz w:val="18"/>
                <w:szCs w:val="18"/>
                <w:color w:val="auto"/>
                <w:w w:val="90"/>
              </w:rPr>
              <w:t>RE:  2019 Stock Incentive Plan; 2019 Employee Stock Purchase Plan</w:t>
            </w:r>
          </w:p>
        </w:tc>
        <w:tc>
          <w:tcPr>
            <w:tcW w:w="59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5929630</wp:posOffset>
            </wp:positionH>
            <wp:positionV relativeFrom="paragraph">
              <wp:posOffset>-1397000</wp:posOffset>
            </wp:positionV>
            <wp:extent cx="106299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62990" cy="1460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1,403,370 shares of common stock, par value $0.001 per share (the “Shares”), of Fulcrum Therapeutics, Inc., a Delaware corporation (the “Company”), issuable under the Company’s 2019 Stock Incentive Plan and 2019 Employee Stock Purchase Plan (collectively, the “Plans”).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Plans, to register and qualify the Shares for sale under all applicable state securities or “blue sky” laws.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It is understood that this opinion is to be used only in connection with the offer and sale of the Shares while the Registration Statement is in effect.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176530</wp:posOffset>
            </wp:positionV>
            <wp:extent cx="5323205"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323205" cy="23177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March 4,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for issuance and, when the Shares are issued and paid for in accordance with the terms and conditions of the Plans, the Shares will be validly issued, fully paid and nonassessable.</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Lia Der Marderosian, a Partner</w:t>
      </w:r>
    </w:p>
    <w:p>
      <w:pPr>
        <w:sectPr>
          <w:pgSz w:w="11900" w:h="16838" w:orient="portrait"/>
          <w:cols w:equalWidth="0" w:num="1">
            <w:col w:w="10920"/>
          </w:cols>
          <w:pgMar w:left="440" w:top="274" w:right="5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2019 Stock Incentive Plan and the 2019 Employee Stock Purchase Plan of Fulcrum Therapeutics, Inc. of our report dated March 4, 2021 with respect to the consolidated financial statements of Fulcrum Therapeutics, Inc. included in its Annual Report (Form 10-K) for the year ended December 31, 2020,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7.png"/><Relationship Id="rId31" Type="http://schemas.openxmlformats.org/officeDocument/2006/relationships/image" Target="media/image18.png"/><Relationship Id="rId18" Type="http://schemas.openxmlformats.org/officeDocument/2006/relationships/hyperlink" Target="http://www.sec.gov/Archives/edgar/data/1680581/000119312519228520/d788707ds8.htm" TargetMode="External"/><Relationship Id="rId19" Type="http://schemas.openxmlformats.org/officeDocument/2006/relationships/hyperlink" Target="http://www.sec.gov/Archives/edgar/data/1680581/000119312520063092/d892970ds8.htm" TargetMode="External"/><Relationship Id="rId21" Type="http://schemas.openxmlformats.org/officeDocument/2006/relationships/hyperlink" Target="http://www.sec.gov/Archives/edgar/data/1680581/000104746919004324/a2239321zex-3_1.htm" TargetMode="External"/><Relationship Id="rId22" Type="http://schemas.openxmlformats.org/officeDocument/2006/relationships/hyperlink" Target="http://www.sec.gov/Archives/edgar/data/1680581/000104746919004324/a2239321zex-3_2.htm" TargetMode="External"/><Relationship Id="rId23" Type="http://schemas.openxmlformats.org/officeDocument/2006/relationships/hyperlink" Target="http://www.sec.gov/Archives/edgar/data/1680581/000104746919004014/a2239182zex-10_6.htm" TargetMode="External"/><Relationship Id="rId24" Type="http://schemas.openxmlformats.org/officeDocument/2006/relationships/hyperlink" Target="http://www.sec.gov/Archives/edgar/data/1680581/000104746919004014/a2239182z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2021-03-04T06:23:00Z</dcterms:created>
  <dcterms:modified xsi:type="dcterms:W3CDTF">2021-03-04T06:23:00Z</dcterms:modified>
</cp:coreProperties>
</file>