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422910</wp:posOffset>
            </wp:positionH>
            <wp:positionV relativeFrom="page">
              <wp:posOffset>727710</wp:posOffset>
            </wp:positionV>
            <wp:extent cx="67075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page">
              <wp:posOffset>422910</wp:posOffset>
            </wp:positionH>
            <wp:positionV relativeFrom="page">
              <wp:posOffset>742950</wp:posOffset>
            </wp:positionV>
            <wp:extent cx="67075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7505" cy="7620"/>
                    </a:xfrm>
                    <a:prstGeom prst="rect">
                      <a:avLst/>
                    </a:prstGeom>
                    <a:noFill/>
                  </pic:spPr>
                </pic:pic>
              </a:graphicData>
            </a:graphic>
          </wp:anchor>
        </w:drawing>
        <w:t>UNITED STATES</w:t>
      </w:r>
    </w:p>
    <w:p>
      <w:pPr>
        <w:spacing w:after="0" w:line="4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114935</wp:posOffset>
            </wp:positionV>
            <wp:extent cx="13417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2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135255</wp:posOffset>
            </wp:positionV>
            <wp:extent cx="13417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3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5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1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October 29,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167005</wp:posOffset>
            </wp:positionV>
            <wp:extent cx="134175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8"/>
          <w:szCs w:val="38"/>
          <w:b w:val="1"/>
          <w:bCs w:val="1"/>
          <w:color w:val="auto"/>
        </w:rPr>
        <w:t>Fulcrum Therapeutics, Inc.</w:t>
      </w:r>
    </w:p>
    <w:p>
      <w:pPr>
        <w:spacing w:after="0" w:line="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219075</wp:posOffset>
            </wp:positionV>
            <wp:extent cx="13417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tbl>
      <w:tblPr>
        <w:tblLayout w:type="fixed"/>
        <w:tblInd w:w="1180" w:type="dxa"/>
        <w:tblCellMar>
          <w:top w:w="0" w:type="dxa"/>
          <w:left w:w="0" w:type="dxa"/>
          <w:bottom w:w="0" w:type="dxa"/>
          <w:right w:w="0" w:type="dxa"/>
        </w:tblCellMar>
      </w:tblPr>
      <w:tr>
        <w:trPr>
          <w:trHeight w:val="184"/>
        </w:trPr>
        <w:tc>
          <w:tcPr>
            <w:tcW w:w="2700" w:type="dxa"/>
            <w:vAlign w:val="bottom"/>
          </w:tcPr>
          <w:p>
            <w:pPr>
              <w:jc w:val="center"/>
              <w:ind w:right="63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080" w:type="dxa"/>
            <w:vAlign w:val="bottom"/>
          </w:tcPr>
          <w:p>
            <w:pPr>
              <w:jc w:val="right"/>
              <w:ind w:right="1251"/>
              <w:spacing w:after="0"/>
              <w:rPr>
                <w:sz w:val="20"/>
                <w:szCs w:val="20"/>
                <w:color w:val="auto"/>
              </w:rPr>
            </w:pPr>
            <w:r>
              <w:rPr>
                <w:rFonts w:ascii="Times New Roman" w:cs="Times New Roman" w:eastAsia="Times New Roman" w:hAnsi="Times New Roman"/>
                <w:sz w:val="16"/>
                <w:szCs w:val="16"/>
                <w:b w:val="1"/>
                <w:bCs w:val="1"/>
                <w:color w:val="auto"/>
              </w:rPr>
              <w:t>001-38978</w:t>
            </w:r>
          </w:p>
        </w:tc>
        <w:tc>
          <w:tcPr>
            <w:tcW w:w="19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47-4839948</w:t>
            </w:r>
          </w:p>
        </w:tc>
      </w:tr>
      <w:tr>
        <w:trPr>
          <w:trHeight w:val="144"/>
        </w:trPr>
        <w:tc>
          <w:tcPr>
            <w:tcW w:w="2700" w:type="dxa"/>
            <w:vAlign w:val="bottom"/>
          </w:tcPr>
          <w:p>
            <w:pPr>
              <w:jc w:val="center"/>
              <w:ind w:right="631"/>
              <w:spacing w:after="0"/>
              <w:rPr>
                <w:sz w:val="20"/>
                <w:szCs w:val="20"/>
                <w:color w:val="auto"/>
              </w:rPr>
            </w:pPr>
            <w:r>
              <w:rPr>
                <w:rFonts w:ascii="Times New Roman" w:cs="Times New Roman" w:eastAsia="Times New Roman" w:hAnsi="Times New Roman"/>
                <w:sz w:val="12"/>
                <w:szCs w:val="12"/>
                <w:b w:val="1"/>
                <w:bCs w:val="1"/>
                <w:color w:val="auto"/>
                <w:w w:val="99"/>
              </w:rPr>
              <w:t>(State or other jurisdiction</w:t>
            </w:r>
          </w:p>
        </w:tc>
        <w:tc>
          <w:tcPr>
            <w:tcW w:w="3080" w:type="dxa"/>
            <w:vAlign w:val="bottom"/>
          </w:tcPr>
          <w:p>
            <w:pPr>
              <w:jc w:val="center"/>
              <w:ind w:right="171"/>
              <w:spacing w:after="0"/>
              <w:rPr>
                <w:sz w:val="20"/>
                <w:szCs w:val="20"/>
                <w:color w:val="auto"/>
              </w:rPr>
            </w:pPr>
            <w:r>
              <w:rPr>
                <w:rFonts w:ascii="Times New Roman" w:cs="Times New Roman" w:eastAsia="Times New Roman" w:hAnsi="Times New Roman"/>
                <w:sz w:val="12"/>
                <w:szCs w:val="12"/>
                <w:b w:val="1"/>
                <w:bCs w:val="1"/>
                <w:color w:val="auto"/>
              </w:rPr>
              <w:t>(Commission File Number)</w:t>
            </w:r>
          </w:p>
        </w:tc>
        <w:tc>
          <w:tcPr>
            <w:tcW w:w="1920" w:type="dxa"/>
            <w:vAlign w:val="bottom"/>
          </w:tcPr>
          <w:p>
            <w:pPr>
              <w:jc w:val="center"/>
              <w:ind w:left="913"/>
              <w:spacing w:after="0"/>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9"/>
        </w:trPr>
        <w:tc>
          <w:tcPr>
            <w:tcW w:w="2700" w:type="dxa"/>
            <w:vAlign w:val="bottom"/>
          </w:tcPr>
          <w:p>
            <w:pPr>
              <w:jc w:val="center"/>
              <w:ind w:right="631"/>
              <w:spacing w:after="0"/>
              <w:rPr>
                <w:sz w:val="20"/>
                <w:szCs w:val="20"/>
                <w:color w:val="auto"/>
              </w:rPr>
            </w:pPr>
            <w:r>
              <w:rPr>
                <w:rFonts w:ascii="Times New Roman" w:cs="Times New Roman" w:eastAsia="Times New Roman" w:hAnsi="Times New Roman"/>
                <w:sz w:val="12"/>
                <w:szCs w:val="12"/>
                <w:b w:val="1"/>
                <w:bCs w:val="1"/>
                <w:color w:val="auto"/>
              </w:rPr>
              <w:t>of incorporation)</w:t>
            </w:r>
          </w:p>
        </w:tc>
        <w:tc>
          <w:tcPr>
            <w:tcW w:w="3080" w:type="dxa"/>
            <w:vAlign w:val="bottom"/>
          </w:tcPr>
          <w:p>
            <w:pPr>
              <w:spacing w:after="0"/>
              <w:rPr>
                <w:sz w:val="13"/>
                <w:szCs w:val="13"/>
                <w:color w:val="auto"/>
              </w:rPr>
            </w:pPr>
          </w:p>
        </w:tc>
        <w:tc>
          <w:tcPr>
            <w:tcW w:w="1920" w:type="dxa"/>
            <w:vAlign w:val="bottom"/>
          </w:tcPr>
          <w:p>
            <w:pPr>
              <w:jc w:val="center"/>
              <w:ind w:left="9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5"/>
        </w:trPr>
        <w:tc>
          <w:tcPr>
            <w:tcW w:w="2700" w:type="dxa"/>
            <w:vAlign w:val="bottom"/>
          </w:tcPr>
          <w:p>
            <w:pPr>
              <w:jc w:val="center"/>
              <w:ind w:right="631"/>
              <w:spacing w:after="0"/>
              <w:rPr>
                <w:sz w:val="20"/>
                <w:szCs w:val="20"/>
                <w:color w:val="auto"/>
              </w:rPr>
            </w:pPr>
            <w:r>
              <w:rPr>
                <w:rFonts w:ascii="Times New Roman" w:cs="Times New Roman" w:eastAsia="Times New Roman" w:hAnsi="Times New Roman"/>
                <w:sz w:val="16"/>
                <w:szCs w:val="16"/>
                <w:b w:val="1"/>
                <w:bCs w:val="1"/>
                <w:color w:val="auto"/>
                <w:w w:val="97"/>
              </w:rPr>
              <w:t>26 Landsdowne Street</w:t>
            </w:r>
          </w:p>
        </w:tc>
        <w:tc>
          <w:tcPr>
            <w:tcW w:w="30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80"/>
        </w:trPr>
        <w:tc>
          <w:tcPr>
            <w:tcW w:w="2700" w:type="dxa"/>
            <w:vAlign w:val="bottom"/>
          </w:tcPr>
          <w:p>
            <w:pPr>
              <w:jc w:val="center"/>
              <w:ind w:right="631"/>
              <w:spacing w:after="0" w:line="180" w:lineRule="exact"/>
              <w:rPr>
                <w:sz w:val="20"/>
                <w:szCs w:val="20"/>
                <w:color w:val="auto"/>
              </w:rPr>
            </w:pPr>
            <w:r>
              <w:rPr>
                <w:rFonts w:ascii="Times New Roman" w:cs="Times New Roman" w:eastAsia="Times New Roman" w:hAnsi="Times New Roman"/>
                <w:sz w:val="16"/>
                <w:szCs w:val="16"/>
                <w:b w:val="1"/>
                <w:bCs w:val="1"/>
                <w:color w:val="auto"/>
                <w:w w:val="97"/>
              </w:rPr>
              <w:t>Cambridge, Massachusetts</w:t>
            </w:r>
          </w:p>
        </w:tc>
        <w:tc>
          <w:tcPr>
            <w:tcW w:w="3080" w:type="dxa"/>
            <w:vAlign w:val="bottom"/>
          </w:tcPr>
          <w:p>
            <w:pPr>
              <w:spacing w:after="0"/>
              <w:rPr>
                <w:sz w:val="15"/>
                <w:szCs w:val="15"/>
                <w:color w:val="auto"/>
              </w:rPr>
            </w:pPr>
          </w:p>
        </w:tc>
        <w:tc>
          <w:tcPr>
            <w:tcW w:w="1920" w:type="dxa"/>
            <w:vAlign w:val="bottom"/>
          </w:tcPr>
          <w:p>
            <w:pPr>
              <w:jc w:val="right"/>
              <w:ind w:right="213"/>
              <w:spacing w:after="0" w:line="180" w:lineRule="exact"/>
              <w:rPr>
                <w:sz w:val="20"/>
                <w:szCs w:val="20"/>
                <w:color w:val="auto"/>
              </w:rPr>
            </w:pPr>
            <w:r>
              <w:rPr>
                <w:rFonts w:ascii="Times New Roman" w:cs="Times New Roman" w:eastAsia="Times New Roman" w:hAnsi="Times New Roman"/>
                <w:sz w:val="16"/>
                <w:szCs w:val="16"/>
                <w:b w:val="1"/>
                <w:bCs w:val="1"/>
                <w:color w:val="auto"/>
              </w:rPr>
              <w:t>02139</w:t>
            </w:r>
          </w:p>
        </w:tc>
      </w:tr>
      <w:tr>
        <w:trPr>
          <w:trHeight w:val="159"/>
        </w:trPr>
        <w:tc>
          <w:tcPr>
            <w:tcW w:w="2700" w:type="dxa"/>
            <w:vAlign w:val="bottom"/>
          </w:tcPr>
          <w:p>
            <w:pPr>
              <w:jc w:val="center"/>
              <w:ind w:right="631"/>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3080" w:type="dxa"/>
            <w:vAlign w:val="bottom"/>
          </w:tcPr>
          <w:p>
            <w:pPr>
              <w:spacing w:after="0"/>
              <w:rPr>
                <w:sz w:val="13"/>
                <w:szCs w:val="13"/>
                <w:color w:val="auto"/>
              </w:rPr>
            </w:pPr>
          </w:p>
        </w:tc>
        <w:tc>
          <w:tcPr>
            <w:tcW w:w="1920" w:type="dxa"/>
            <w:vAlign w:val="bottom"/>
          </w:tcPr>
          <w:p>
            <w:pPr>
              <w:jc w:val="center"/>
              <w:ind w:left="9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(617) 651-8851</w:t>
      </w:r>
    </w:p>
    <w:p>
      <w:pPr>
        <w:spacing w:after="0" w:line="3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208915</wp:posOffset>
            </wp:positionV>
            <wp:extent cx="13417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15" w:lineRule="exact"/>
        <w:rPr>
          <w:sz w:val="24"/>
          <w:szCs w:val="24"/>
          <w:color w:val="auto"/>
        </w:rPr>
      </w:pPr>
    </w:p>
    <w:p>
      <w:pPr>
        <w:ind w:left="340" w:hanging="334"/>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2" w:lineRule="exact"/>
        <w:rPr>
          <w:rFonts w:ascii="MS PGothic" w:cs="MS PGothic" w:eastAsia="MS PGothic" w:hAnsi="MS PGothic"/>
          <w:sz w:val="16"/>
          <w:szCs w:val="16"/>
          <w:color w:val="auto"/>
        </w:rPr>
      </w:pPr>
    </w:p>
    <w:p>
      <w:pPr>
        <w:ind w:left="340" w:hanging="334"/>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2" w:lineRule="exact"/>
        <w:rPr>
          <w:rFonts w:ascii="MS PGothic" w:cs="MS PGothic" w:eastAsia="MS PGothic" w:hAnsi="MS PGothic"/>
          <w:sz w:val="16"/>
          <w:szCs w:val="16"/>
          <w:color w:val="auto"/>
        </w:rPr>
      </w:pPr>
    </w:p>
    <w:p>
      <w:pPr>
        <w:ind w:left="340" w:hanging="334"/>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2" w:lineRule="exact"/>
        <w:rPr>
          <w:rFonts w:ascii="MS PGothic" w:cs="MS PGothic" w:eastAsia="MS PGothic" w:hAnsi="MS PGothic"/>
          <w:sz w:val="16"/>
          <w:szCs w:val="16"/>
          <w:color w:val="auto"/>
        </w:rPr>
      </w:pPr>
    </w:p>
    <w:p>
      <w:pPr>
        <w:ind w:left="340" w:hanging="334"/>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3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ectPr>
          <w:pgSz w:w="11900" w:h="16840" w:orient="portrait"/>
          <w:cols w:equalWidth="0" w:num="1">
            <w:col w:w="10520"/>
          </w:cols>
          <w:pgMar w:left="660" w:top="1415" w:right="720" w:bottom="1440" w:gutter="0" w:footer="0" w:header="0"/>
        </w:sectPr>
      </w:pPr>
    </w:p>
    <w:p>
      <w:pPr>
        <w:spacing w:after="0" w:line="344" w:lineRule="exact"/>
        <w:rPr>
          <w:sz w:val="24"/>
          <w:szCs w:val="24"/>
          <w:color w:val="auto"/>
        </w:rPr>
      </w:pPr>
    </w:p>
    <w:p>
      <w:pPr>
        <w:jc w:val="center"/>
        <w:ind w:left="160"/>
        <w:spacing w:after="0"/>
        <w:rPr>
          <w:sz w:val="20"/>
          <w:szCs w:val="20"/>
          <w:color w:val="auto"/>
        </w:rPr>
      </w:pPr>
      <w:r>
        <w:rPr>
          <w:rFonts w:ascii="Times New Roman" w:cs="Times New Roman" w:eastAsia="Times New Roman" w:hAnsi="Times New Roman"/>
          <w:sz w:val="16"/>
          <w:szCs w:val="16"/>
          <w:b w:val="1"/>
          <w:bCs w:val="1"/>
          <w:color w:val="auto"/>
        </w:rPr>
        <w:t>Title of each class</w:t>
      </w:r>
    </w:p>
    <w:p>
      <w:pPr>
        <w:spacing w:after="0" w:line="16" w:lineRule="exact"/>
        <w:rPr>
          <w:sz w:val="24"/>
          <w:szCs w:val="24"/>
          <w:color w:val="auto"/>
        </w:rPr>
      </w:pPr>
    </w:p>
    <w:p>
      <w:pPr>
        <w:jc w:val="center"/>
        <w:ind w:left="160"/>
        <w:spacing w:after="0"/>
        <w:rPr>
          <w:sz w:val="20"/>
          <w:szCs w:val="20"/>
          <w:color w:val="auto"/>
        </w:rPr>
      </w:pPr>
      <w:r>
        <w:rPr>
          <w:rFonts w:ascii="Times New Roman" w:cs="Times New Roman" w:eastAsia="Times New Roman" w:hAnsi="Times New Roman"/>
          <w:sz w:val="14"/>
          <w:szCs w:val="14"/>
          <w:color w:val="auto"/>
        </w:rPr>
        <w:t>Common stock, par value $0.001 per share</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Trading</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Symbol(s)</w:t>
      </w:r>
    </w:p>
    <w:p>
      <w:pPr>
        <w:spacing w:after="0" w:line="1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auto"/>
        </w:rPr>
        <w:t>FULC</w:t>
      </w:r>
    </w:p>
    <w:p>
      <w:pPr>
        <w:spacing w:after="0" w:line="20" w:lineRule="exact"/>
        <w:rPr>
          <w:sz w:val="24"/>
          <w:szCs w:val="24"/>
          <w:color w:val="auto"/>
        </w:rPr>
      </w:pPr>
      <w:r>
        <w:rPr>
          <w:sz w:val="24"/>
          <w:szCs w:val="24"/>
          <w:color w:val="auto"/>
        </w:rPr>
        <w:br w:type="column"/>
      </w:r>
    </w:p>
    <w:p>
      <w:pPr>
        <w:spacing w:after="0" w:line="324"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39"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6"/>
          <w:szCs w:val="16"/>
          <w:color w:val="auto"/>
        </w:rPr>
        <w:t>Nasdaq Global Market</w:t>
      </w:r>
    </w:p>
    <w:p>
      <w:pPr>
        <w:spacing w:after="0" w:line="170" w:lineRule="exact"/>
        <w:rPr>
          <w:sz w:val="24"/>
          <w:szCs w:val="24"/>
          <w:color w:val="auto"/>
        </w:rPr>
      </w:pPr>
    </w:p>
    <w:p>
      <w:pPr>
        <w:sectPr>
          <w:pgSz w:w="11900" w:h="16840" w:orient="portrait"/>
          <w:cols w:equalWidth="0" w:num="3">
            <w:col w:w="3880" w:space="720"/>
            <w:col w:w="1420" w:space="720"/>
            <w:col w:w="3780"/>
          </w:cols>
          <w:pgMar w:left="660" w:top="1415" w:right="720" w:bottom="1440" w:gutter="0" w:footer="0" w:header="0"/>
          <w:type w:val="continuous"/>
        </w:sectPr>
      </w:pPr>
    </w:p>
    <w:p>
      <w:pPr>
        <w:ind w:right="140"/>
        <w:spacing w:after="0" w:line="257"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w:t>
      </w:r>
      <w:r>
        <w:rPr>
          <w:rFonts w:ascii="Arial" w:cs="Arial" w:eastAsia="Arial" w:hAnsi="Arial"/>
          <w:sz w:val="16"/>
          <w:szCs w:val="16"/>
          <w:color w:val="auto"/>
        </w:rPr>
        <w:t> </w:t>
      </w:r>
      <w:r>
        <w:rPr>
          <w:rFonts w:ascii="Times New Roman" w:cs="Times New Roman" w:eastAsia="Times New Roman" w:hAnsi="Times New Roman"/>
          <w:sz w:val="16"/>
          <w:szCs w:val="16"/>
          <w:color w:val="auto"/>
        </w:rPr>
        <w:t>230.405 of this chapter) or Rule 12b-2 of the Securities Exchange Act of 1934 (§</w:t>
      </w:r>
      <w:r>
        <w:rPr>
          <w:rFonts w:ascii="Arial" w:cs="Arial" w:eastAsia="Arial" w:hAnsi="Arial"/>
          <w:sz w:val="16"/>
          <w:szCs w:val="16"/>
          <w:color w:val="auto"/>
        </w:rPr>
        <w:t> </w:t>
      </w:r>
      <w:r>
        <w:rPr>
          <w:rFonts w:ascii="Times New Roman" w:cs="Times New Roman" w:eastAsia="Times New Roman" w:hAnsi="Times New Roman"/>
          <w:sz w:val="16"/>
          <w:szCs w:val="16"/>
          <w:color w:val="auto"/>
        </w:rPr>
        <w:t>240.12b-2 of this chapter).</w:t>
      </w:r>
    </w:p>
    <w:p>
      <w:pPr>
        <w:spacing w:after="0" w:line="75" w:lineRule="exact"/>
        <w:rPr>
          <w:sz w:val="24"/>
          <w:szCs w:val="24"/>
          <w:color w:val="auto"/>
        </w:rPr>
      </w:pPr>
    </w:p>
    <w:p>
      <w:pPr>
        <w:ind w:left="744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74" w:lineRule="exact"/>
        <w:rPr>
          <w:sz w:val="24"/>
          <w:szCs w:val="24"/>
          <w:color w:val="auto"/>
        </w:rPr>
      </w:pPr>
    </w:p>
    <w:p>
      <w:pPr>
        <w:ind w:right="240"/>
        <w:spacing w:after="0" w:line="204"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529590</wp:posOffset>
            </wp:positionV>
            <wp:extent cx="673290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92075</wp:posOffset>
            </wp:positionV>
            <wp:extent cx="670750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107315</wp:posOffset>
            </wp:positionV>
            <wp:extent cx="670750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ectPr>
          <w:pgSz w:w="11900" w:h="16840" w:orient="portrait"/>
          <w:cols w:equalWidth="0" w:num="1">
            <w:col w:w="10520"/>
          </w:cols>
          <w:pgMar w:left="660" w:top="1415" w:right="72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On October 29, 2025, Fulcrum Therapeutics, Inc., or Fulcrum, announced its financial results for the quarter ended September 30, 2025. The full text of the press release issued in connection with the announcement is being furnished as Exhibit 99.1 to this Current Report on Form 8-K and is incorporated herein by reference.</w:t>
      </w:r>
    </w:p>
    <w:p>
      <w:pPr>
        <w:spacing w:after="0" w:line="15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The information in this Item 2.02, including Exhibit 99.1 attached hereto, shall not be deemed “filed” for purposes of Section 18 of the Securities Exchange Act of 1934, as amended, or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94" w:lineRule="exact"/>
        <w:rPr>
          <w:sz w:val="20"/>
          <w:szCs w:val="20"/>
          <w:color w:val="auto"/>
        </w:rPr>
      </w:pPr>
    </w:p>
    <w:p>
      <w:pPr>
        <w:ind w:left="420" w:hanging="414"/>
        <w:spacing w:after="0"/>
        <w:tabs>
          <w:tab w:leader="none" w:pos="4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Exhibits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exhibit is furnished herewith:</w:t>
      </w:r>
    </w:p>
    <w:p>
      <w:pPr>
        <w:spacing w:after="0" w:line="182" w:lineRule="exact"/>
        <w:rPr>
          <w:sz w:val="20"/>
          <w:szCs w:val="20"/>
          <w:color w:val="auto"/>
        </w:rPr>
      </w:pPr>
    </w:p>
    <w:p>
      <w:pPr>
        <w:spacing w:after="0"/>
        <w:tabs>
          <w:tab w:leader="none" w:pos="620" w:val="left"/>
        </w:tabs>
        <w:rPr>
          <w:rFonts w:ascii="Times New Roman" w:cs="Times New Roman" w:eastAsia="Times New Roman" w:hAnsi="Times New Roman"/>
          <w:sz w:val="14"/>
          <w:szCs w:val="14"/>
          <w:color w:val="0000FF"/>
        </w:rPr>
      </w:pPr>
      <w:r>
        <w:rPr>
          <w:rFonts w:ascii="Times New Roman" w:cs="Times New Roman" w:eastAsia="Times New Roman" w:hAnsi="Times New Roman"/>
          <w:sz w:val="16"/>
          <w:szCs w:val="16"/>
          <w:color w:val="auto"/>
        </w:rPr>
        <w:t>99.1</w:t>
      </w:r>
      <w:r>
        <w:rPr>
          <w:sz w:val="20"/>
          <w:szCs w:val="20"/>
          <w:color w:val="auto"/>
        </w:rPr>
        <w:tab/>
      </w:r>
      <w:hyperlink w:anchor="page1">
        <w:r>
          <w:rPr>
            <w:rFonts w:ascii="Times New Roman" w:cs="Times New Roman" w:eastAsia="Times New Roman" w:hAnsi="Times New Roman"/>
            <w:sz w:val="14"/>
            <w:szCs w:val="14"/>
            <w:color w:val="0000FF"/>
          </w:rPr>
          <w:t>Press Release issued October 29, 2025, announcing financial results for the quarter ended September 30,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-8890</wp:posOffset>
            </wp:positionV>
            <wp:extent cx="436753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367530" cy="7620"/>
                    </a:xfrm>
                    <a:prstGeom prst="rect">
                      <a:avLst/>
                    </a:prstGeom>
                    <a:noFill/>
                  </pic:spPr>
                </pic:pic>
              </a:graphicData>
            </a:graphic>
          </wp:anchor>
        </w:drawing>
      </w:r>
    </w:p>
    <w:p>
      <w:pPr>
        <w:spacing w:after="0"/>
        <w:tabs>
          <w:tab w:leader="none" w:pos="620" w:val="left"/>
        </w:tabs>
        <w:rPr>
          <w:sz w:val="20"/>
          <w:szCs w:val="20"/>
          <w:color w:val="auto"/>
        </w:rPr>
      </w:pPr>
      <w:r>
        <w:rPr>
          <w:rFonts w:ascii="Times New Roman" w:cs="Times New Roman" w:eastAsia="Times New Roman" w:hAnsi="Times New Roman"/>
          <w:sz w:val="16"/>
          <w:szCs w:val="16"/>
          <w:color w:val="auto"/>
        </w:rPr>
        <w:t>104</w:t>
      </w:r>
      <w:r>
        <w:rPr>
          <w:sz w:val="20"/>
          <w:szCs w:val="20"/>
          <w:color w:val="auto"/>
        </w:rPr>
        <w:tab/>
      </w:r>
      <w:r>
        <w:rPr>
          <w:rFonts w:ascii="Times New Roman" w:cs="Times New Roman" w:eastAsia="Times New Roman" w:hAnsi="Times New Roman"/>
          <w:sz w:val="16"/>
          <w:szCs w:val="16"/>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690245</wp:posOffset>
            </wp:positionV>
            <wp:extent cx="673290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19" w:right="70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2"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7040" w:type="dxa"/>
            <w:vAlign w:val="bottom"/>
          </w:tcPr>
          <w:p>
            <w:pPr>
              <w:ind w:left="2200"/>
              <w:spacing w:after="0"/>
              <w:rPr>
                <w:sz w:val="20"/>
                <w:szCs w:val="20"/>
                <w:color w:val="auto"/>
              </w:rPr>
            </w:pPr>
            <w:r>
              <w:rPr>
                <w:rFonts w:ascii="Times New Roman" w:cs="Times New Roman" w:eastAsia="Times New Roman" w:hAnsi="Times New Roman"/>
                <w:sz w:val="16"/>
                <w:szCs w:val="16"/>
                <w:color w:val="auto"/>
              </w:rPr>
              <w:t>FULCRUM THERAPEUTICS, INC.</w:t>
            </w:r>
          </w:p>
        </w:tc>
      </w:tr>
      <w:tr>
        <w:trPr>
          <w:trHeight w:val="457"/>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3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October 29, 2025</w:t>
            </w:r>
          </w:p>
        </w:tc>
        <w:tc>
          <w:tcPr>
            <w:tcW w:w="704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By:   /s/ Alex C. Sapir</w:t>
            </w:r>
          </w:p>
        </w:tc>
      </w:tr>
      <w:tr>
        <w:trPr>
          <w:trHeight w:val="180"/>
        </w:trPr>
        <w:tc>
          <w:tcPr>
            <w:tcW w:w="5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7040" w:type="dxa"/>
            <w:vAlign w:val="bottom"/>
          </w:tcPr>
          <w:p>
            <w:pPr>
              <w:ind w:left="2200"/>
              <w:spacing w:after="0" w:line="180" w:lineRule="exact"/>
              <w:rPr>
                <w:sz w:val="20"/>
                <w:szCs w:val="20"/>
                <w:color w:val="auto"/>
              </w:rPr>
            </w:pPr>
            <w:r>
              <w:rPr>
                <w:rFonts w:ascii="Times New Roman" w:cs="Times New Roman" w:eastAsia="Times New Roman" w:hAnsi="Times New Roman"/>
                <w:sz w:val="16"/>
                <w:szCs w:val="16"/>
                <w:color w:val="auto"/>
              </w:rPr>
              <w:t>Name: Alex C. Sapir</w:t>
            </w:r>
          </w:p>
        </w:tc>
      </w:tr>
      <w:tr>
        <w:trPr>
          <w:trHeight w:val="203"/>
        </w:trPr>
        <w:tc>
          <w:tcPr>
            <w:tcW w:w="5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7040" w:type="dxa"/>
            <w:vAlign w:val="bottom"/>
          </w:tcPr>
          <w:p>
            <w:pPr>
              <w:ind w:left="2200"/>
              <w:spacing w:after="0"/>
              <w:rPr>
                <w:sz w:val="20"/>
                <w:szCs w:val="20"/>
                <w:color w:val="auto"/>
              </w:rPr>
            </w:pPr>
            <w:r>
              <w:rPr>
                <w:rFonts w:ascii="Times New Roman" w:cs="Times New Roman" w:eastAsia="Times New Roman" w:hAnsi="Times New Roman"/>
                <w:sz w:val="16"/>
                <w:szCs w:val="16"/>
                <w:color w:val="auto"/>
              </w:rPr>
              <w:t>Title: President and Chief Executive Officer</w:t>
            </w:r>
          </w:p>
        </w:tc>
      </w:tr>
      <w:tr>
        <w:trPr>
          <w:trHeight w:val="998"/>
        </w:trPr>
        <w:tc>
          <w:tcPr>
            <w:tcW w:w="500" w:type="dxa"/>
            <w:vAlign w:val="bottom"/>
            <w:tcBorders>
              <w:bottom w:val="single" w:sz="8" w:color="EEEEEE"/>
            </w:tcBorders>
          </w:tcPr>
          <w:p>
            <w:pPr>
              <w:spacing w:after="0"/>
              <w:rPr>
                <w:sz w:val="24"/>
                <w:szCs w:val="24"/>
                <w:color w:val="auto"/>
              </w:rPr>
            </w:pPr>
          </w:p>
        </w:tc>
        <w:tc>
          <w:tcPr>
            <w:tcW w:w="3020" w:type="dxa"/>
            <w:vAlign w:val="bottom"/>
            <w:tcBorders>
              <w:bottom w:val="single" w:sz="8" w:color="EEEEEE"/>
            </w:tcBorders>
          </w:tcPr>
          <w:p>
            <w:pPr>
              <w:spacing w:after="0"/>
              <w:rPr>
                <w:sz w:val="24"/>
                <w:szCs w:val="24"/>
                <w:color w:val="auto"/>
              </w:rPr>
            </w:pPr>
          </w:p>
        </w:tc>
        <w:tc>
          <w:tcPr>
            <w:tcW w:w="70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151765</wp:posOffset>
            </wp:positionV>
            <wp:extent cx="1387475" cy="3352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87475" cy="335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Fulcrum Therapeutics Announces Recent Business Highlights and Financial Results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 Third Quarter 2025</w:t>
      </w: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 Announced encouraging results in July 2025 from the 12 mg dose cohort of the Phase 1b PIONEER trial of pociredir in sickle cell disease (SCD) ―</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 Enrollment complete in the 20 mg dose cohort (n=12) of the PIONEER trial; on track to provide data from the 20 mg dose cohort by year-end ―</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 Ended Q3 2025 with $200.6 million in cash, cash equivalents, and marketable securities; cash runway into 2028 ―</w:t>
      </w:r>
    </w:p>
    <w:p>
      <w:pPr>
        <w:spacing w:after="0" w:line="287" w:lineRule="exact"/>
        <w:rPr>
          <w:sz w:val="20"/>
          <w:szCs w:val="20"/>
          <w:color w:val="auto"/>
        </w:rPr>
      </w:pPr>
    </w:p>
    <w:p>
      <w:pPr>
        <w:ind w:right="420"/>
        <w:spacing w:after="0" w:line="226" w:lineRule="auto"/>
        <w:rPr>
          <w:sz w:val="20"/>
          <w:szCs w:val="20"/>
          <w:color w:val="auto"/>
        </w:rPr>
      </w:pPr>
      <w:r>
        <w:rPr>
          <w:rFonts w:ascii="Times New Roman" w:cs="Times New Roman" w:eastAsia="Times New Roman" w:hAnsi="Times New Roman"/>
          <w:sz w:val="16"/>
          <w:szCs w:val="16"/>
          <w:b w:val="1"/>
          <w:bCs w:val="1"/>
          <w:color w:val="auto"/>
        </w:rPr>
        <w:t xml:space="preserve">CAMBRIDGE, Mass., – October 29, 2025 </w:t>
      </w:r>
      <w:r>
        <w:rPr>
          <w:rFonts w:ascii="Times New Roman" w:cs="Times New Roman" w:eastAsia="Times New Roman" w:hAnsi="Times New Roman"/>
          <w:sz w:val="16"/>
          <w:szCs w:val="16"/>
          <w:color w:val="auto"/>
        </w:rPr>
        <w:t>– Fulcrum Therapeutics, Inc.</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(Fulcrum) (Nasdaq: FULC), a clinical -stage biopharmaceutical company focused 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developing small molecules to improve the lives of patients with genetically defined rare diseases, today reported financial results for the third quarter of 2025 and provided a business update.</w:t>
      </w:r>
    </w:p>
    <w:p>
      <w:pPr>
        <w:spacing w:after="0" w:line="158"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“We are extremely pleased with the compelling data from the 12 mg dose cohort of the PIONEER trial, which demonstrated that pociredir has the potential to meaningfully improve outcomes for people living with sickle cell disease,” said Alex C. Sapir, Fulcrum’s President and Chief Executive Officer. “The strength of those results has generated significant interest and engagement from investigators and patients, reflected in the over-enrollment of the 20 mg dose cohort. We look forward to sharing results from the 20 mg dose cohort by the end of 2025.”</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Business Highlights</w:t>
      </w:r>
    </w:p>
    <w:p>
      <w:pPr>
        <w:spacing w:after="0" w:line="94" w:lineRule="exact"/>
        <w:rPr>
          <w:sz w:val="20"/>
          <w:szCs w:val="20"/>
          <w:color w:val="auto"/>
        </w:rPr>
      </w:pPr>
    </w:p>
    <w:p>
      <w:pPr>
        <w:ind w:left="480" w:right="60"/>
        <w:spacing w:after="0" w:line="241" w:lineRule="auto"/>
        <w:rPr>
          <w:sz w:val="20"/>
          <w:szCs w:val="20"/>
          <w:color w:val="auto"/>
        </w:rPr>
      </w:pPr>
      <w:r>
        <w:rPr>
          <w:rFonts w:ascii="Times New Roman" w:cs="Times New Roman" w:eastAsia="Times New Roman" w:hAnsi="Times New Roman"/>
          <w:sz w:val="16"/>
          <w:szCs w:val="16"/>
          <w:color w:val="auto"/>
        </w:rPr>
        <w:t>•Announced encouraging results from the 12 mg dose cohort of the PIONEER trial, following conclusion of the 12 -week treatment period. Results demonstrated a dose-dependent and clinically meaningful increase in fetal hemoglobin (HbF), evidence of pan- cellular induction of HbF, improvements in markers of hemolysis, increases in total hemoglobin, and encouraging trends in vaso-occlusive crisis (VOC) reductions. Pociredir continued to be generally well-tolerated, with no drug-related serious adverse events (SAEs) and no discontinuations due to treatment-emergent adverse events through the completion of the 12 mg dose cohort.</w:t>
      </w:r>
    </w:p>
    <w:p>
      <w:pPr>
        <w:spacing w:after="0" w:line="73" w:lineRule="exact"/>
        <w:rPr>
          <w:sz w:val="20"/>
          <w:szCs w:val="20"/>
          <w:color w:val="auto"/>
        </w:rPr>
      </w:pPr>
    </w:p>
    <w:p>
      <w:pPr>
        <w:ind w:left="480" w:right="100"/>
        <w:spacing w:after="0" w:line="243" w:lineRule="auto"/>
        <w:rPr>
          <w:sz w:val="20"/>
          <w:szCs w:val="20"/>
          <w:color w:val="auto"/>
        </w:rPr>
      </w:pPr>
      <w:r>
        <w:rPr>
          <w:rFonts w:ascii="Times New Roman" w:cs="Times New Roman" w:eastAsia="Times New Roman" w:hAnsi="Times New Roman"/>
          <w:sz w:val="16"/>
          <w:szCs w:val="16"/>
          <w:color w:val="auto"/>
        </w:rPr>
        <w:t>•Completed patient enrollment in the 20 mg dose cohort of the PIONEER trial, with greater than 90% rates of adherence to study drug to date. The mean and median baseline HbF levels for the 12 evaluable patients (excluding 1 discontinuation that was previously disclosed) enrolled in the 20 mg dose cohort are 7.1% and 7.3%, respectively. Fulcrum plans to present additional clinical data at the 67th American Society of Hematology (ASH) Congress, being held December 6-9, 2025, in Orlando.</w:t>
      </w:r>
    </w:p>
    <w:p>
      <w:pPr>
        <w:spacing w:after="0" w:line="71" w:lineRule="exact"/>
        <w:rPr>
          <w:sz w:val="20"/>
          <w:szCs w:val="20"/>
          <w:color w:val="auto"/>
        </w:rPr>
      </w:pPr>
    </w:p>
    <w:p>
      <w:pPr>
        <w:ind w:left="480" w:right="120"/>
        <w:spacing w:after="0" w:line="259" w:lineRule="auto"/>
        <w:rPr>
          <w:sz w:val="20"/>
          <w:szCs w:val="20"/>
          <w:color w:val="auto"/>
        </w:rPr>
      </w:pPr>
      <w:r>
        <w:rPr>
          <w:rFonts w:ascii="Times New Roman" w:cs="Times New Roman" w:eastAsia="Times New Roman" w:hAnsi="Times New Roman"/>
          <w:sz w:val="16"/>
          <w:szCs w:val="16"/>
          <w:color w:val="auto"/>
        </w:rPr>
        <w:t>•Initiating an open label extension trial to allow patients to continue receiving pociredir after completing the PIONEER trial, enabling longer-term evaluation of safety and durability of response.</w:t>
      </w:r>
    </w:p>
    <w:p>
      <w:pPr>
        <w:spacing w:after="0" w:line="59" w:lineRule="exact"/>
        <w:rPr>
          <w:sz w:val="20"/>
          <w:szCs w:val="20"/>
          <w:color w:val="auto"/>
        </w:rPr>
      </w:pPr>
    </w:p>
    <w:p>
      <w:pPr>
        <w:ind w:left="480" w:right="300"/>
        <w:spacing w:after="0" w:line="259" w:lineRule="auto"/>
        <w:rPr>
          <w:sz w:val="20"/>
          <w:szCs w:val="20"/>
          <w:color w:val="auto"/>
        </w:rPr>
      </w:pPr>
      <w:r>
        <w:rPr>
          <w:rFonts w:ascii="Times New Roman" w:cs="Times New Roman" w:eastAsia="Times New Roman" w:hAnsi="Times New Roman"/>
          <w:sz w:val="16"/>
          <w:szCs w:val="16"/>
          <w:color w:val="auto"/>
        </w:rPr>
        <w:t>•Presented real-world data at the 20th Annual Sickle Cell &amp; Thalassemia (ASCAT) Conference demonstrating the quantitative correlation between increased HbF levels and reduced VOC rates in SCD. Read the presentation here.</w:t>
      </w:r>
    </w:p>
    <w:p>
      <w:pPr>
        <w:spacing w:after="0" w:line="59" w:lineRule="exact"/>
        <w:rPr>
          <w:sz w:val="20"/>
          <w:szCs w:val="20"/>
          <w:color w:val="auto"/>
        </w:rPr>
      </w:pPr>
    </w:p>
    <w:p>
      <w:pPr>
        <w:jc w:val="both"/>
        <w:ind w:left="480" w:right="60"/>
        <w:spacing w:after="0" w:line="247" w:lineRule="auto"/>
        <w:rPr>
          <w:sz w:val="20"/>
          <w:szCs w:val="20"/>
          <w:color w:val="auto"/>
        </w:rPr>
      </w:pPr>
      <w:r>
        <w:rPr>
          <w:rFonts w:ascii="Times New Roman" w:cs="Times New Roman" w:eastAsia="Times New Roman" w:hAnsi="Times New Roman"/>
          <w:sz w:val="16"/>
          <w:szCs w:val="16"/>
          <w:color w:val="auto"/>
        </w:rPr>
        <w:t>•Fulcrum continues to advance its program for the potential treatment of bone marrow failure syndromes, such as Diamond-Blackfan anemia (DBA), 5q deletion syndrome, Shwachman-Diamond syndrome, and Fanconi anemia, and plans to submit an investigational new drug application (IND) during the fourth quarter of 2025.</w:t>
      </w:r>
    </w:p>
    <w:p>
      <w:pPr>
        <w:spacing w:after="0" w:line="68" w:lineRule="exact"/>
        <w:rPr>
          <w:sz w:val="20"/>
          <w:szCs w:val="20"/>
          <w:color w:val="auto"/>
        </w:rPr>
      </w:pPr>
    </w:p>
    <w:p>
      <w:pPr>
        <w:ind w:left="480" w:right="200"/>
        <w:spacing w:after="0" w:line="259" w:lineRule="auto"/>
        <w:rPr>
          <w:sz w:val="20"/>
          <w:szCs w:val="20"/>
          <w:color w:val="auto"/>
        </w:rPr>
      </w:pPr>
      <w:r>
        <w:rPr>
          <w:rFonts w:ascii="Times New Roman" w:cs="Times New Roman" w:eastAsia="Times New Roman" w:hAnsi="Times New Roman"/>
          <w:sz w:val="16"/>
          <w:szCs w:val="16"/>
          <w:color w:val="auto"/>
        </w:rPr>
        <w:t>•Presented preclinical data for FTX-6274, an oral embryonic ectoderm development (EED) inhibitor candidate, at the European Society for Medical Oncology (ESMO) Congress 2025, demonstrating robust efficacy in castration resistant prostate cancer models. Read the presentation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398780</wp:posOffset>
            </wp:positionV>
            <wp:extent cx="67329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color w:val="auto"/>
        </w:rPr>
        <w:t>Third Quarter 2025 Financial Results</w:t>
      </w:r>
    </w:p>
    <w:p>
      <w:pPr>
        <w:spacing w:after="0" w:line="92" w:lineRule="exact"/>
        <w:rPr>
          <w:sz w:val="20"/>
          <w:szCs w:val="20"/>
          <w:color w:val="auto"/>
        </w:rPr>
      </w:pPr>
    </w:p>
    <w:p>
      <w:pPr>
        <w:ind w:left="480" w:right="640"/>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Cash Position:</w:t>
      </w:r>
      <w:r>
        <w:rPr>
          <w:rFonts w:ascii="Times New Roman" w:cs="Times New Roman" w:eastAsia="Times New Roman" w:hAnsi="Times New Roman"/>
          <w:sz w:val="16"/>
          <w:szCs w:val="16"/>
          <w:color w:val="auto"/>
        </w:rPr>
        <w:t xml:space="preserve"> As of September 30, 2025, cash, cash equivalents, and marketable securities were $200.6 million, as compared to $241.0 million as of December 31, 2024. The decrease of $40.4 million is primarily due to cash used to fund operating activities in 2025.</w:t>
      </w:r>
    </w:p>
    <w:p>
      <w:pPr>
        <w:spacing w:after="0" w:line="54" w:lineRule="exact"/>
        <w:rPr>
          <w:sz w:val="20"/>
          <w:szCs w:val="20"/>
          <w:color w:val="auto"/>
        </w:rPr>
      </w:pPr>
    </w:p>
    <w:p>
      <w:pPr>
        <w:ind w:left="480" w:right="60"/>
        <w:spacing w:after="0" w:line="24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R&amp;D Expenses:</w:t>
      </w:r>
      <w:r>
        <w:rPr>
          <w:rFonts w:ascii="Times New Roman" w:cs="Times New Roman" w:eastAsia="Times New Roman" w:hAnsi="Times New Roman"/>
          <w:sz w:val="16"/>
          <w:szCs w:val="16"/>
          <w:color w:val="auto"/>
        </w:rPr>
        <w:t xml:space="preserve"> Research and development expenses were $ 14.3 million for the three months ended September 30, 2025, as compared to $14.6 million for the three months ended September 30, 2024. The decrease of $0.3 million was primarily due to decreased costs associated with the discontinuation of our losmapimod program and the reimbursement from the global development cost sharing under the now-terminated collaboration with Sanofi, partially offset by increased costs related to the advancement of the Phase 1b PIONEER trial of pociredir.</w:t>
      </w:r>
    </w:p>
    <w:p>
      <w:pPr>
        <w:spacing w:after="0" w:line="68" w:lineRule="exact"/>
        <w:rPr>
          <w:sz w:val="20"/>
          <w:szCs w:val="20"/>
          <w:color w:val="auto"/>
        </w:rPr>
      </w:pPr>
    </w:p>
    <w:p>
      <w:pPr>
        <w:ind w:left="480" w:right="60"/>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G&amp;A Expenses:</w:t>
      </w:r>
      <w:r>
        <w:rPr>
          <w:rFonts w:ascii="Times New Roman" w:cs="Times New Roman" w:eastAsia="Times New Roman" w:hAnsi="Times New Roman"/>
          <w:sz w:val="16"/>
          <w:szCs w:val="16"/>
          <w:color w:val="auto"/>
        </w:rPr>
        <w:t xml:space="preserve"> General and administrative expenses were $7.6 million for the three months ended September 30, 2025, as compared to $8.4 million for three months ended September 30, 2024. The decrease of $0.8 million was primarily due to decreased professional services costs.</w:t>
      </w:r>
    </w:p>
    <w:p>
      <w:pPr>
        <w:spacing w:after="0" w:line="54" w:lineRule="exact"/>
        <w:rPr>
          <w:sz w:val="20"/>
          <w:szCs w:val="20"/>
          <w:color w:val="auto"/>
        </w:rPr>
      </w:pPr>
    </w:p>
    <w:p>
      <w:pPr>
        <w:ind w:left="480" w:right="280"/>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Net Loss:</w:t>
      </w:r>
      <w:r>
        <w:rPr>
          <w:rFonts w:ascii="Times New Roman" w:cs="Times New Roman" w:eastAsia="Times New Roman" w:hAnsi="Times New Roman"/>
          <w:sz w:val="16"/>
          <w:szCs w:val="16"/>
          <w:color w:val="auto"/>
        </w:rPr>
        <w:t xml:space="preserve"> Net loss was $19.6 million for the three months ended September 30, 2025, as compared to a net loss of $21.7 million for the three months ended September 30, 2024.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Runway Guidance</w:t>
      </w:r>
    </w:p>
    <w:p>
      <w:pPr>
        <w:spacing w:after="0" w:line="94" w:lineRule="exact"/>
        <w:rPr>
          <w:sz w:val="20"/>
          <w:szCs w:val="20"/>
          <w:color w:val="auto"/>
        </w:rPr>
      </w:pPr>
    </w:p>
    <w:p>
      <w:pPr>
        <w:ind w:right="760"/>
        <w:spacing w:after="0" w:line="259" w:lineRule="auto"/>
        <w:rPr>
          <w:sz w:val="20"/>
          <w:szCs w:val="20"/>
          <w:color w:val="auto"/>
        </w:rPr>
      </w:pPr>
      <w:r>
        <w:rPr>
          <w:rFonts w:ascii="Times New Roman" w:cs="Times New Roman" w:eastAsia="Times New Roman" w:hAnsi="Times New Roman"/>
          <w:sz w:val="16"/>
          <w:szCs w:val="16"/>
          <w:color w:val="auto"/>
        </w:rPr>
        <w:t>Based on its current operating plans, Fulcrum expects that its current cash, cash equivalents, and marketable securities will be sufficient to fund its operating requirements into 2028.</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Fulcrum Therapeutics</w:t>
      </w:r>
    </w:p>
    <w:p>
      <w:pPr>
        <w:spacing w:after="0" w:line="16"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6"/>
          <w:szCs w:val="16"/>
          <w:color w:val="auto"/>
        </w:rPr>
        <w:t xml:space="preserve">Fulcrum Therapeutics is a clinical-stage biopharmaceutical company focused on developing small molecules to improve the lives of patients with genetically defined rare diseases in areas of high unmet medical need. Fulcrum’s lead clinical program is pociredir, a small molecule designed to increase expression of HbF for the treatment of SCD. Fulcrum uses proprietary technology to identify drug targets that can modulate gene expression to treat the known root cause of gene mis-expression. For more information, visit </w:t>
      </w:r>
      <w:r>
        <w:rPr>
          <w:rFonts w:ascii="Times New Roman" w:cs="Times New Roman" w:eastAsia="Times New Roman" w:hAnsi="Times New Roman"/>
          <w:sz w:val="16"/>
          <w:szCs w:val="16"/>
          <w:color w:val="0000FF"/>
        </w:rPr>
        <w:t>www.fulcrumtx.com</w:t>
      </w:r>
      <w:r>
        <w:rPr>
          <w:rFonts w:ascii="Times New Roman" w:cs="Times New Roman" w:eastAsia="Times New Roman" w:hAnsi="Times New Roman"/>
          <w:sz w:val="16"/>
          <w:szCs w:val="16"/>
          <w:color w:val="auto"/>
        </w:rPr>
        <w:t xml:space="preserve"> and follow us on X (@FulcrumTx) and LinkedIn.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Pociredir</w:t>
      </w:r>
    </w:p>
    <w:p>
      <w:pPr>
        <w:spacing w:after="0" w:line="1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6"/>
          <w:szCs w:val="16"/>
          <w:color w:val="auto"/>
        </w:rPr>
        <w:t xml:space="preserve">Pociredir is an investigational oral small-molecule inhibitor of EED that was discovered using Fulcrum’s proprietary discovery technology. Inhibition of EED leads to potent downregulation of key fetal globin repressors, including BCL11A, thereby causing an increase in HbF. Pociredir is being developed for the treatment of SCD. Initial data in SCD in the PIONEER Phase 1b clinical trial showed proof-of -concept and achieved absolute levels of HbF increases associated with potential overall patient benefit. Through the completion of the 12 mg dose cohort, pociredir was demonstrated to be generally well -tolerated in people with SCD with up to three months of exposure, with no treatment-related SAEs reported. Pociredir has been granted FDA Fast Track designation and Orphan Drug Designation for the treatment of SCD. To learn more about clinical trials of pociredir please visit </w:t>
      </w:r>
      <w:r>
        <w:rPr>
          <w:rFonts w:ascii="Times New Roman" w:cs="Times New Roman" w:eastAsia="Times New Roman" w:hAnsi="Times New Roman"/>
          <w:sz w:val="16"/>
          <w:szCs w:val="16"/>
          <w:color w:val="0000FF"/>
        </w:rPr>
        <w:t>ClinicalTrials.gov</w:t>
      </w:r>
      <w:r>
        <w:rPr>
          <w:rFonts w:ascii="Times New Roman" w:cs="Times New Roman" w:eastAsia="Times New Roman" w:hAnsi="Times New Roman"/>
          <w:sz w:val="16"/>
          <w:szCs w:val="16"/>
          <w:color w:val="auto"/>
        </w:rPr>
        <w: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Sickle Cell Disease</w:t>
      </w:r>
    </w:p>
    <w:p>
      <w:pPr>
        <w:spacing w:after="0" w:line="16"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6"/>
          <w:szCs w:val="16"/>
          <w:color w:val="auto"/>
        </w:rPr>
        <w:t>SCD is a genetic disorder of the red blood cells caused by a mutation in the HBB gene. This gene encodes a protein that is a key component of hemoglobin, a protein complex whose function is to transport oxygen in the body. The result of the mutation is less efficient oxygen transport and the formation of red blood cells that have a sickle shape. These sickle shaped cells are much less flexible than healthy cells and can block blood vessels or rupture cells. People with SCD typically suffer from serious clinical consequences, which may include anemia, pain, infections, stroke, heart disease, pulmonary hypertension, kidney failure, liver disease, and reduced life expectancy.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19" w:right="70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9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This press release contains “forward-looking statements” within the meaning of the Private Securities Litigation Reform Act of 1995 that involve substantial risks and uncertainties. All statements, other than statements of historical facts, contained in this press release are forward-looking statements, including express or implied statements regarding Fulcrum’s Phase 1b PIONEER clinical trial of pociredir, including planned data announcement for such trial; the potential of pociredir to increase HbF to levels that could ameliorate symptoms of SCD and transform the standard of care; Fulcrum’s ability to progress its early stage development programs and planned IND filings related thereto; and its projected cash runway, among others. The words “anticipate,” “believe,” “continue,” “could,” “estimate,” “expect,” “intend,” “may,” “plan,” “potential,” “predict,” “project,” “should,” “target,” “will,” “would” and similar expressions are intended to identify forward-looking statements, although not all forward- looking statements contain these identifying words. Any forward- 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Fulcrum’s ability to continue to advance its product candidates in clinical trials, including progressing early stage candidates into the clinic; initiating and enrolling clinical trials on the timeline expected or at all; obtaining and maintaining necessary approvals from the FDA and other regulatory authorities; replicating in clinical trials positive results found in preclinical studies and/or earlier-stage clinical trials; obtaining, maintaining or protecting intellectual property rights related to its product candidates; managing expenses; realizing the anticipated benefits of the workforce reduction and strategic realignment and managing risks associated therewith; and raising the substantial additional capital needed to achieve its business objectives, among others. For a discussion of other risks and uncertainties, and other important factors, any of which could cause Fulcrum’s actual results to differ from those contained in the forward-looking statements, see the “Risk Factors” section, as well as discussions of potential risks, uncertainties, and other important factors, in Fulcrum’s most recent filings with the Securities and Exchange Commission. In addition, the forward-looking statements included in this press release represent Fulcrum’s views as of the date hereof and should not be relied upon as representing Fulcrum’s views as of any date subsequent to the date hereof. Fulcrum anticipates that subsequent events and developments will cause Fulcrum’s views to change. However, while Fulcrum may elect to update these forward-looking statements at some point in the future, Fulcrum specifically disclaims any obligation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968375</wp:posOffset>
            </wp:positionV>
            <wp:extent cx="67329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Fulcrum Therapeutics, Inc.</w:t>
      </w:r>
    </w:p>
    <w:p>
      <w:pPr>
        <w:spacing w:after="0" w:line="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Selected Consolidated Balance Sheet Data</w:t>
      </w:r>
    </w:p>
    <w:p>
      <w:pPr>
        <w:spacing w:after="0" w:line="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80" w:type="dxa"/>
            <w:vAlign w:val="bottom"/>
          </w:tcPr>
          <w:p>
            <w:pPr>
              <w:jc w:val="right"/>
              <w:ind w:right="386"/>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340" w:type="dxa"/>
            <w:vAlign w:val="bottom"/>
          </w:tcPr>
          <w:p>
            <w:pPr>
              <w:spacing w:after="0"/>
              <w:rPr>
                <w:sz w:val="13"/>
                <w:szCs w:val="13"/>
                <w:color w:val="auto"/>
              </w:rPr>
            </w:pPr>
          </w:p>
        </w:tc>
        <w:tc>
          <w:tcPr>
            <w:tcW w:w="1340" w:type="dxa"/>
            <w:vAlign w:val="bottom"/>
          </w:tcPr>
          <w:p>
            <w:pPr>
              <w:jc w:val="right"/>
              <w:ind w:right="366"/>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0"/>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jc w:val="right"/>
              <w:ind w:right="666"/>
              <w:spacing w:after="0"/>
              <w:rPr>
                <w:sz w:val="20"/>
                <w:szCs w:val="20"/>
                <w:color w:val="auto"/>
              </w:rPr>
            </w:pPr>
            <w:r>
              <w:rPr>
                <w:rFonts w:ascii="Times New Roman" w:cs="Times New Roman" w:eastAsia="Times New Roman" w:hAnsi="Times New Roman"/>
                <w:sz w:val="13"/>
                <w:szCs w:val="13"/>
                <w:b w:val="1"/>
                <w:bCs w:val="1"/>
                <w:color w:val="auto"/>
              </w:rPr>
              <w:t>2025</w:t>
            </w:r>
          </w:p>
        </w:tc>
        <w:tc>
          <w:tcPr>
            <w:tcW w:w="340" w:type="dxa"/>
            <w:vAlign w:val="bottom"/>
          </w:tcPr>
          <w:p>
            <w:pPr>
              <w:spacing w:after="0"/>
              <w:rPr>
                <w:sz w:val="14"/>
                <w:szCs w:val="14"/>
                <w:color w:val="auto"/>
              </w:rPr>
            </w:pPr>
          </w:p>
        </w:tc>
        <w:tc>
          <w:tcPr>
            <w:tcW w:w="1340" w:type="dxa"/>
            <w:vAlign w:val="bottom"/>
          </w:tcPr>
          <w:p>
            <w:pPr>
              <w:jc w:val="right"/>
              <w:ind w:right="606"/>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80"/>
        </w:trPr>
        <w:tc>
          <w:tcPr>
            <w:tcW w:w="20" w:type="dxa"/>
            <w:vAlign w:val="bottom"/>
          </w:tcPr>
          <w:p>
            <w:pPr>
              <w:spacing w:after="0"/>
              <w:rPr>
                <w:sz w:val="15"/>
                <w:szCs w:val="15"/>
                <w:color w:val="auto"/>
              </w:rPr>
            </w:pPr>
          </w:p>
        </w:tc>
        <w:tc>
          <w:tcPr>
            <w:tcW w:w="60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Cash, cash equivalents, and marketable securities</w:t>
            </w:r>
          </w:p>
        </w:tc>
        <w:tc>
          <w:tcPr>
            <w:tcW w:w="14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ind w:right="66"/>
              <w:spacing w:after="0" w:line="180" w:lineRule="exact"/>
              <w:rPr>
                <w:sz w:val="20"/>
                <w:szCs w:val="20"/>
                <w:color w:val="auto"/>
              </w:rPr>
            </w:pPr>
            <w:r>
              <w:rPr>
                <w:rFonts w:ascii="Times New Roman" w:cs="Times New Roman" w:eastAsia="Times New Roman" w:hAnsi="Times New Roman"/>
                <w:sz w:val="16"/>
                <w:szCs w:val="16"/>
                <w:color w:val="auto"/>
              </w:rPr>
              <w:t>200,645</w:t>
            </w:r>
          </w:p>
        </w:tc>
        <w:tc>
          <w:tcPr>
            <w:tcW w:w="3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ind w:right="6"/>
              <w:spacing w:after="0" w:line="180" w:lineRule="exact"/>
              <w:rPr>
                <w:sz w:val="20"/>
                <w:szCs w:val="20"/>
                <w:color w:val="auto"/>
              </w:rPr>
            </w:pPr>
            <w:r>
              <w:rPr>
                <w:rFonts w:ascii="Times New Roman" w:cs="Times New Roman" w:eastAsia="Times New Roman" w:hAnsi="Times New Roman"/>
                <w:sz w:val="16"/>
                <w:szCs w:val="16"/>
                <w:color w:val="auto"/>
              </w:rPr>
              <w:t>241,021</w:t>
            </w:r>
          </w:p>
        </w:tc>
      </w:tr>
      <w:tr>
        <w:trPr>
          <w:trHeight w:val="180"/>
        </w:trPr>
        <w:tc>
          <w:tcPr>
            <w:tcW w:w="20" w:type="dxa"/>
            <w:vAlign w:val="bottom"/>
          </w:tcPr>
          <w:p>
            <w:pPr>
              <w:spacing w:after="0"/>
              <w:rPr>
                <w:sz w:val="15"/>
                <w:szCs w:val="15"/>
                <w:color w:val="auto"/>
              </w:rPr>
            </w:pPr>
          </w:p>
        </w:tc>
        <w:tc>
          <w:tcPr>
            <w:tcW w:w="606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Working capital</w:t>
            </w:r>
            <w:r>
              <w:rPr>
                <w:rFonts w:ascii="Times New Roman" w:cs="Times New Roman" w:eastAsia="Times New Roman" w:hAnsi="Times New Roman"/>
                <w:sz w:val="20"/>
                <w:szCs w:val="20"/>
                <w:color w:val="auto"/>
                <w:vertAlign w:val="superscript"/>
              </w:rPr>
              <w:t>(1)</w:t>
            </w:r>
          </w:p>
        </w:tc>
        <w:tc>
          <w:tcPr>
            <w:tcW w:w="1440" w:type="dxa"/>
            <w:vAlign w:val="bottom"/>
          </w:tcPr>
          <w:p>
            <w:pPr>
              <w:spacing w:after="0"/>
              <w:rPr>
                <w:sz w:val="15"/>
                <w:szCs w:val="15"/>
                <w:color w:val="auto"/>
              </w:rPr>
            </w:pPr>
          </w:p>
        </w:tc>
        <w:tc>
          <w:tcPr>
            <w:tcW w:w="1380" w:type="dxa"/>
            <w:vAlign w:val="bottom"/>
          </w:tcPr>
          <w:p>
            <w:pPr>
              <w:jc w:val="right"/>
              <w:ind w:right="66"/>
              <w:spacing w:after="0" w:line="180" w:lineRule="exact"/>
              <w:rPr>
                <w:sz w:val="20"/>
                <w:szCs w:val="20"/>
                <w:color w:val="auto"/>
              </w:rPr>
            </w:pPr>
            <w:r>
              <w:rPr>
                <w:rFonts w:ascii="Times New Roman" w:cs="Times New Roman" w:eastAsia="Times New Roman" w:hAnsi="Times New Roman"/>
                <w:sz w:val="16"/>
                <w:szCs w:val="16"/>
                <w:color w:val="auto"/>
              </w:rPr>
              <w:t>194,231</w:t>
            </w:r>
          </w:p>
        </w:tc>
        <w:tc>
          <w:tcPr>
            <w:tcW w:w="340" w:type="dxa"/>
            <w:vAlign w:val="bottom"/>
          </w:tcPr>
          <w:p>
            <w:pPr>
              <w:spacing w:after="0"/>
              <w:rPr>
                <w:sz w:val="15"/>
                <w:szCs w:val="15"/>
                <w:color w:val="auto"/>
              </w:rPr>
            </w:pPr>
          </w:p>
        </w:tc>
        <w:tc>
          <w:tcPr>
            <w:tcW w:w="1340" w:type="dxa"/>
            <w:vAlign w:val="bottom"/>
          </w:tcPr>
          <w:p>
            <w:pPr>
              <w:jc w:val="right"/>
              <w:ind w:right="6"/>
              <w:spacing w:after="0" w:line="180" w:lineRule="exact"/>
              <w:rPr>
                <w:sz w:val="20"/>
                <w:szCs w:val="20"/>
                <w:color w:val="auto"/>
              </w:rPr>
            </w:pPr>
            <w:r>
              <w:rPr>
                <w:rFonts w:ascii="Times New Roman" w:cs="Times New Roman" w:eastAsia="Times New Roman" w:hAnsi="Times New Roman"/>
                <w:sz w:val="16"/>
                <w:szCs w:val="16"/>
                <w:color w:val="auto"/>
              </w:rPr>
              <w:t>238,879</w:t>
            </w:r>
          </w:p>
        </w:tc>
      </w:tr>
      <w:tr>
        <w:trPr>
          <w:trHeight w:val="180"/>
        </w:trPr>
        <w:tc>
          <w:tcPr>
            <w:tcW w:w="20" w:type="dxa"/>
            <w:vAlign w:val="bottom"/>
          </w:tcPr>
          <w:p>
            <w:pPr>
              <w:spacing w:after="0"/>
              <w:rPr>
                <w:sz w:val="15"/>
                <w:szCs w:val="15"/>
                <w:color w:val="auto"/>
              </w:rPr>
            </w:pPr>
          </w:p>
        </w:tc>
        <w:tc>
          <w:tcPr>
            <w:tcW w:w="60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assets</w:t>
            </w:r>
          </w:p>
        </w:tc>
        <w:tc>
          <w:tcPr>
            <w:tcW w:w="1440" w:type="dxa"/>
            <w:vAlign w:val="bottom"/>
            <w:shd w:val="clear" w:color="auto" w:fill="CFF0FC"/>
          </w:tcPr>
          <w:p>
            <w:pPr>
              <w:spacing w:after="0"/>
              <w:rPr>
                <w:sz w:val="15"/>
                <w:szCs w:val="15"/>
                <w:color w:val="auto"/>
              </w:rPr>
            </w:pPr>
          </w:p>
        </w:tc>
        <w:tc>
          <w:tcPr>
            <w:tcW w:w="1380" w:type="dxa"/>
            <w:vAlign w:val="bottom"/>
            <w:shd w:val="clear" w:color="auto" w:fill="CFF0FC"/>
          </w:tcPr>
          <w:p>
            <w:pPr>
              <w:jc w:val="right"/>
              <w:ind w:right="66"/>
              <w:spacing w:after="0" w:line="180" w:lineRule="exact"/>
              <w:rPr>
                <w:sz w:val="20"/>
                <w:szCs w:val="20"/>
                <w:color w:val="auto"/>
              </w:rPr>
            </w:pPr>
            <w:r>
              <w:rPr>
                <w:rFonts w:ascii="Times New Roman" w:cs="Times New Roman" w:eastAsia="Times New Roman" w:hAnsi="Times New Roman"/>
                <w:sz w:val="16"/>
                <w:szCs w:val="16"/>
                <w:color w:val="auto"/>
              </w:rPr>
              <w:t>214,858</w:t>
            </w: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
              <w:spacing w:after="0" w:line="180" w:lineRule="exact"/>
              <w:rPr>
                <w:sz w:val="20"/>
                <w:szCs w:val="20"/>
                <w:color w:val="auto"/>
              </w:rPr>
            </w:pPr>
            <w:r>
              <w:rPr>
                <w:rFonts w:ascii="Times New Roman" w:cs="Times New Roman" w:eastAsia="Times New Roman" w:hAnsi="Times New Roman"/>
                <w:sz w:val="16"/>
                <w:szCs w:val="16"/>
                <w:color w:val="auto"/>
              </w:rPr>
              <w:t>260,718</w:t>
            </w:r>
          </w:p>
        </w:tc>
      </w:tr>
      <w:tr>
        <w:trPr>
          <w:trHeight w:val="191"/>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440" w:type="dxa"/>
            <w:vAlign w:val="bottom"/>
          </w:tcPr>
          <w:p>
            <w:pPr>
              <w:spacing w:after="0"/>
              <w:rPr>
                <w:sz w:val="16"/>
                <w:szCs w:val="16"/>
                <w:color w:val="auto"/>
              </w:rPr>
            </w:pPr>
          </w:p>
        </w:tc>
        <w:tc>
          <w:tcPr>
            <w:tcW w:w="1380" w:type="dxa"/>
            <w:vAlign w:val="bottom"/>
          </w:tcPr>
          <w:p>
            <w:pPr>
              <w:jc w:val="right"/>
              <w:ind w:right="66"/>
              <w:spacing w:after="0"/>
              <w:rPr>
                <w:sz w:val="20"/>
                <w:szCs w:val="20"/>
                <w:color w:val="auto"/>
              </w:rPr>
            </w:pPr>
            <w:r>
              <w:rPr>
                <w:rFonts w:ascii="Times New Roman" w:cs="Times New Roman" w:eastAsia="Times New Roman" w:hAnsi="Times New Roman"/>
                <w:sz w:val="16"/>
                <w:szCs w:val="16"/>
                <w:color w:val="auto"/>
              </w:rPr>
              <w:t>198,366</w:t>
            </w:r>
          </w:p>
        </w:tc>
        <w:tc>
          <w:tcPr>
            <w:tcW w:w="340" w:type="dxa"/>
            <w:vAlign w:val="bottom"/>
          </w:tcPr>
          <w:p>
            <w:pPr>
              <w:spacing w:after="0"/>
              <w:rPr>
                <w:sz w:val="16"/>
                <w:szCs w:val="16"/>
                <w:color w:val="auto"/>
              </w:rPr>
            </w:pPr>
          </w:p>
        </w:tc>
        <w:tc>
          <w:tcPr>
            <w:tcW w:w="134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243,034</w:t>
            </w:r>
          </w:p>
        </w:tc>
      </w:tr>
      <w:tr>
        <w:trPr>
          <w:trHeight w:val="203"/>
        </w:trPr>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 Fulcrum defines working capital as current assets minus current liabilities.</w:t>
            </w:r>
          </w:p>
        </w:tc>
        <w:tc>
          <w:tcPr>
            <w:tcW w:w="1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986"/>
        </w:trPr>
        <w:tc>
          <w:tcPr>
            <w:tcW w:w="20" w:type="dxa"/>
            <w:vAlign w:val="bottom"/>
          </w:tcPr>
          <w:p>
            <w:pPr>
              <w:spacing w:after="0"/>
              <w:rPr>
                <w:sz w:val="24"/>
                <w:szCs w:val="24"/>
                <w:color w:val="auto"/>
              </w:rPr>
            </w:pPr>
          </w:p>
        </w:tc>
        <w:tc>
          <w:tcPr>
            <w:tcW w:w="6060" w:type="dxa"/>
            <w:vAlign w:val="bottom"/>
            <w:tcBorders>
              <w:bottom w:val="single" w:sz="8" w:color="EEEEEE"/>
            </w:tcBorders>
          </w:tcPr>
          <w:p>
            <w:pPr>
              <w:spacing w:after="0"/>
              <w:rPr>
                <w:sz w:val="24"/>
                <w:szCs w:val="24"/>
                <w:color w:val="auto"/>
              </w:rPr>
            </w:pPr>
          </w:p>
        </w:tc>
        <w:tc>
          <w:tcPr>
            <w:tcW w:w="1440" w:type="dxa"/>
            <w:vAlign w:val="bottom"/>
            <w:tcBorders>
              <w:bottom w:val="single" w:sz="8" w:color="EEEEEE"/>
            </w:tcBorders>
          </w:tcPr>
          <w:p>
            <w:pPr>
              <w:spacing w:after="0"/>
              <w:rPr>
                <w:sz w:val="24"/>
                <w:szCs w:val="24"/>
                <w:color w:val="auto"/>
              </w:rPr>
            </w:pPr>
          </w:p>
        </w:tc>
        <w:tc>
          <w:tcPr>
            <w:tcW w:w="138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13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40" w:top="1131" w:right="68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Fulcrum Therapeutics, Inc.</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40" w:type="dxa"/>
            <w:vAlign w:val="bottom"/>
            <w:gridSpan w:val="5"/>
          </w:tcPr>
          <w:p>
            <w:pPr>
              <w:jc w:val="right"/>
              <w:ind w:right="622"/>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40" w:type="dxa"/>
            <w:vAlign w:val="bottom"/>
            <w:gridSpan w:val="6"/>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47"/>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ind w:right="32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right"/>
              <w:ind w:right="32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Collaboration revenue</w:t>
            </w:r>
          </w:p>
        </w:tc>
        <w:tc>
          <w:tcPr>
            <w:tcW w:w="2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81"/>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80,000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0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shd w:val="clear" w:color="auto" w:fill="CFF0FC"/>
          </w:tcPr>
          <w:p>
            <w:pPr>
              <w:spacing w:after="0"/>
              <w:rPr>
                <w:sz w:val="15"/>
                <w:szCs w:val="15"/>
                <w:color w:val="auto"/>
              </w:rPr>
            </w:pPr>
          </w:p>
        </w:tc>
        <w:tc>
          <w:tcPr>
            <w:tcW w:w="84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14,296</w:t>
            </w: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14,639</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40,687</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51,673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0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tcPr>
          <w:p>
            <w:pPr>
              <w:spacing w:after="0"/>
              <w:rPr>
                <w:sz w:val="15"/>
                <w:szCs w:val="15"/>
                <w:color w:val="auto"/>
              </w:rPr>
            </w:pPr>
          </w:p>
        </w:tc>
        <w:tc>
          <w:tcPr>
            <w:tcW w:w="1040" w:type="dxa"/>
            <w:vAlign w:val="bottom"/>
            <w:gridSpan w:val="2"/>
          </w:tcPr>
          <w:p>
            <w:pPr>
              <w:jc w:val="right"/>
              <w:ind w:right="181"/>
              <w:spacing w:after="0" w:line="180" w:lineRule="exact"/>
              <w:rPr>
                <w:sz w:val="20"/>
                <w:szCs w:val="20"/>
                <w:color w:val="auto"/>
              </w:rPr>
            </w:pPr>
            <w:r>
              <w:rPr>
                <w:rFonts w:ascii="Times New Roman" w:cs="Times New Roman" w:eastAsia="Times New Roman" w:hAnsi="Times New Roman"/>
                <w:sz w:val="16"/>
                <w:szCs w:val="16"/>
                <w:color w:val="auto"/>
              </w:rPr>
              <w:t>7,562</w:t>
            </w:r>
          </w:p>
        </w:tc>
        <w:tc>
          <w:tcPr>
            <w:tcW w:w="340" w:type="dxa"/>
            <w:vAlign w:val="bottom"/>
          </w:tcPr>
          <w:p>
            <w:pPr>
              <w:spacing w:after="0"/>
              <w:rPr>
                <w:sz w:val="15"/>
                <w:szCs w:val="15"/>
                <w:color w:val="auto"/>
              </w:rPr>
            </w:pPr>
          </w:p>
        </w:tc>
        <w:tc>
          <w:tcPr>
            <w:tcW w:w="860" w:type="dxa"/>
            <w:vAlign w:val="bottom"/>
            <w:gridSpan w:val="2"/>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8,424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21,389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28,732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0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Restructuring expenses</w:t>
            </w:r>
          </w:p>
        </w:tc>
        <w:tc>
          <w:tcPr>
            <w:tcW w:w="2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81"/>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2,063</w:t>
            </w: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2,063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21,858</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25,126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62,076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82,468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Loss from operations</w:t>
            </w:r>
          </w:p>
        </w:tc>
        <w:tc>
          <w:tcPr>
            <w:tcW w:w="2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21"/>
              <w:spacing w:after="0" w:line="180" w:lineRule="exact"/>
              <w:rPr>
                <w:sz w:val="20"/>
                <w:szCs w:val="20"/>
                <w:color w:val="auto"/>
              </w:rPr>
            </w:pPr>
            <w:r>
              <w:rPr>
                <w:rFonts w:ascii="Times New Roman" w:cs="Times New Roman" w:eastAsia="Times New Roman" w:hAnsi="Times New Roman"/>
                <w:sz w:val="16"/>
                <w:szCs w:val="16"/>
                <w:color w:val="auto"/>
              </w:rPr>
              <w:t>(21,858)</w:t>
            </w:r>
          </w:p>
        </w:tc>
        <w:tc>
          <w:tcPr>
            <w:tcW w:w="3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(25,126)</w:t>
            </w: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(62,076)</w:t>
            </w: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(2,468)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income, net</w:t>
            </w:r>
          </w:p>
        </w:tc>
        <w:tc>
          <w:tcPr>
            <w:tcW w:w="240" w:type="dxa"/>
            <w:vAlign w:val="bottom"/>
          </w:tcPr>
          <w:p>
            <w:pPr>
              <w:spacing w:after="0"/>
              <w:rPr>
                <w:sz w:val="15"/>
                <w:szCs w:val="15"/>
                <w:color w:val="auto"/>
              </w:rPr>
            </w:pPr>
          </w:p>
        </w:tc>
        <w:tc>
          <w:tcPr>
            <w:tcW w:w="1040" w:type="dxa"/>
            <w:vAlign w:val="bottom"/>
            <w:gridSpan w:val="2"/>
          </w:tcPr>
          <w:p>
            <w:pPr>
              <w:jc w:val="right"/>
              <w:ind w:right="181"/>
              <w:spacing w:after="0" w:line="180" w:lineRule="exact"/>
              <w:rPr>
                <w:sz w:val="20"/>
                <w:szCs w:val="20"/>
                <w:color w:val="auto"/>
              </w:rPr>
            </w:pPr>
            <w:r>
              <w:rPr>
                <w:rFonts w:ascii="Times New Roman" w:cs="Times New Roman" w:eastAsia="Times New Roman" w:hAnsi="Times New Roman"/>
                <w:sz w:val="16"/>
                <w:szCs w:val="16"/>
                <w:color w:val="auto"/>
              </w:rPr>
              <w:t>2,263</w:t>
            </w:r>
          </w:p>
        </w:tc>
        <w:tc>
          <w:tcPr>
            <w:tcW w:w="340" w:type="dxa"/>
            <w:vAlign w:val="bottom"/>
          </w:tcPr>
          <w:p>
            <w:pPr>
              <w:spacing w:after="0"/>
              <w:rPr>
                <w:sz w:val="15"/>
                <w:szCs w:val="15"/>
                <w:color w:val="auto"/>
              </w:rPr>
            </w:pPr>
          </w:p>
        </w:tc>
        <w:tc>
          <w:tcPr>
            <w:tcW w:w="860" w:type="dxa"/>
            <w:vAlign w:val="bottom"/>
            <w:gridSpan w:val="2"/>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3,430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7,530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9,311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50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6"/>
                <w:szCs w:val="16"/>
                <w:color w:val="auto"/>
              </w:rPr>
              <w:t>Net (loss) income</w:t>
            </w:r>
          </w:p>
        </w:tc>
        <w:tc>
          <w:tcPr>
            <w:tcW w:w="240" w:type="dxa"/>
            <w:vAlign w:val="bottom"/>
            <w:shd w:val="clear" w:color="auto" w:fill="CFF0FC"/>
          </w:tcPr>
          <w:p>
            <w:pPr>
              <w:jc w:val="right"/>
              <w:ind w:right="8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FF0FC"/>
          </w:tcPr>
          <w:p>
            <w:pPr>
              <w:jc w:val="right"/>
              <w:ind w:right="121"/>
              <w:spacing w:after="0" w:line="160" w:lineRule="exact"/>
              <w:rPr>
                <w:sz w:val="20"/>
                <w:szCs w:val="20"/>
                <w:color w:val="auto"/>
              </w:rPr>
            </w:pPr>
            <w:r>
              <w:rPr>
                <w:rFonts w:ascii="Times New Roman" w:cs="Times New Roman" w:eastAsia="Times New Roman" w:hAnsi="Times New Roman"/>
                <w:sz w:val="11"/>
                <w:szCs w:val="11"/>
                <w:color w:val="auto"/>
              </w:rPr>
              <w:t>(19,595</w:t>
            </w:r>
            <w:r>
              <w:rPr>
                <w:rFonts w:ascii="Times New Roman" w:cs="Times New Roman" w:eastAsia="Times New Roman" w:hAnsi="Times New Roman"/>
                <w:sz w:val="18"/>
                <w:szCs w:val="18"/>
                <w:color w:val="auto"/>
                <w:vertAlign w:val="subscript"/>
              </w:rPr>
              <w:t>)</w:t>
            </w:r>
          </w:p>
        </w:tc>
        <w:tc>
          <w:tcPr>
            <w:tcW w:w="340" w:type="dxa"/>
            <w:vAlign w:val="bottom"/>
            <w:shd w:val="clear" w:color="auto" w:fill="CFF0FC"/>
          </w:tcPr>
          <w:p>
            <w:pPr>
              <w:jc w:val="right"/>
              <w:ind w:right="18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FF0FC"/>
          </w:tcPr>
          <w:p>
            <w:pPr>
              <w:jc w:val="right"/>
              <w:ind w:right="2"/>
              <w:spacing w:after="0" w:line="160" w:lineRule="exact"/>
              <w:rPr>
                <w:sz w:val="20"/>
                <w:szCs w:val="20"/>
                <w:color w:val="auto"/>
              </w:rPr>
            </w:pPr>
            <w:r>
              <w:rPr>
                <w:rFonts w:ascii="Times New Roman" w:cs="Times New Roman" w:eastAsia="Times New Roman" w:hAnsi="Times New Roman"/>
                <w:sz w:val="11"/>
                <w:szCs w:val="11"/>
                <w:color w:val="auto"/>
              </w:rPr>
              <w:t>(21,696</w:t>
            </w:r>
            <w:r>
              <w:rPr>
                <w:rFonts w:ascii="Times New Roman" w:cs="Times New Roman" w:eastAsia="Times New Roman" w:hAnsi="Times New Roman"/>
                <w:sz w:val="18"/>
                <w:szCs w:val="18"/>
                <w:color w:val="auto"/>
                <w:vertAlign w:val="subscript"/>
              </w:rPr>
              <w:t>)</w:t>
            </w:r>
          </w:p>
        </w:tc>
        <w:tc>
          <w:tcPr>
            <w:tcW w:w="320" w:type="dxa"/>
            <w:vAlign w:val="bottom"/>
            <w:gridSpan w:val="2"/>
            <w:shd w:val="clear" w:color="auto" w:fill="CFF0FC"/>
          </w:tcPr>
          <w:p>
            <w:pPr>
              <w:jc w:val="right"/>
              <w:ind w:right="82"/>
              <w:spacing w:after="0" w:line="16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2"/>
              <w:spacing w:after="0" w:line="160" w:lineRule="exact"/>
              <w:rPr>
                <w:sz w:val="20"/>
                <w:szCs w:val="20"/>
                <w:color w:val="auto"/>
              </w:rPr>
            </w:pPr>
            <w:r>
              <w:rPr>
                <w:rFonts w:ascii="Times New Roman" w:cs="Times New Roman" w:eastAsia="Times New Roman" w:hAnsi="Times New Roman"/>
                <w:sz w:val="11"/>
                <w:szCs w:val="11"/>
                <w:color w:val="auto"/>
              </w:rPr>
              <w:t>(54,546</w:t>
            </w:r>
            <w:r>
              <w:rPr>
                <w:rFonts w:ascii="Times New Roman" w:cs="Times New Roman" w:eastAsia="Times New Roman" w:hAnsi="Times New Roman"/>
                <w:sz w:val="18"/>
                <w:szCs w:val="18"/>
                <w:color w:val="auto"/>
                <w:vertAlign w:val="subscript"/>
              </w:rPr>
              <w:t>)</w:t>
            </w:r>
          </w:p>
        </w:tc>
        <w:tc>
          <w:tcPr>
            <w:tcW w:w="440" w:type="dxa"/>
            <w:vAlign w:val="bottom"/>
            <w:gridSpan w:val="2"/>
            <w:shd w:val="clear" w:color="auto" w:fill="CFF0FC"/>
          </w:tcPr>
          <w:p>
            <w:pPr>
              <w:jc w:val="right"/>
              <w:ind w:right="202"/>
              <w:spacing w:after="0" w:line="16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FF0FC"/>
          </w:tcPr>
          <w:p>
            <w:pPr>
              <w:jc w:val="right"/>
              <w:ind w:right="100"/>
              <w:spacing w:after="0" w:line="160" w:lineRule="exact"/>
              <w:rPr>
                <w:sz w:val="20"/>
                <w:szCs w:val="20"/>
                <w:color w:val="auto"/>
              </w:rPr>
            </w:pPr>
            <w:r>
              <w:rPr>
                <w:rFonts w:ascii="Times New Roman" w:cs="Times New Roman" w:eastAsia="Times New Roman" w:hAnsi="Times New Roman"/>
                <w:sz w:val="16"/>
                <w:szCs w:val="16"/>
                <w:color w:val="auto"/>
              </w:rPr>
              <w:t>6,843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550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Net (loss) income per share, basic</w:t>
            </w:r>
          </w:p>
        </w:tc>
        <w:tc>
          <w:tcPr>
            <w:tcW w:w="240" w:type="dxa"/>
            <w:vAlign w:val="bottom"/>
          </w:tcPr>
          <w:p>
            <w:pPr>
              <w:jc w:val="right"/>
              <w:ind w:right="82"/>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121"/>
              <w:spacing w:after="0" w:line="156" w:lineRule="exact"/>
              <w:rPr>
                <w:sz w:val="20"/>
                <w:szCs w:val="20"/>
                <w:color w:val="auto"/>
              </w:rPr>
            </w:pPr>
            <w:r>
              <w:rPr>
                <w:rFonts w:ascii="Times New Roman" w:cs="Times New Roman" w:eastAsia="Times New Roman" w:hAnsi="Times New Roman"/>
                <w:sz w:val="11"/>
                <w:szCs w:val="11"/>
                <w:color w:val="auto"/>
              </w:rPr>
              <w:t>(0.31</w:t>
            </w:r>
            <w:r>
              <w:rPr>
                <w:rFonts w:ascii="Times New Roman" w:cs="Times New Roman" w:eastAsia="Times New Roman" w:hAnsi="Times New Roman"/>
                <w:sz w:val="18"/>
                <w:szCs w:val="18"/>
                <w:color w:val="auto"/>
                <w:vertAlign w:val="subscript"/>
              </w:rPr>
              <w:t>)</w:t>
            </w:r>
          </w:p>
        </w:tc>
        <w:tc>
          <w:tcPr>
            <w:tcW w:w="340" w:type="dxa"/>
            <w:vAlign w:val="bottom"/>
          </w:tcPr>
          <w:p>
            <w:pPr>
              <w:jc w:val="right"/>
              <w:ind w:right="182"/>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2"/>
              <w:spacing w:after="0" w:line="156" w:lineRule="exact"/>
              <w:rPr>
                <w:sz w:val="20"/>
                <w:szCs w:val="20"/>
                <w:color w:val="auto"/>
              </w:rPr>
            </w:pPr>
            <w:r>
              <w:rPr>
                <w:rFonts w:ascii="Times New Roman" w:cs="Times New Roman" w:eastAsia="Times New Roman" w:hAnsi="Times New Roman"/>
                <w:sz w:val="11"/>
                <w:szCs w:val="11"/>
                <w:color w:val="auto"/>
              </w:rPr>
              <w:t>(0.35</w:t>
            </w:r>
            <w:r>
              <w:rPr>
                <w:rFonts w:ascii="Times New Roman" w:cs="Times New Roman" w:eastAsia="Times New Roman" w:hAnsi="Times New Roman"/>
                <w:sz w:val="18"/>
                <w:szCs w:val="18"/>
                <w:color w:val="auto"/>
                <w:vertAlign w:val="subscript"/>
              </w:rPr>
              <w:t>)</w:t>
            </w:r>
          </w:p>
        </w:tc>
        <w:tc>
          <w:tcPr>
            <w:tcW w:w="320" w:type="dxa"/>
            <w:vAlign w:val="bottom"/>
            <w:gridSpan w:val="2"/>
          </w:tcPr>
          <w:p>
            <w:pPr>
              <w:jc w:val="right"/>
              <w:ind w:right="82"/>
              <w:spacing w:after="0" w:line="156"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
              <w:spacing w:after="0" w:line="156" w:lineRule="exact"/>
              <w:rPr>
                <w:sz w:val="20"/>
                <w:szCs w:val="20"/>
                <w:color w:val="auto"/>
              </w:rPr>
            </w:pPr>
            <w:r>
              <w:rPr>
                <w:rFonts w:ascii="Times New Roman" w:cs="Times New Roman" w:eastAsia="Times New Roman" w:hAnsi="Times New Roman"/>
                <w:sz w:val="11"/>
                <w:szCs w:val="11"/>
                <w:color w:val="auto"/>
              </w:rPr>
              <w:t>(0.87</w:t>
            </w:r>
            <w:r>
              <w:rPr>
                <w:rFonts w:ascii="Times New Roman" w:cs="Times New Roman" w:eastAsia="Times New Roman" w:hAnsi="Times New Roman"/>
                <w:sz w:val="18"/>
                <w:szCs w:val="18"/>
                <w:color w:val="auto"/>
                <w:vertAlign w:val="subscript"/>
              </w:rPr>
              <w:t>)</w:t>
            </w:r>
          </w:p>
        </w:tc>
        <w:tc>
          <w:tcPr>
            <w:tcW w:w="440" w:type="dxa"/>
            <w:vAlign w:val="bottom"/>
            <w:gridSpan w:val="2"/>
          </w:tcPr>
          <w:p>
            <w:pPr>
              <w:jc w:val="right"/>
              <w:ind w:right="202"/>
              <w:spacing w:after="0" w:line="156"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500" w:type="dxa"/>
            <w:vAlign w:val="bottom"/>
            <w:tcBorders>
              <w:bottom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Net (loss) income per share, diluted</w:t>
            </w:r>
          </w:p>
        </w:tc>
        <w:tc>
          <w:tcPr>
            <w:tcW w:w="240" w:type="dxa"/>
            <w:vAlign w:val="bottom"/>
            <w:tcBorders>
              <w:bottom w:val="single" w:sz="8" w:color="auto"/>
            </w:tcBorders>
            <w:shd w:val="clear" w:color="auto" w:fill="CFF0FC"/>
          </w:tcPr>
          <w:p>
            <w:pPr>
              <w:jc w:val="right"/>
              <w:ind w:right="82"/>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right w:val="single" w:sz="8" w:color="CFF0FC"/>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(0.31</w:t>
            </w:r>
          </w:p>
        </w:tc>
        <w:tc>
          <w:tcPr>
            <w:tcW w:w="200" w:type="dxa"/>
            <w:vAlign w:val="bottom"/>
            <w:tcBorders>
              <w:bottom w:val="single" w:sz="8" w:color="CFF0FC"/>
            </w:tcBorders>
            <w:shd w:val="clear" w:color="auto" w:fill="CFF0FC"/>
          </w:tcPr>
          <w:p>
            <w:pPr>
              <w:jc w:val="right"/>
              <w:ind w:right="121"/>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Borders>
              <w:bottom w:val="single" w:sz="8" w:color="auto"/>
            </w:tcBorders>
            <w:shd w:val="clear" w:color="auto" w:fill="CFF0FC"/>
          </w:tcPr>
          <w:p>
            <w:pPr>
              <w:jc w:val="right"/>
              <w:ind w:right="182"/>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(0.35</w:t>
            </w:r>
          </w:p>
        </w:tc>
        <w:tc>
          <w:tcPr>
            <w:tcW w:w="140" w:type="dxa"/>
            <w:vAlign w:val="bottom"/>
            <w:tcBorders>
              <w:bottom w:val="single" w:sz="8" w:color="CFF0FC"/>
            </w:tcBorders>
            <w:shd w:val="clear" w:color="auto" w:fill="CFF0FC"/>
          </w:tcPr>
          <w:p>
            <w:pPr>
              <w:jc w:val="right"/>
              <w:ind w:right="2"/>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2"/>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(0.87</w:t>
            </w:r>
          </w:p>
        </w:tc>
        <w:tc>
          <w:tcPr>
            <w:tcW w:w="140" w:type="dxa"/>
            <w:vAlign w:val="bottom"/>
            <w:tcBorders>
              <w:bottom w:val="single" w:sz="8" w:color="CFF0FC"/>
            </w:tcBorders>
            <w:shd w:val="clear" w:color="auto" w:fill="CFF0FC"/>
          </w:tcPr>
          <w:p>
            <w:pPr>
              <w:jc w:val="right"/>
              <w:ind w:right="2"/>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202"/>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0.11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0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Weighted-average common shares outstanding, basic</w:t>
            </w: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rPr>
              <w:t>62,597</w:t>
            </w:r>
          </w:p>
        </w:tc>
        <w:tc>
          <w:tcPr>
            <w:tcW w:w="2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rPr>
              <w:t>62,409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rPr>
              <w:t>62,537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rPr>
              <w:t>62,200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500" w:type="dxa"/>
            <w:vAlign w:val="bottom"/>
            <w:tcBorders>
              <w:bottom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Weighted-average common shares outstanding, diluted</w:t>
            </w:r>
          </w:p>
        </w:tc>
        <w:tc>
          <w:tcPr>
            <w:tcW w:w="2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right w:val="single" w:sz="8" w:color="CFF0FC"/>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62,597</w:t>
            </w:r>
          </w:p>
        </w:tc>
        <w:tc>
          <w:tcPr>
            <w:tcW w:w="2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62,409</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62,537</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63,688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Contact: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Kevin Gardner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LifeSci Advisors, LLC</w:t>
      </w:r>
    </w:p>
    <w:p>
      <w:pPr>
        <w:spacing w:after="0" w:line="234" w:lineRule="auto"/>
        <w:rPr>
          <w:sz w:val="20"/>
          <w:szCs w:val="20"/>
          <w:color w:val="auto"/>
        </w:rPr>
      </w:pPr>
      <w:r>
        <w:rPr>
          <w:rFonts w:ascii="Times New Roman" w:cs="Times New Roman" w:eastAsia="Times New Roman" w:hAnsi="Times New Roman"/>
          <w:sz w:val="16"/>
          <w:szCs w:val="16"/>
          <w:color w:val="auto"/>
        </w:rPr>
        <w:t>kgardner@lifesciadvisors.com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617-283-2856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8" w:name="page9"/>
    <w:bookmarkEnd w:id="8"/>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2025-10-29T06:23:37Z</dcterms:created>
  <dcterms:modified xsi:type="dcterms:W3CDTF">2025-10-29T06:23:37Z</dcterms:modified>
</cp:coreProperties>
</file>