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00" w:lineRule="exact"/>
        <w:rPr>
          <w:sz w:val="24"/>
          <w:szCs w:val="24"/>
          <w:color w:val="auto"/>
        </w:rPr>
      </w:pPr>
    </w:p>
    <w:p>
      <w:pPr>
        <w:ind w:left="3880" w:right="1260" w:hanging="3872"/>
        <w:spacing w:after="0" w:line="375" w:lineRule="auto"/>
        <w:tabs>
          <w:tab w:leader="none" w:pos="87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880" w:hanging="872"/>
        <w:spacing w:after="0"/>
        <w:tabs>
          <w:tab w:leader="none" w:pos="8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8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3689350</wp:posOffset>
            </wp:positionH>
            <wp:positionV relativeFrom="paragraph">
              <wp:posOffset>-7620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001-38978</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2"/>
          </w:tcPr>
          <w:p>
            <w:pPr>
              <w:jc w:val="center"/>
              <w:ind w:left="1058"/>
              <w:spacing w:after="0"/>
              <w:rPr>
                <w:sz w:val="20"/>
                <w:szCs w:val="20"/>
                <w:color w:val="auto"/>
              </w:rPr>
            </w:pPr>
            <w:r>
              <w:rPr>
                <w:rFonts w:ascii="Arial" w:cs="Arial" w:eastAsia="Arial" w:hAnsi="Arial"/>
                <w:sz w:val="18"/>
                <w:szCs w:val="18"/>
                <w:b w:val="1"/>
                <w:bCs w:val="1"/>
                <w:color w:val="auto"/>
                <w:w w:val="91"/>
              </w:rPr>
              <w:t>Delaware</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80" w:type="dxa"/>
            <w:vAlign w:val="bottom"/>
          </w:tcPr>
          <w:p>
            <w:pPr>
              <w:jc w:val="right"/>
              <w:ind w:right="2301"/>
              <w:spacing w:after="0"/>
              <w:rPr>
                <w:sz w:val="20"/>
                <w:szCs w:val="20"/>
                <w:color w:val="auto"/>
              </w:rPr>
            </w:pPr>
            <w:r>
              <w:rPr>
                <w:rFonts w:ascii="Arial" w:cs="Arial" w:eastAsia="Arial" w:hAnsi="Arial"/>
                <w:sz w:val="18"/>
                <w:szCs w:val="18"/>
                <w:b w:val="1"/>
                <w:bCs w:val="1"/>
                <w:color w:val="auto"/>
              </w:rPr>
              <w:t>47-4839948</w:t>
            </w:r>
          </w:p>
        </w:tc>
        <w:tc>
          <w:tcPr>
            <w:tcW w:w="0" w:type="dxa"/>
            <w:vAlign w:val="bottom"/>
          </w:tcPr>
          <w:p>
            <w:pPr>
              <w:spacing w:after="0"/>
              <w:rPr>
                <w:sz w:val="1"/>
                <w:szCs w:val="1"/>
                <w:color w:val="auto"/>
              </w:rPr>
            </w:pPr>
          </w:p>
        </w:tc>
      </w:tr>
      <w:tr>
        <w:trPr>
          <w:trHeight w:val="153"/>
        </w:trPr>
        <w:tc>
          <w:tcPr>
            <w:tcW w:w="4500" w:type="dxa"/>
            <w:vAlign w:val="bottom"/>
            <w:gridSpan w:val="2"/>
          </w:tcPr>
          <w:p>
            <w:pPr>
              <w:jc w:val="center"/>
              <w:ind w:left="1058"/>
              <w:spacing w:after="0" w:line="153" w:lineRule="exact"/>
              <w:rPr>
                <w:sz w:val="20"/>
                <w:szCs w:val="20"/>
                <w:color w:val="auto"/>
              </w:rPr>
            </w:pPr>
            <w:r>
              <w:rPr>
                <w:rFonts w:ascii="Arial" w:cs="Arial" w:eastAsia="Arial" w:hAnsi="Arial"/>
                <w:sz w:val="14"/>
                <w:szCs w:val="14"/>
                <w:b w:val="1"/>
                <w:bCs w:val="1"/>
                <w:color w:val="auto"/>
                <w:w w:val="93"/>
              </w:rPr>
              <w:t>(State or other jurisdiction of</w:t>
            </w: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580" w:type="dxa"/>
            <w:vAlign w:val="bottom"/>
          </w:tcPr>
          <w:p>
            <w:pPr>
              <w:jc w:val="center"/>
              <w:ind w:right="1941"/>
              <w:spacing w:after="0" w:line="153"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0"/>
        </w:trPr>
        <w:tc>
          <w:tcPr>
            <w:tcW w:w="4500" w:type="dxa"/>
            <w:vAlign w:val="bottom"/>
            <w:gridSpan w:val="2"/>
          </w:tcPr>
          <w:p>
            <w:pPr>
              <w:jc w:val="center"/>
              <w:ind w:left="1058"/>
              <w:spacing w:after="0"/>
              <w:rPr>
                <w:sz w:val="20"/>
                <w:szCs w:val="20"/>
                <w:color w:val="auto"/>
              </w:rPr>
            </w:pPr>
            <w:r>
              <w:rPr>
                <w:rFonts w:ascii="Arial" w:cs="Arial" w:eastAsia="Arial" w:hAnsi="Arial"/>
                <w:sz w:val="14"/>
                <w:szCs w:val="14"/>
                <w:b w:val="1"/>
                <w:bCs w:val="1"/>
                <w:color w:val="auto"/>
                <w:w w:val="94"/>
              </w:rPr>
              <w:t>incorporation or organization)</w:t>
            </w: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80" w:type="dxa"/>
            <w:vAlign w:val="bottom"/>
          </w:tcPr>
          <w:p>
            <w:pPr>
              <w:jc w:val="center"/>
              <w:ind w:right="196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16"/>
        </w:trPr>
        <w:tc>
          <w:tcPr>
            <w:tcW w:w="4500" w:type="dxa"/>
            <w:vAlign w:val="bottom"/>
            <w:gridSpan w:val="2"/>
          </w:tcPr>
          <w:p>
            <w:pPr>
              <w:jc w:val="center"/>
              <w:ind w:left="1038"/>
              <w:spacing w:after="0"/>
              <w:rPr>
                <w:sz w:val="20"/>
                <w:szCs w:val="20"/>
                <w:color w:val="auto"/>
              </w:rPr>
            </w:pPr>
            <w:r>
              <w:rPr>
                <w:rFonts w:ascii="Arial" w:cs="Arial" w:eastAsia="Arial" w:hAnsi="Arial"/>
                <w:sz w:val="18"/>
                <w:szCs w:val="18"/>
                <w:b w:val="1"/>
                <w:bCs w:val="1"/>
                <w:color w:val="auto"/>
                <w:w w:val="88"/>
              </w:rPr>
              <w:t>26 Landsdowne Street</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gridSpan w:val="2"/>
          </w:tcPr>
          <w:p>
            <w:pPr>
              <w:ind w:left="1760"/>
              <w:spacing w:after="0"/>
              <w:rPr>
                <w:sz w:val="20"/>
                <w:szCs w:val="20"/>
                <w:color w:val="auto"/>
              </w:rPr>
            </w:pPr>
            <w:r>
              <w:rPr>
                <w:rFonts w:ascii="Arial" w:cs="Arial" w:eastAsia="Arial" w:hAnsi="Arial"/>
                <w:sz w:val="18"/>
                <w:szCs w:val="18"/>
                <w:b w:val="1"/>
                <w:bCs w:val="1"/>
                <w:color w:val="auto"/>
              </w:rPr>
              <w:t>Cambridge, Massachusetts</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580" w:type="dxa"/>
            <w:vAlign w:val="bottom"/>
          </w:tcPr>
          <w:p>
            <w:pPr>
              <w:jc w:val="right"/>
              <w:ind w:right="2501"/>
              <w:spacing w:after="0"/>
              <w:rPr>
                <w:sz w:val="20"/>
                <w:szCs w:val="20"/>
                <w:color w:val="auto"/>
              </w:rPr>
            </w:pPr>
            <w:r>
              <w:rPr>
                <w:rFonts w:ascii="Arial" w:cs="Arial" w:eastAsia="Arial" w:hAnsi="Arial"/>
                <w:sz w:val="18"/>
                <w:szCs w:val="18"/>
                <w:b w:val="1"/>
                <w:bCs w:val="1"/>
                <w:color w:val="auto"/>
              </w:rPr>
              <w:t>02139</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3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580" w:type="dxa"/>
            <w:vAlign w:val="bottom"/>
          </w:tcPr>
          <w:p>
            <w:pPr>
              <w:jc w:val="center"/>
              <w:ind w:right="196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18"/>
        </w:trPr>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gridSpan w:val="2"/>
          </w:tcPr>
          <w:p>
            <w:pPr>
              <w:jc w:val="right"/>
              <w:ind w:right="421"/>
              <w:spacing w:after="0"/>
              <w:rPr>
                <w:sz w:val="20"/>
                <w:szCs w:val="20"/>
                <w:color w:val="auto"/>
              </w:rPr>
            </w:pPr>
            <w:r>
              <w:rPr>
                <w:rFonts w:ascii="Arial" w:cs="Arial" w:eastAsia="Arial" w:hAnsi="Arial"/>
                <w:sz w:val="18"/>
                <w:szCs w:val="18"/>
                <w:b w:val="1"/>
                <w:bCs w:val="1"/>
                <w:color w:val="auto"/>
              </w:rPr>
              <w:t>(617) 651-8851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60" w:type="dxa"/>
            <w:vAlign w:val="bottom"/>
            <w:gridSpan w:val="7"/>
          </w:tcPr>
          <w:p>
            <w:pPr>
              <w:jc w:val="center"/>
              <w:ind w:left="3518"/>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500" w:type="dxa"/>
            <w:vAlign w:val="bottom"/>
            <w:gridSpan w:val="2"/>
            <w:vMerge w:val="restart"/>
          </w:tcPr>
          <w:p>
            <w:pPr>
              <w:ind w:left="520"/>
              <w:spacing w:after="0"/>
              <w:rPr>
                <w:sz w:val="20"/>
                <w:szCs w:val="20"/>
                <w:color w:val="auto"/>
              </w:rPr>
            </w:pPr>
            <w:r>
              <w:rPr>
                <w:rFonts w:ascii="Arial" w:cs="Arial" w:eastAsia="Arial" w:hAnsi="Arial"/>
                <w:sz w:val="17"/>
                <w:szCs w:val="17"/>
                <w:color w:val="auto"/>
                <w:w w:val="91"/>
              </w:rPr>
              <w:t>Securities registered pursuant to Section 12(b) of the Act:</w:t>
            </w:r>
          </w:p>
        </w:tc>
        <w:tc>
          <w:tcPr>
            <w:tcW w:w="12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3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45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4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24"/>
                <w:szCs w:val="24"/>
                <w:color w:val="auto"/>
              </w:rPr>
            </w:pPr>
          </w:p>
        </w:tc>
        <w:tc>
          <w:tcPr>
            <w:tcW w:w="304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92"/>
              </w:rPr>
              <w:t>Trading Symbol(s)</w:t>
            </w:r>
          </w:p>
        </w:tc>
        <w:tc>
          <w:tcPr>
            <w:tcW w:w="3580" w:type="dxa"/>
            <w:vAlign w:val="bottom"/>
          </w:tcPr>
          <w:p>
            <w:pPr>
              <w:jc w:val="center"/>
              <w:ind w:right="801"/>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10"/>
        </w:trPr>
        <w:tc>
          <w:tcPr>
            <w:tcW w:w="44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Common stock, par value $0.001 per share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9"/>
              </w:rPr>
              <w:t>FULC</w:t>
            </w:r>
          </w:p>
        </w:tc>
        <w:tc>
          <w:tcPr>
            <w:tcW w:w="140" w:type="dxa"/>
            <w:vAlign w:val="bottom"/>
            <w:gridSpan w:val="2"/>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580" w:type="dxa"/>
            <w:vAlign w:val="bottom"/>
            <w:tcBorders>
              <w:top w:val="single" w:sz="8" w:color="auto"/>
            </w:tcBorders>
          </w:tcPr>
          <w:p>
            <w:pPr>
              <w:jc w:val="center"/>
              <w:ind w:right="801"/>
              <w:spacing w:after="0"/>
              <w:rPr>
                <w:sz w:val="20"/>
                <w:szCs w:val="20"/>
                <w:color w:val="auto"/>
              </w:rPr>
            </w:pPr>
            <w:r>
              <w:rPr>
                <w:rFonts w:ascii="Arial" w:cs="Arial" w:eastAsia="Arial" w:hAnsi="Arial"/>
                <w:sz w:val="17"/>
                <w:szCs w:val="17"/>
                <w:color w:val="auto"/>
                <w:w w:val="91"/>
              </w:rPr>
              <w:t>The Nasdaq Global Market</w:t>
            </w:r>
          </w:p>
        </w:tc>
        <w:tc>
          <w:tcPr>
            <w:tcW w:w="0" w:type="dxa"/>
            <w:vAlign w:val="bottom"/>
          </w:tcPr>
          <w:p>
            <w:pPr>
              <w:spacing w:after="0"/>
              <w:rPr>
                <w:sz w:val="1"/>
                <w:szCs w:val="1"/>
                <w:color w:val="auto"/>
              </w:rPr>
            </w:pPr>
          </w:p>
        </w:tc>
      </w:tr>
    </w:tbl>
    <w:p>
      <w:pPr>
        <w:spacing w:after="0" w:line="117" w:lineRule="exact"/>
        <w:rPr>
          <w:sz w:val="24"/>
          <w:szCs w:val="24"/>
          <w:color w:val="auto"/>
        </w:rPr>
      </w:pPr>
    </w:p>
    <w:p>
      <w:pPr>
        <w:ind w:right="80" w:firstLine="509"/>
        <w:spacing w:after="0" w:line="291"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p>
      <w:pPr>
        <w:spacing w:after="0" w:line="1" w:lineRule="exact"/>
        <w:rPr>
          <w:sz w:val="24"/>
          <w:szCs w:val="24"/>
          <w:color w:val="auto"/>
        </w:rPr>
      </w:pPr>
    </w:p>
    <w:p>
      <w:pPr>
        <w:spacing w:after="0" w:line="196" w:lineRule="exact"/>
        <w:tabs>
          <w:tab w:leader="none" w:pos="4440" w:val="left"/>
          <w:tab w:leader="none" w:pos="5100" w:val="left"/>
        </w:tabs>
        <w:rPr>
          <w:sz w:val="20"/>
          <w:szCs w:val="20"/>
          <w:color w:val="auto"/>
        </w:rPr>
      </w:pPr>
      <w:r>
        <w:rPr>
          <w:rFonts w:ascii="Arial" w:cs="Arial" w:eastAsia="Arial" w:hAnsi="Arial"/>
          <w:sz w:val="17"/>
          <w:szCs w:val="17"/>
          <w:color w:val="auto"/>
        </w:rPr>
        <w:t>for the past 90 days.</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15" w:lineRule="exact"/>
        <w:rPr>
          <w:sz w:val="24"/>
          <w:szCs w:val="24"/>
          <w:color w:val="auto"/>
        </w:rPr>
      </w:pPr>
    </w:p>
    <w:p>
      <w:pPr>
        <w:ind w:right="120"/>
        <w:spacing w:after="0" w:line="27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6" w:lineRule="exact"/>
        <w:tabs>
          <w:tab w:leader="none" w:pos="66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115" w:lineRule="exact"/>
        <w:rPr>
          <w:sz w:val="24"/>
          <w:szCs w:val="24"/>
          <w:color w:val="auto"/>
        </w:rPr>
      </w:pPr>
    </w:p>
    <w:p>
      <w:pPr>
        <w:ind w:right="260" w:firstLine="509"/>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287"/>
        </w:trPr>
        <w:tc>
          <w:tcPr>
            <w:tcW w:w="19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6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3100"/>
              <w:spacing w:after="0"/>
              <w:rPr>
                <w:sz w:val="20"/>
                <w:szCs w:val="20"/>
                <w:color w:val="auto"/>
              </w:rPr>
            </w:pPr>
            <w:r>
              <w:rPr>
                <w:rFonts w:ascii="Arial" w:cs="Arial" w:eastAsia="Arial" w:hAnsi="Arial"/>
                <w:sz w:val="17"/>
                <w:szCs w:val="17"/>
                <w:color w:val="auto"/>
              </w:rPr>
              <w:t>Accelerated filer</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92"/>
        </w:trPr>
        <w:tc>
          <w:tcPr>
            <w:tcW w:w="1940" w:type="dxa"/>
            <w:vAlign w:val="bottom"/>
          </w:tcPr>
          <w:p>
            <w:pPr>
              <w:spacing w:after="0"/>
              <w:rPr>
                <w:sz w:val="20"/>
                <w:szCs w:val="20"/>
                <w:color w:val="auto"/>
              </w:rPr>
            </w:pPr>
            <w:r>
              <w:rPr>
                <w:rFonts w:ascii="Arial" w:cs="Arial" w:eastAsia="Arial" w:hAnsi="Arial"/>
                <w:sz w:val="17"/>
                <w:szCs w:val="17"/>
                <w:color w:val="auto"/>
              </w:rPr>
              <w:t>Non-accelerated filer</w:t>
            </w:r>
          </w:p>
        </w:tc>
        <w:tc>
          <w:tcPr>
            <w:tcW w:w="36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3100"/>
              <w:spacing w:after="0"/>
              <w:rPr>
                <w:sz w:val="20"/>
                <w:szCs w:val="20"/>
                <w:color w:val="auto"/>
              </w:rPr>
            </w:pPr>
            <w:r>
              <w:rPr>
                <w:rFonts w:ascii="Arial" w:cs="Arial" w:eastAsia="Arial" w:hAnsi="Arial"/>
                <w:sz w:val="17"/>
                <w:szCs w:val="17"/>
                <w:color w:val="auto"/>
              </w:rPr>
              <w:t>Smaller reporting company</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91"/>
        </w:trPr>
        <w:tc>
          <w:tcPr>
            <w:tcW w:w="19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220" w:type="dxa"/>
            <w:vAlign w:val="bottom"/>
          </w:tcPr>
          <w:p>
            <w:pPr>
              <w:ind w:left="3100"/>
              <w:spacing w:after="0"/>
              <w:rPr>
                <w:sz w:val="20"/>
                <w:szCs w:val="20"/>
                <w:color w:val="auto"/>
              </w:rPr>
            </w:pPr>
            <w:r>
              <w:rPr>
                <w:rFonts w:ascii="Arial" w:cs="Arial" w:eastAsia="Arial" w:hAnsi="Arial"/>
                <w:sz w:val="17"/>
                <w:szCs w:val="17"/>
                <w:color w:val="auto"/>
              </w:rPr>
              <w:t>Emerging growth company</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93" w:lineRule="exact"/>
        <w:rPr>
          <w:sz w:val="24"/>
          <w:szCs w:val="24"/>
          <w:color w:val="auto"/>
        </w:rPr>
      </w:pPr>
    </w:p>
    <w:p>
      <w:pPr>
        <w:jc w:val="both"/>
        <w:spacing w:after="0" w:line="23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8" w:lineRule="exact"/>
        <w:rPr>
          <w:sz w:val="24"/>
          <w:szCs w:val="24"/>
          <w:color w:val="auto"/>
        </w:rPr>
      </w:pPr>
    </w:p>
    <w:p>
      <w:pPr>
        <w:spacing w:after="0" w:line="196" w:lineRule="exact"/>
        <w:tabs>
          <w:tab w:leader="none" w:pos="7940" w:val="left"/>
          <w:tab w:leader="none" w:pos="87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57" w:lineRule="exact"/>
        <w:rPr>
          <w:sz w:val="24"/>
          <w:szCs w:val="24"/>
          <w:color w:val="auto"/>
        </w:rPr>
      </w:pPr>
    </w:p>
    <w:p>
      <w:pPr>
        <w:ind w:left="520"/>
        <w:spacing w:after="0"/>
        <w:rPr>
          <w:sz w:val="20"/>
          <w:szCs w:val="20"/>
          <w:color w:val="auto"/>
        </w:rPr>
      </w:pPr>
      <w:r>
        <w:rPr>
          <w:rFonts w:ascii="Arial" w:cs="Arial" w:eastAsia="Arial" w:hAnsi="Arial"/>
          <w:sz w:val="17"/>
          <w:szCs w:val="17"/>
          <w:color w:val="auto"/>
        </w:rPr>
        <w:t>As of July 27, 2023, the registrant had 61,822,554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and include, among other statements, statements regarding:</w:t>
      </w:r>
    </w:p>
    <w:p>
      <w:pPr>
        <w:spacing w:after="0" w:line="100" w:lineRule="exact"/>
        <w:rPr>
          <w:sz w:val="20"/>
          <w:szCs w:val="20"/>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ongoing clinical trials of losmapimod;</w:t>
      </w:r>
    </w:p>
    <w:p>
      <w:pPr>
        <w:spacing w:after="0" w:line="117" w:lineRule="exact"/>
        <w:rPr>
          <w:rFonts w:ascii="Arial" w:cs="Arial" w:eastAsia="Arial" w:hAnsi="Arial"/>
          <w:sz w:val="18"/>
          <w:szCs w:val="18"/>
          <w:color w:val="auto"/>
        </w:rPr>
      </w:pPr>
    </w:p>
    <w:p>
      <w:pPr>
        <w:ind w:left="900" w:right="120" w:hanging="383"/>
        <w:spacing w:after="0" w:line="34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resume clinical trials of FTX-6058 by resolving the full clinical hold placed by the U.S. Food and Drug Administration, or FDA, on our investigational new drug application, or IND, for FTX-6058 for the treatment of sickle cell disease, or SCD, on February 23, 2023;</w:t>
      </w:r>
    </w:p>
    <w:p>
      <w:pPr>
        <w:spacing w:after="0" w:line="15" w:lineRule="exact"/>
        <w:rPr>
          <w:rFonts w:ascii="Arial" w:cs="Arial" w:eastAsia="Arial" w:hAnsi="Arial"/>
          <w:sz w:val="16"/>
          <w:szCs w:val="16"/>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our organizational streamlining and realignment of resources, including our anticipated cash runway;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drug target discovery screening programs;</w:t>
      </w:r>
    </w:p>
    <w:p>
      <w:pPr>
        <w:spacing w:after="0" w:line="117" w:lineRule="exact"/>
        <w:rPr>
          <w:rFonts w:ascii="Arial" w:cs="Arial" w:eastAsia="Arial" w:hAnsi="Arial"/>
          <w:sz w:val="18"/>
          <w:szCs w:val="18"/>
          <w:color w:val="auto"/>
        </w:rPr>
      </w:pPr>
    </w:p>
    <w:p>
      <w:pPr>
        <w:ind w:left="900" w:right="38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 future preclinical studies and clinical trials and our research and development programs;</w:t>
      </w:r>
    </w:p>
    <w:p>
      <w:pPr>
        <w:spacing w:after="0" w:line="62" w:lineRule="exact"/>
        <w:rPr>
          <w:rFonts w:ascii="Arial" w:cs="Arial" w:eastAsia="Arial" w:hAnsi="Arial"/>
          <w:sz w:val="18"/>
          <w:szCs w:val="18"/>
          <w:color w:val="auto"/>
        </w:rPr>
      </w:pPr>
    </w:p>
    <w:p>
      <w:pPr>
        <w:ind w:left="900" w:right="36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develop and, if approved, subsequently commercialize losmapimod, FTX-6058 and any other product candidates, including in combination with other drugs and therapies;</w:t>
      </w:r>
    </w:p>
    <w:p>
      <w:pPr>
        <w:spacing w:after="0" w:line="62"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submit applications for, and obtain and maintain regulatory approvals for losmapimod, FTX-6058 and any other product candidates;</w:t>
      </w:r>
    </w:p>
    <w:p>
      <w:pPr>
        <w:spacing w:after="0" w:line="62"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fund our operating expenses and capital expenditure requirements with our cash, cash equivalents, and marketable securities;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 if our product candidates are approved;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17" w:lineRule="exact"/>
        <w:rPr>
          <w:rFonts w:ascii="Arial" w:cs="Arial" w:eastAsia="Arial" w:hAnsi="Arial"/>
          <w:sz w:val="18"/>
          <w:szCs w:val="18"/>
          <w:color w:val="auto"/>
        </w:rPr>
      </w:pPr>
    </w:p>
    <w:p>
      <w:pPr>
        <w:ind w:left="900" w:right="620" w:hanging="383"/>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progress and results of our collaboration with MyoKardia, Inc., or MyoKardia, a wholly-owned subsidiary of Bristol-Myers Squibb Company, or under our recent exclusive global license agreement with CAMP4 Therapeutics Corp., or CAMP4;</w:t>
      </w:r>
    </w:p>
    <w:p>
      <w:pPr>
        <w:spacing w:after="0" w:line="38" w:lineRule="exact"/>
        <w:rPr>
          <w:rFonts w:ascii="Arial" w:cs="Arial" w:eastAsia="Arial" w:hAnsi="Arial"/>
          <w:sz w:val="17"/>
          <w:szCs w:val="17"/>
          <w:color w:val="auto"/>
        </w:rPr>
      </w:pPr>
    </w:p>
    <w:p>
      <w:pPr>
        <w:ind w:left="900" w:right="6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regarding expenses, future revenue, timing of any future revenue, capital requirements and needs for additional financing;</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17" w:lineRule="exact"/>
        <w:rPr>
          <w:rFonts w:ascii="Arial" w:cs="Arial" w:eastAsia="Arial" w:hAnsi="Arial"/>
          <w:sz w:val="18"/>
          <w:szCs w:val="18"/>
          <w:color w:val="auto"/>
        </w:rPr>
      </w:pPr>
    </w:p>
    <w:p>
      <w:pPr>
        <w:ind w:left="900" w:right="4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 pandemic or an outbreak of highly infectious or contagious disease, such as the COVID-19 pandemic, on our business and operations, including our clinical trials and development plans, as well as our future financial results;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obtain additional funding; and</w:t>
      </w:r>
    </w:p>
    <w:p>
      <w:pPr>
        <w:spacing w:after="0" w:line="117"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or a smaller reporting company as defined under the federal securities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right="100" w:firstLine="509"/>
        <w:spacing w:after="0" w:line="254"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Such forward looking statements are subject to various risks and uncertainties.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and “Management’s Discussion and Analysis of Results of Operations” sections,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95" w:lineRule="exact"/>
        <w:rPr>
          <w:sz w:val="20"/>
          <w:szCs w:val="20"/>
          <w:color w:val="auto"/>
        </w:rPr>
      </w:pPr>
    </w:p>
    <w:p>
      <w:pPr>
        <w:ind w:right="220" w:firstLine="509"/>
        <w:spacing w:after="0" w:line="301"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53"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Our business is subject to a number of risks that if realized could materially affect our business, financial condition, results of operations, cash flows and access to liquidity. These risks are discussed more fully in the “Risk Factors” section of this Quarterly Report on Form 10-Q. Our principal risks include the following:</w:t>
      </w:r>
    </w:p>
    <w:p>
      <w:pPr>
        <w:spacing w:after="0" w:line="184" w:lineRule="exact"/>
        <w:rPr>
          <w:sz w:val="20"/>
          <w:szCs w:val="20"/>
          <w:color w:val="auto"/>
        </w:rPr>
      </w:pPr>
    </w:p>
    <w:p>
      <w:pPr>
        <w:jc w:val="both"/>
        <w:ind w:left="760" w:hanging="378"/>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Our net loss was $109.9 million for the year ended December 31, 2022 and $48.6 million for the six months ended June 30, 2023. We expect to incur losses over the next several years and may never achieve or maintain profitability. As of June 30, 2023, we had an accumulated deficit of $460.9 million.</w:t>
      </w:r>
    </w:p>
    <w:p>
      <w:pPr>
        <w:spacing w:after="0" w:line="183" w:lineRule="exact"/>
        <w:rPr>
          <w:rFonts w:ascii="Arial" w:cs="Arial" w:eastAsia="Arial" w:hAnsi="Arial"/>
          <w:sz w:val="18"/>
          <w:szCs w:val="18"/>
          <w:color w:val="auto"/>
        </w:rPr>
      </w:pPr>
    </w:p>
    <w:p>
      <w:pPr>
        <w:ind w:left="760" w:right="260" w:hanging="378"/>
        <w:spacing w:after="0" w:line="275"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currently subject to a full clinical hold on our IND for FTX-6058 for SCD and we withdrew our separate IND for FTX-6058 related to beta thalassemia. We will need to resolve the clinical hold issues with the FDA in order to resume our Phase 1b clinical trial in SCD or other healthy volunteer studies or pursue development of FTX-6058 for beta thalassemia and any other hemoglobinopathies. Our business may be adversely affected if the clinical hold is not resolved in a timely manner or at all, or if other regulatory concerns lead to additional delays. We cannot guarantee that we will be able to respond to FDA’s requests in order to resolve the clinical hold.</w:t>
      </w:r>
    </w:p>
    <w:p>
      <w:pPr>
        <w:spacing w:after="0" w:line="176" w:lineRule="exact"/>
        <w:rPr>
          <w:rFonts w:ascii="Arial" w:cs="Arial" w:eastAsia="Arial" w:hAnsi="Arial"/>
          <w:sz w:val="17"/>
          <w:szCs w:val="17"/>
          <w:color w:val="auto"/>
        </w:rPr>
      </w:pPr>
    </w:p>
    <w:p>
      <w:pPr>
        <w:ind w:left="760" w:right="180" w:hanging="378"/>
        <w:spacing w:after="0" w:line="301"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need substantial additional funding. If we are unable to raise capital when needed, we could be forced to delay, reduce or eliminate our product development programs or commercialization efforts. We expect to devote substantial financial resources to our ongoing and planned activities, particularly as we continue our clinical trials of losmapimod and, pending resolution of the clinical hold, of FTX-6058 and continue research and development and initiate additional clinical trials of, and seek regulatory approval for, these and other product candidates.</w:t>
      </w:r>
    </w:p>
    <w:p>
      <w:pPr>
        <w:spacing w:after="0" w:line="157" w:lineRule="exact"/>
        <w:rPr>
          <w:rFonts w:ascii="Arial" w:cs="Arial" w:eastAsia="Arial" w:hAnsi="Arial"/>
          <w:sz w:val="16"/>
          <w:szCs w:val="16"/>
          <w:color w:val="auto"/>
        </w:rPr>
      </w:pPr>
    </w:p>
    <w:p>
      <w:pPr>
        <w:ind w:left="760" w:right="56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early in our development efforts, and we only have two product candidates in clinical trials. If we are unable to commercialize our product candidates or experience significant delays in doing so, our business will be materially harmed.</w:t>
      </w:r>
    </w:p>
    <w:p>
      <w:pPr>
        <w:spacing w:after="0" w:line="170" w:lineRule="exact"/>
        <w:rPr>
          <w:rFonts w:ascii="Arial" w:cs="Arial" w:eastAsia="Arial" w:hAnsi="Arial"/>
          <w:sz w:val="18"/>
          <w:szCs w:val="18"/>
          <w:color w:val="auto"/>
        </w:rPr>
      </w:pPr>
    </w:p>
    <w:p>
      <w:pPr>
        <w:ind w:left="760" w:right="140" w:hanging="378"/>
        <w:spacing w:after="0" w:line="25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successful in our efforts to use FulcrumSeek, our proprietary product engine to build a pipeline of product candidates. A key element of our strategy is to use FulcrumSeek to identify and validate cellular drug targets that can potentially modulate gene expression to address the root cause of genetically-defined rare diseases, with an initial focus on identifying small molecules specific to the identified cellular target.</w:t>
      </w:r>
    </w:p>
    <w:p>
      <w:pPr>
        <w:spacing w:after="0" w:line="186" w:lineRule="exact"/>
        <w:rPr>
          <w:rFonts w:ascii="Arial" w:cs="Arial" w:eastAsia="Arial" w:hAnsi="Arial"/>
          <w:sz w:val="18"/>
          <w:szCs w:val="18"/>
          <w:color w:val="auto"/>
        </w:rPr>
      </w:pPr>
    </w:p>
    <w:p>
      <w:pPr>
        <w:ind w:left="760" w:right="180" w:hanging="378"/>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183" w:lineRule="exact"/>
        <w:rPr>
          <w:rFonts w:ascii="Arial" w:cs="Arial" w:eastAsia="Arial" w:hAnsi="Arial"/>
          <w:sz w:val="18"/>
          <w:szCs w:val="18"/>
          <w:color w:val="auto"/>
        </w:rPr>
      </w:pPr>
    </w:p>
    <w:p>
      <w:pPr>
        <w:jc w:val="both"/>
        <w:ind w:left="760" w:right="360" w:hanging="378"/>
        <w:spacing w:after="0" w:line="286"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Because we are developing some of our product candidates for the treatment of diseases in which there is limited clinical experience and, in some cases, using new endpoints or methodologies, the U.S. Food and Drug Administration, or FDA, or other regulatory authorities may not consider the endpoints of our clinical trials to predict or provide clinically meaningful results.</w:t>
      </w:r>
    </w:p>
    <w:p>
      <w:pPr>
        <w:spacing w:after="0" w:line="165" w:lineRule="exact"/>
        <w:rPr>
          <w:rFonts w:ascii="Arial" w:cs="Arial" w:eastAsia="Arial" w:hAnsi="Arial"/>
          <w:sz w:val="17"/>
          <w:szCs w:val="17"/>
          <w:color w:val="auto"/>
        </w:rPr>
      </w:pPr>
    </w:p>
    <w:p>
      <w:pPr>
        <w:ind w:left="760" w:right="16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serious adverse events or unacceptable side effects are identified during the development of our product candidates, we may need to abandon or limit our development of some of our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ind w:left="380" w:right="240" w:hanging="378"/>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170" w:lineRule="exact"/>
        <w:rPr>
          <w:rFonts w:ascii="Arial" w:cs="Arial" w:eastAsia="Arial" w:hAnsi="Arial"/>
          <w:sz w:val="18"/>
          <w:szCs w:val="18"/>
          <w:color w:val="auto"/>
        </w:rPr>
      </w:pPr>
    </w:p>
    <w:p>
      <w:pPr>
        <w:ind w:left="380" w:right="360" w:hanging="378"/>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and expect to continue to rely, on contract manufacturing organizations, or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183" w:lineRule="exact"/>
        <w:rPr>
          <w:rFonts w:ascii="Arial" w:cs="Arial" w:eastAsia="Arial" w:hAnsi="Arial"/>
          <w:sz w:val="18"/>
          <w:szCs w:val="18"/>
          <w:color w:val="auto"/>
        </w:rPr>
      </w:pPr>
    </w:p>
    <w:p>
      <w:pPr>
        <w:ind w:left="380" w:right="520" w:hanging="378"/>
        <w:spacing w:after="0" w:line="277"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70" w:lineRule="exact"/>
        <w:rPr>
          <w:rFonts w:ascii="Arial" w:cs="Arial" w:eastAsia="Arial" w:hAnsi="Arial"/>
          <w:sz w:val="18"/>
          <w:szCs w:val="18"/>
          <w:color w:val="auto"/>
        </w:rPr>
      </w:pPr>
    </w:p>
    <w:p>
      <w:pPr>
        <w:ind w:left="380" w:hanging="378"/>
        <w:spacing w:after="0" w:line="259"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entered into, and may in the future enter into, collaborations and license agreements with third parties for the discovery, development or commercialization of product candidates, including our collaboration with MyoKardia and our license agreement with CAMP4. If our collaboration is not successful or we are not able to develop product candidates that we license-in, we may not be able to capitalize on the market potential of these product candidates and our business could be adversely affected.</w:t>
      </w:r>
    </w:p>
    <w:p>
      <w:pPr>
        <w:spacing w:after="0" w:line="186" w:lineRule="exact"/>
        <w:rPr>
          <w:rFonts w:ascii="Arial" w:cs="Arial" w:eastAsia="Arial" w:hAnsi="Arial"/>
          <w:sz w:val="18"/>
          <w:szCs w:val="18"/>
          <w:color w:val="auto"/>
        </w:rPr>
      </w:pPr>
    </w:p>
    <w:p>
      <w:pPr>
        <w:ind w:left="380" w:right="60" w:hanging="378"/>
        <w:spacing w:after="0" w:line="311"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48" w:lineRule="exact"/>
        <w:rPr>
          <w:rFonts w:ascii="Arial" w:cs="Arial" w:eastAsia="Arial" w:hAnsi="Arial"/>
          <w:sz w:val="16"/>
          <w:szCs w:val="16"/>
          <w:color w:val="auto"/>
        </w:rPr>
      </w:pPr>
    </w:p>
    <w:p>
      <w:pPr>
        <w:ind w:left="380" w:right="580" w:hanging="378"/>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83" w:lineRule="exact"/>
        <w:rPr>
          <w:rFonts w:ascii="Arial" w:cs="Arial" w:eastAsia="Arial" w:hAnsi="Arial"/>
          <w:sz w:val="18"/>
          <w:szCs w:val="18"/>
          <w:color w:val="auto"/>
        </w:rPr>
      </w:pPr>
    </w:p>
    <w:p>
      <w:pPr>
        <w:ind w:left="380" w:right="300" w:hanging="378"/>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83" w:lineRule="exact"/>
        <w:rPr>
          <w:rFonts w:ascii="Arial" w:cs="Arial" w:eastAsia="Arial" w:hAnsi="Arial"/>
          <w:sz w:val="18"/>
          <w:szCs w:val="18"/>
          <w:color w:val="auto"/>
        </w:rPr>
      </w:pPr>
    </w:p>
    <w:p>
      <w:pPr>
        <w:jc w:val="both"/>
        <w:ind w:left="380" w:right="80" w:hanging="378"/>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was negatively impacted by the COVID-19 pandemic and may in the future be impacted by any future pandemics. In addition, this pandemic may continue to, and any future pandemics may, adversely impact economies worldwide, which could result in adverse effects on our business and operations.</w:t>
      </w:r>
    </w:p>
    <w:p>
      <w:pPr>
        <w:spacing w:after="0" w:line="18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557"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3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0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9800" w:type="dxa"/>
            <w:vAlign w:val="bottom"/>
            <w:gridSpan w:val="18"/>
          </w:tcPr>
          <w:p>
            <w:pPr>
              <w:spacing w:after="0" w:line="182" w:lineRule="exact"/>
              <w:rPr>
                <w:sz w:val="20"/>
                <w:szCs w:val="20"/>
                <w:color w:val="auto"/>
              </w:rPr>
            </w:pPr>
            <w:r>
              <w:rPr>
                <w:rFonts w:ascii="Arial" w:cs="Arial" w:eastAsia="Arial" w:hAnsi="Arial"/>
                <w:sz w:val="18"/>
                <w:szCs w:val="18"/>
                <w:color w:val="0000FF"/>
              </w:rPr>
              <w:t>FINANCIAL INFORMATION</w:t>
            </w: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8"/>
              </w:rPr>
              <w:t>Financial Statements</w:t>
            </w:r>
          </w:p>
        </w:tc>
        <w:tc>
          <w:tcPr>
            <w:tcW w:w="740" w:type="dxa"/>
            <w:vAlign w:val="bottom"/>
            <w:tcBorders>
              <w:top w:val="single" w:sz="8" w:color="0000FF"/>
            </w:tcBorders>
            <w:gridSpan w:val="3"/>
          </w:tcPr>
          <w:p>
            <w:pPr>
              <w:spacing w:after="0"/>
              <w:rPr>
                <w:sz w:val="19"/>
                <w:szCs w:val="19"/>
                <w:color w:val="auto"/>
              </w:rPr>
            </w:pPr>
          </w:p>
        </w:tc>
        <w:tc>
          <w:tcPr>
            <w:tcW w:w="7560" w:type="dxa"/>
            <w:vAlign w:val="bottom"/>
            <w:gridSpan w:val="10"/>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0" w:type="dxa"/>
            <w:vAlign w:val="bottom"/>
            <w:gridSpan w:val="18"/>
          </w:tcPr>
          <w:p>
            <w:pPr>
              <w:spacing w:after="0"/>
              <w:rPr>
                <w:sz w:val="20"/>
                <w:szCs w:val="20"/>
                <w:color w:val="auto"/>
              </w:rPr>
            </w:pPr>
            <w:r>
              <w:rPr>
                <w:rFonts w:ascii="Arial" w:cs="Arial" w:eastAsia="Arial" w:hAnsi="Arial"/>
                <w:sz w:val="18"/>
                <w:szCs w:val="18"/>
                <w:color w:val="0000FF"/>
              </w:rPr>
              <w:t>Consolidated Balance Sheets as of June 30, 2023 and December 31, 2022</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0" w:type="dxa"/>
            <w:vAlign w:val="bottom"/>
            <w:gridSpan w:val="18"/>
          </w:tcPr>
          <w:p>
            <w:pPr>
              <w:spacing w:after="0"/>
              <w:rPr>
                <w:sz w:val="20"/>
                <w:szCs w:val="20"/>
                <w:color w:val="auto"/>
              </w:rPr>
            </w:pPr>
            <w:r>
              <w:rPr>
                <w:rFonts w:ascii="Arial" w:cs="Arial" w:eastAsia="Arial" w:hAnsi="Arial"/>
                <w:sz w:val="18"/>
                <w:szCs w:val="18"/>
                <w:color w:val="0000FF"/>
                <w:w w:val="97"/>
              </w:rPr>
              <w:t>Consolidated Statements of Operations and Comprehensive Loss for the three and six months ended June 30, 2023 and 2022</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60" w:type="dxa"/>
            <w:vAlign w:val="bottom"/>
            <w:tcBorders>
              <w:top w:val="single" w:sz="8" w:color="0000FF"/>
              <w:bottom w:val="single" w:sz="8" w:color="0000EE"/>
            </w:tcBorders>
            <w:gridSpan w:val="16"/>
          </w:tcPr>
          <w:p>
            <w:pPr>
              <w:spacing w:after="0"/>
              <w:rPr>
                <w:sz w:val="20"/>
                <w:szCs w:val="20"/>
                <w:color w:val="auto"/>
              </w:rPr>
            </w:pPr>
            <w:r>
              <w:rPr>
                <w:rFonts w:ascii="Arial" w:cs="Arial" w:eastAsia="Arial" w:hAnsi="Arial"/>
                <w:sz w:val="18"/>
                <w:szCs w:val="18"/>
                <w:color w:val="0000FF"/>
                <w:w w:val="89"/>
              </w:rPr>
              <w:t>Consolidated Statements of Stockholders’ Equity for the three and six months ended June 30, 2023 and 2022</w:t>
            </w:r>
          </w:p>
        </w:tc>
        <w:tc>
          <w:tcPr>
            <w:tcW w:w="1100" w:type="dxa"/>
            <w:vAlign w:val="bottom"/>
            <w:tcBorders>
              <w:top w:val="single" w:sz="8" w:color="0000FF"/>
            </w:tcBorders>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Consolidated Statements of Cash Flows for the six months ended June 30, 2023 and 2022</w:t>
            </w:r>
          </w:p>
        </w:tc>
        <w:tc>
          <w:tcPr>
            <w:tcW w:w="3340" w:type="dxa"/>
            <w:vAlign w:val="bottom"/>
            <w:gridSpan w:val="3"/>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0" w:type="dxa"/>
            <w:vAlign w:val="bottom"/>
            <w:gridSpan w:val="18"/>
          </w:tcPr>
          <w:p>
            <w:pPr>
              <w:spacing w:after="0"/>
              <w:rPr>
                <w:sz w:val="20"/>
                <w:szCs w:val="20"/>
                <w:color w:val="auto"/>
              </w:rPr>
            </w:pPr>
            <w:r>
              <w:rPr>
                <w:rFonts w:ascii="Arial" w:cs="Arial" w:eastAsia="Arial" w:hAnsi="Arial"/>
                <w:sz w:val="18"/>
                <w:szCs w:val="18"/>
                <w:color w:val="0000FF"/>
              </w:rPr>
              <w:t>Notes to Consolidated Financial Statements</w:t>
            </w: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80" w:type="dxa"/>
            <w:vAlign w:val="bottom"/>
            <w:tcBorders>
              <w:top w:val="single" w:sz="8" w:color="0000FF"/>
            </w:tcBorders>
            <w:gridSpan w:val="2"/>
          </w:tcPr>
          <w:p>
            <w:pPr>
              <w:spacing w:after="0"/>
              <w:rPr>
                <w:sz w:val="19"/>
                <w:szCs w:val="19"/>
                <w:color w:val="auto"/>
              </w:rPr>
            </w:pPr>
          </w:p>
        </w:tc>
        <w:tc>
          <w:tcPr>
            <w:tcW w:w="3360" w:type="dxa"/>
            <w:vAlign w:val="bottom"/>
            <w:gridSpan w:val="4"/>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18"/>
          </w:tcPr>
          <w:p>
            <w:pPr>
              <w:spacing w:after="0"/>
              <w:rPr>
                <w:sz w:val="20"/>
                <w:szCs w:val="20"/>
                <w:color w:val="auto"/>
              </w:rPr>
            </w:pPr>
            <w:r>
              <w:rPr>
                <w:rFonts w:ascii="Arial" w:cs="Arial" w:eastAsia="Arial" w:hAnsi="Arial"/>
                <w:sz w:val="18"/>
                <w:szCs w:val="18"/>
                <w:color w:val="0000FF"/>
              </w:rPr>
              <w:t>Controls and Procedures</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00" w:type="dxa"/>
            <w:vAlign w:val="bottom"/>
            <w:gridSpan w:val="2"/>
            <w:vMerge w:val="continue"/>
          </w:tcPr>
          <w:p>
            <w:pPr>
              <w:spacing w:after="0"/>
              <w:rPr>
                <w:sz w:val="19"/>
                <w:szCs w:val="19"/>
                <w:color w:val="auto"/>
              </w:rPr>
            </w:pPr>
          </w:p>
        </w:tc>
        <w:tc>
          <w:tcPr>
            <w:tcW w:w="18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5"/>
              </w:rPr>
              <w:t>OTHER INFORMATION</w:t>
            </w:r>
          </w:p>
        </w:tc>
        <w:tc>
          <w:tcPr>
            <w:tcW w:w="7920" w:type="dxa"/>
            <w:vAlign w:val="bottom"/>
            <w:gridSpan w:val="11"/>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7"/>
              </w:rPr>
              <w:t>Risk Factors</w:t>
            </w:r>
          </w:p>
        </w:tc>
        <w:tc>
          <w:tcPr>
            <w:tcW w:w="420" w:type="dxa"/>
            <w:vAlign w:val="bottom"/>
            <w:tcBorders>
              <w:top w:val="single" w:sz="8" w:color="0000FF"/>
            </w:tcBorders>
            <w:gridSpan w:val="2"/>
          </w:tcPr>
          <w:p>
            <w:pPr>
              <w:spacing w:after="0"/>
              <w:rPr>
                <w:sz w:val="19"/>
                <w:szCs w:val="19"/>
                <w:color w:val="auto"/>
              </w:rPr>
            </w:pPr>
          </w:p>
        </w:tc>
        <w:tc>
          <w:tcPr>
            <w:tcW w:w="8480" w:type="dxa"/>
            <w:vAlign w:val="bottom"/>
            <w:gridSpan w:val="14"/>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0"/>
              </w:rPr>
              <w:t>Defaults Upon Senior Securities</w:t>
            </w:r>
          </w:p>
        </w:tc>
        <w:tc>
          <w:tcPr>
            <w:tcW w:w="2020" w:type="dxa"/>
            <w:vAlign w:val="bottom"/>
            <w:tcBorders>
              <w:top w:val="single" w:sz="8" w:color="0000FF"/>
            </w:tcBorders>
            <w:gridSpan w:val="2"/>
          </w:tcPr>
          <w:p>
            <w:pPr>
              <w:spacing w:after="0"/>
              <w:rPr>
                <w:sz w:val="19"/>
                <w:szCs w:val="19"/>
                <w:color w:val="auto"/>
              </w:rPr>
            </w:pPr>
          </w:p>
        </w:tc>
        <w:tc>
          <w:tcPr>
            <w:tcW w:w="5460" w:type="dxa"/>
            <w:vAlign w:val="bottom"/>
            <w:gridSpan w:val="7"/>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18"/>
          </w:tcPr>
          <w:p>
            <w:pPr>
              <w:spacing w:after="0"/>
              <w:rPr>
                <w:sz w:val="20"/>
                <w:szCs w:val="20"/>
                <w:color w:val="auto"/>
              </w:rPr>
            </w:pPr>
            <w:r>
              <w:rPr>
                <w:rFonts w:ascii="Arial" w:cs="Arial" w:eastAsia="Arial" w:hAnsi="Arial"/>
                <w:sz w:val="18"/>
                <w:szCs w:val="18"/>
                <w:color w:val="0000FF"/>
              </w:rPr>
              <w:t>Mine Safety Disclosures</w:t>
            </w: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rPr>
              <w:t>Other Information</w:t>
            </w:r>
          </w:p>
        </w:tc>
        <w:tc>
          <w:tcPr>
            <w:tcW w:w="8040" w:type="dxa"/>
            <w:vAlign w:val="bottom"/>
            <w:gridSpan w:val="12"/>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Exhibits</w:t>
            </w:r>
          </w:p>
        </w:tc>
        <w:tc>
          <w:tcPr>
            <w:tcW w:w="8500" w:type="dxa"/>
            <w:vAlign w:val="bottom"/>
            <w:gridSpan w:val="15"/>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90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this Quarterly Report on Form 10-Q, unless otherwise stated or as the context otherwise requires, references to “Fulcrum,” “Fulcrum Therapeutics,” “the Company,” “we,” “us,” “our” and similar references refer to Fulcrum Therapeutics, Inc. together with its consolidated subsidiary. The Fulcrum Therapeutics logo, FulcrumSeek and other trademarks or service marks of Fulcrum Therapeutics, Inc. appearing in this Quarterly Report on Form 10-Q are the property of Fulcrum Therapeutics, Inc. This Quarterly Report on Form 10-Q also contains registered marks, trademarks and trade names of other companies. All other trademarks, registered marks and trade names appearing herein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ind w:right="571"/>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jc w:val="right"/>
              <w:ind w:right="411"/>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2022</w:t>
            </w: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33,966</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35,098</w:t>
            </w: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20"/>
                <w:szCs w:val="20"/>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244,198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167,823</w:t>
            </w: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Unbilled accounts receivable</w:t>
            </w: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656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229</w:t>
            </w: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4,127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4,369</w:t>
            </w:r>
          </w:p>
        </w:tc>
      </w:tr>
      <w:tr>
        <w:trPr>
          <w:trHeight w:val="24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282,947</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207,519</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0"/>
                <w:szCs w:val="20"/>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6,161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6,906</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8,137</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9,063</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0"/>
                <w:szCs w:val="20"/>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1,092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1,092</w:t>
            </w: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1,995</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2,105</w:t>
            </w:r>
          </w:p>
        </w:tc>
      </w:tr>
      <w:tr>
        <w:trPr>
          <w:trHeight w:val="236"/>
        </w:trPr>
        <w:tc>
          <w:tcPr>
            <w:tcW w:w="760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300,332</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226,685</w:t>
            </w:r>
          </w:p>
        </w:tc>
      </w:tr>
      <w:tr>
        <w:trPr>
          <w:trHeight w:val="20"/>
        </w:trPr>
        <w:tc>
          <w:tcPr>
            <w:tcW w:w="7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3,909</w:t>
            </w: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3,638</w:t>
            </w: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20"/>
                <w:szCs w:val="20"/>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7,875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9,551</w:t>
            </w: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revenue, current portion</w:t>
            </w: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513</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934</w:t>
            </w: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Operating lease liability, current</w:t>
            </w: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2,507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2,602</w:t>
            </w:r>
          </w:p>
        </w:tc>
      </w:tr>
      <w:tr>
        <w:trPr>
          <w:trHeight w:val="24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14,804</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16,725</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Operating lease liability, excluding current portion</w:t>
            </w:r>
          </w:p>
        </w:tc>
        <w:tc>
          <w:tcPr>
            <w:tcW w:w="340" w:type="dxa"/>
            <w:vAlign w:val="bottom"/>
          </w:tcPr>
          <w:p>
            <w:pPr>
              <w:spacing w:after="0"/>
              <w:rPr>
                <w:sz w:val="20"/>
                <w:szCs w:val="20"/>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9,653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10,821</w:t>
            </w: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 excluding current portion</w:t>
            </w:r>
          </w:p>
        </w:tc>
        <w:tc>
          <w:tcPr>
            <w:tcW w:w="3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447</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197</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20"/>
                <w:szCs w:val="20"/>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24,904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27,743</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13)</w:t>
            </w: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5"/>
              </w:rPr>
              <w:t>Preferred stock, $0.001 par value; 5,000,000 shares authorized; no shares issued or outstanding</w:t>
            </w: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r>
      <w:tr>
        <w:trPr>
          <w:trHeight w:val="215"/>
        </w:trPr>
        <w:tc>
          <w:tcPr>
            <w:tcW w:w="7600" w:type="dxa"/>
            <w:vAlign w:val="bottom"/>
          </w:tcPr>
          <w:p>
            <w:pPr>
              <w:ind w:left="200"/>
              <w:spacing w:after="0"/>
              <w:rPr>
                <w:sz w:val="20"/>
                <w:szCs w:val="20"/>
                <w:color w:val="auto"/>
              </w:rPr>
            </w:pPr>
            <w:r>
              <w:rPr>
                <w:rFonts w:ascii="Arial" w:cs="Arial" w:eastAsia="Arial" w:hAnsi="Arial"/>
                <w:sz w:val="18"/>
                <w:szCs w:val="18"/>
                <w:color w:val="auto"/>
              </w:rPr>
              <w:t>Common stock, $0.001 par value; 200,000,000 shares authorized; 61,822,554 and</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w w:val="91"/>
              </w:rPr>
              <w:t>52,099,211 shares issued and outstanding as of June 30, 2023 and December 31, 2022, respectively</w:t>
            </w:r>
          </w:p>
        </w:tc>
        <w:tc>
          <w:tcPr>
            <w:tcW w:w="340" w:type="dxa"/>
            <w:vAlign w:val="bottom"/>
          </w:tcPr>
          <w:p>
            <w:pPr>
              <w:spacing w:after="0"/>
              <w:rPr>
                <w:sz w:val="20"/>
                <w:szCs w:val="20"/>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52</w:t>
            </w:r>
          </w:p>
        </w:tc>
      </w:tr>
      <w:tr>
        <w:trPr>
          <w:trHeight w:val="250"/>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Treasury stock, at cost; no shares</w:t>
            </w: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0"/>
                <w:szCs w:val="20"/>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737,466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612,025</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(1,200 )</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(797 )</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(460,900 )</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(412,338 )</w:t>
            </w:r>
          </w:p>
        </w:tc>
      </w:tr>
      <w:tr>
        <w:trPr>
          <w:trHeight w:val="23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275,428</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198,942</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300,332</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1"/>
              <w:spacing w:after="0"/>
              <w:rPr>
                <w:sz w:val="20"/>
                <w:szCs w:val="20"/>
                <w:color w:val="auto"/>
              </w:rPr>
            </w:pPr>
            <w:r>
              <w:rPr>
                <w:rFonts w:ascii="Arial" w:cs="Arial" w:eastAsia="Arial" w:hAnsi="Arial"/>
                <w:sz w:val="18"/>
                <w:szCs w:val="18"/>
                <w:color w:val="auto"/>
              </w:rPr>
              <w:t>226,685</w:t>
            </w:r>
          </w:p>
        </w:tc>
      </w:tr>
      <w:tr>
        <w:trPr>
          <w:trHeight w:val="20"/>
        </w:trPr>
        <w:tc>
          <w:tcPr>
            <w:tcW w:w="7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-3470910</wp:posOffset>
            </wp:positionV>
            <wp:extent cx="12890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-1885315</wp:posOffset>
            </wp:positionV>
            <wp:extent cx="12890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12890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88595"/>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r>
      <w:tr>
        <w:trPr>
          <w:trHeight w:val="185"/>
        </w:trPr>
        <w:tc>
          <w:tcPr>
            <w:tcW w:w="5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69"/>
        </w:trPr>
        <w:tc>
          <w:tcPr>
            <w:tcW w:w="5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w w:val="89"/>
              </w:rPr>
              <w:t>2022</w:t>
            </w:r>
          </w:p>
        </w:tc>
      </w:tr>
      <w:tr>
        <w:trPr>
          <w:trHeight w:val="23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880</w:t>
            </w: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1,882</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1,175</w:t>
            </w: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4,474</w:t>
            </w: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17,849</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25,019</w:t>
            </w: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34,564</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42,850</w:t>
            </w: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10,323</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11,098</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21,843</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21,857</w:t>
            </w:r>
          </w:p>
        </w:tc>
      </w:tr>
      <w:tr>
        <w:trPr>
          <w:trHeight w:val="237"/>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28,172</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36,117</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56,407</w:t>
            </w:r>
          </w:p>
        </w:tc>
        <w:tc>
          <w:tcPr>
            <w:tcW w:w="1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64,707</w:t>
            </w:r>
          </w:p>
        </w:tc>
      </w:tr>
      <w:tr>
        <w:trPr>
          <w:trHeight w:val="236"/>
        </w:trPr>
        <w:tc>
          <w:tcPr>
            <w:tcW w:w="56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(27,292 )</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(34,235 )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(55,232 )</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(60,233 )</w:t>
            </w:r>
          </w:p>
        </w:tc>
      </w:tr>
      <w:tr>
        <w:trPr>
          <w:trHeight w:val="243"/>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3,509</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165</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6,670</w:t>
            </w:r>
          </w:p>
        </w:tc>
        <w:tc>
          <w:tcPr>
            <w:tcW w:w="1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235</w:t>
            </w:r>
          </w:p>
        </w:tc>
      </w:tr>
      <w:tr>
        <w:trPr>
          <w:trHeight w:val="236"/>
        </w:trPr>
        <w:tc>
          <w:tcPr>
            <w:tcW w:w="5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(23,783 )</w:t>
            </w:r>
          </w:p>
        </w:tc>
        <w:tc>
          <w:tcPr>
            <w:tcW w:w="1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(34,070 )</w:t>
            </w:r>
          </w:p>
        </w:tc>
        <w:tc>
          <w:tcPr>
            <w:tcW w:w="16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(48,562 )</w:t>
            </w:r>
          </w:p>
        </w:tc>
        <w:tc>
          <w:tcPr>
            <w:tcW w:w="16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(59,998 )</w:t>
            </w:r>
          </w:p>
        </w:tc>
      </w:tr>
      <w:tr>
        <w:trPr>
          <w:trHeight w:val="20"/>
        </w:trPr>
        <w:tc>
          <w:tcPr>
            <w:tcW w:w="5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4"/>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per share, basic and diluted</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(0.38 )</w:t>
            </w:r>
          </w:p>
        </w:tc>
        <w:tc>
          <w:tcPr>
            <w:tcW w:w="1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(0.83 )</w:t>
            </w:r>
          </w:p>
        </w:tc>
        <w:tc>
          <w:tcPr>
            <w:tcW w:w="1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(0.80 )</w:t>
            </w:r>
          </w:p>
        </w:tc>
        <w:tc>
          <w:tcPr>
            <w:tcW w:w="16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(1.47 )</w:t>
            </w:r>
          </w:p>
        </w:tc>
      </w:tr>
      <w:tr>
        <w:trPr>
          <w:trHeight w:val="224"/>
        </w:trPr>
        <w:tc>
          <w:tcPr>
            <w:tcW w:w="564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basic and diluted</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61,794</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40,890</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60,764</w:t>
            </w: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40,768</w:t>
            </w:r>
          </w:p>
        </w:tc>
      </w:tr>
      <w:tr>
        <w:trPr>
          <w:trHeight w:val="20"/>
        </w:trPr>
        <w:tc>
          <w:tcPr>
            <w:tcW w:w="5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0"/>
        </w:trPr>
        <w:tc>
          <w:tcPr>
            <w:tcW w:w="56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(23,783 )</w:t>
            </w: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(34,070 )</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(48,562 )</w:t>
            </w:r>
          </w:p>
        </w:tc>
        <w:tc>
          <w:tcPr>
            <w:tcW w:w="5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(59,998 )</w:t>
            </w: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Other comprehensive gain (loss):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3"/>
        </w:trPr>
        <w:tc>
          <w:tcPr>
            <w:tcW w:w="5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Unrealized (loss) gain on marketable securities</w:t>
            </w: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(549 )</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(403 )</w:t>
            </w:r>
          </w:p>
        </w:tc>
        <w:tc>
          <w:tcPr>
            <w:tcW w:w="1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(671 )</w:t>
            </w:r>
          </w:p>
        </w:tc>
      </w:tr>
      <w:tr>
        <w:trPr>
          <w:trHeight w:val="237"/>
        </w:trPr>
        <w:tc>
          <w:tcPr>
            <w:tcW w:w="5640" w:type="dxa"/>
            <w:vAlign w:val="bottom"/>
          </w:tcPr>
          <w:p>
            <w:pPr>
              <w:ind w:left="300"/>
              <w:spacing w:after="0"/>
              <w:rPr>
                <w:sz w:val="20"/>
                <w:szCs w:val="20"/>
                <w:color w:val="auto"/>
              </w:rPr>
            </w:pPr>
            <w:r>
              <w:rPr>
                <w:rFonts w:ascii="Arial" w:cs="Arial" w:eastAsia="Arial" w:hAnsi="Arial"/>
                <w:sz w:val="18"/>
                <w:szCs w:val="18"/>
                <w:color w:val="auto"/>
              </w:rPr>
              <w:t>Total other comprehensive (loss) gain</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(549 )</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(403 )</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(671 )</w:t>
            </w:r>
          </w:p>
        </w:tc>
      </w:tr>
      <w:tr>
        <w:trPr>
          <w:trHeight w:val="277"/>
        </w:trPr>
        <w:tc>
          <w:tcPr>
            <w:tcW w:w="5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(24,332 )</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(34,048 )</w:t>
            </w:r>
          </w:p>
        </w:tc>
        <w:tc>
          <w:tcPr>
            <w:tcW w:w="1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(48,965 )</w:t>
            </w:r>
          </w:p>
        </w:tc>
        <w:tc>
          <w:tcPr>
            <w:tcW w:w="1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(60,669 )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-1988185</wp:posOffset>
            </wp:positionV>
            <wp:extent cx="10287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-1988185</wp:posOffset>
            </wp:positionV>
            <wp:extent cx="10287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-1988185</wp:posOffset>
            </wp:positionV>
            <wp:extent cx="10287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-1671320</wp:posOffset>
            </wp:positionV>
            <wp:extent cx="10287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-1671320</wp:posOffset>
            </wp:positionV>
            <wp:extent cx="10287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-1671320</wp:posOffset>
            </wp:positionV>
            <wp:extent cx="10287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-1328420</wp:posOffset>
            </wp:positionV>
            <wp:extent cx="192913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29130" cy="20574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-351155</wp:posOffset>
            </wp:positionV>
            <wp:extent cx="10287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-351155</wp:posOffset>
            </wp:positionV>
            <wp:extent cx="10287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-351155</wp:posOffset>
            </wp:positionV>
            <wp:extent cx="10287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102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-8255</wp:posOffset>
            </wp:positionV>
            <wp:extent cx="102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102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-8255</wp:posOffset>
            </wp:positionV>
            <wp:extent cx="102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1028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-8255</wp:posOffset>
            </wp:positionV>
            <wp:extent cx="1028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amounts)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7"/>
                <w:szCs w:val="17"/>
                <w:b w:val="1"/>
                <w:bCs w:val="1"/>
                <w:color w:val="auto"/>
              </w:rPr>
              <w:t>Accumulated</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235"/>
              <w:spacing w:after="0"/>
              <w:rPr>
                <w:sz w:val="20"/>
                <w:szCs w:val="20"/>
                <w:color w:val="auto"/>
              </w:rPr>
            </w:pPr>
            <w:r>
              <w:rPr>
                <w:rFonts w:ascii="Arial" w:cs="Arial" w:eastAsia="Arial" w:hAnsi="Arial"/>
                <w:sz w:val="17"/>
                <w:szCs w:val="17"/>
                <w:b w:val="1"/>
                <w:bCs w:val="1"/>
                <w:color w:val="auto"/>
                <w:w w:val="96"/>
              </w:rPr>
              <w:t>Other</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235"/>
              <w:spacing w:after="0"/>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203"/>
        </w:trPr>
        <w:tc>
          <w:tcPr>
            <w:tcW w:w="3560" w:type="dxa"/>
            <w:vAlign w:val="bottom"/>
          </w:tcPr>
          <w:p>
            <w:pPr>
              <w:spacing w:after="0"/>
              <w:rPr>
                <w:sz w:val="17"/>
                <w:szCs w:val="17"/>
                <w:color w:val="auto"/>
              </w:rPr>
            </w:pPr>
          </w:p>
        </w:tc>
        <w:tc>
          <w:tcPr>
            <w:tcW w:w="2160" w:type="dxa"/>
            <w:vAlign w:val="bottom"/>
            <w:gridSpan w:val="3"/>
            <w:vMerge w:val="restart"/>
          </w:tcPr>
          <w:p>
            <w:pPr>
              <w:jc w:val="right"/>
              <w:ind w:right="335"/>
              <w:spacing w:after="0"/>
              <w:rPr>
                <w:sz w:val="20"/>
                <w:szCs w:val="20"/>
                <w:color w:val="auto"/>
              </w:rPr>
            </w:pPr>
            <w:r>
              <w:rPr>
                <w:rFonts w:ascii="Arial" w:cs="Arial" w:eastAsia="Arial" w:hAnsi="Arial"/>
                <w:sz w:val="17"/>
                <w:szCs w:val="17"/>
                <w:b w:val="1"/>
                <w:bCs w:val="1"/>
                <w:color w:val="auto"/>
              </w:rPr>
              <w:t>Common Stock</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75"/>
              <w:spacing w:after="0"/>
              <w:rPr>
                <w:sz w:val="20"/>
                <w:szCs w:val="20"/>
                <w:color w:val="auto"/>
              </w:rPr>
            </w:pPr>
            <w:r>
              <w:rPr>
                <w:rFonts w:ascii="Arial" w:cs="Arial" w:eastAsia="Arial" w:hAnsi="Arial"/>
                <w:sz w:val="17"/>
                <w:szCs w:val="17"/>
                <w:b w:val="1"/>
                <w:bCs w:val="1"/>
                <w:color w:val="auto"/>
                <w:w w:val="93"/>
              </w:rPr>
              <w:t>Additional</w:t>
            </w:r>
          </w:p>
        </w:tc>
        <w:tc>
          <w:tcPr>
            <w:tcW w:w="140" w:type="dxa"/>
            <w:vAlign w:val="bottom"/>
          </w:tcPr>
          <w:p>
            <w:pPr>
              <w:spacing w:after="0"/>
              <w:rPr>
                <w:sz w:val="17"/>
                <w:szCs w:val="17"/>
                <w:color w:val="auto"/>
              </w:rPr>
            </w:pPr>
          </w:p>
        </w:tc>
        <w:tc>
          <w:tcPr>
            <w:tcW w:w="1140" w:type="dxa"/>
            <w:vAlign w:val="bottom"/>
            <w:gridSpan w:val="2"/>
          </w:tcPr>
          <w:p>
            <w:pPr>
              <w:ind w:left="20"/>
              <w:spacing w:after="0"/>
              <w:rPr>
                <w:sz w:val="20"/>
                <w:szCs w:val="20"/>
                <w:color w:val="auto"/>
              </w:rPr>
            </w:pPr>
            <w:r>
              <w:rPr>
                <w:rFonts w:ascii="Arial" w:cs="Arial" w:eastAsia="Arial" w:hAnsi="Arial"/>
                <w:sz w:val="17"/>
                <w:szCs w:val="17"/>
                <w:b w:val="1"/>
                <w:bCs w:val="1"/>
                <w:color w:val="auto"/>
              </w:rPr>
              <w:t>Comprehensi</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55"/>
              <w:spacing w:after="0"/>
              <w:rPr>
                <w:sz w:val="20"/>
                <w:szCs w:val="20"/>
                <w:color w:val="auto"/>
              </w:rPr>
            </w:pPr>
            <w:r>
              <w:rPr>
                <w:rFonts w:ascii="Arial" w:cs="Arial" w:eastAsia="Arial" w:hAnsi="Arial"/>
                <w:sz w:val="17"/>
                <w:szCs w:val="17"/>
                <w:b w:val="1"/>
                <w:bCs w:val="1"/>
                <w:color w:val="auto"/>
                <w:w w:val="87"/>
              </w:rPr>
              <w:t>Stockholders</w:t>
            </w:r>
          </w:p>
        </w:tc>
        <w:tc>
          <w:tcPr>
            <w:tcW w:w="0" w:type="dxa"/>
            <w:vAlign w:val="bottom"/>
          </w:tcPr>
          <w:p>
            <w:pPr>
              <w:spacing w:after="0"/>
              <w:rPr>
                <w:sz w:val="1"/>
                <w:szCs w:val="1"/>
                <w:color w:val="auto"/>
              </w:rPr>
            </w:pPr>
          </w:p>
        </w:tc>
      </w:tr>
      <w:tr>
        <w:trPr>
          <w:trHeight w:val="220"/>
        </w:trPr>
        <w:tc>
          <w:tcPr>
            <w:tcW w:w="3560" w:type="dxa"/>
            <w:vAlign w:val="bottom"/>
          </w:tcPr>
          <w:p>
            <w:pPr>
              <w:spacing w:after="0"/>
              <w:rPr>
                <w:sz w:val="19"/>
                <w:szCs w:val="19"/>
                <w:color w:val="auto"/>
              </w:rPr>
            </w:pPr>
          </w:p>
        </w:tc>
        <w:tc>
          <w:tcPr>
            <w:tcW w:w="2160" w:type="dxa"/>
            <w:vAlign w:val="bottom"/>
            <w:tcBorders>
              <w:bottom w:val="single" w:sz="8" w:color="auto"/>
            </w:tcBorders>
            <w:gridSpan w:val="3"/>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295"/>
              <w:spacing w:after="0"/>
              <w:rPr>
                <w:sz w:val="20"/>
                <w:szCs w:val="20"/>
                <w:color w:val="auto"/>
              </w:rPr>
            </w:pPr>
            <w:r>
              <w:rPr>
                <w:rFonts w:ascii="Arial" w:cs="Arial" w:eastAsia="Arial" w:hAnsi="Arial"/>
                <w:sz w:val="17"/>
                <w:szCs w:val="17"/>
                <w:b w:val="1"/>
                <w:bCs w:val="1"/>
                <w:color w:val="auto"/>
              </w:rPr>
              <w:t>Paid-In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center"/>
              <w:ind w:right="235"/>
              <w:spacing w:after="0"/>
              <w:rPr>
                <w:sz w:val="20"/>
                <w:szCs w:val="20"/>
                <w:color w:val="auto"/>
              </w:rPr>
            </w:pPr>
            <w:r>
              <w:rPr>
                <w:rFonts w:ascii="Arial" w:cs="Arial" w:eastAsia="Arial" w:hAnsi="Arial"/>
                <w:sz w:val="17"/>
                <w:szCs w:val="17"/>
                <w:b w:val="1"/>
                <w:bCs w:val="1"/>
                <w:color w:val="auto"/>
                <w:w w:val="84"/>
              </w:rPr>
              <w:t>ve</w:t>
            </w:r>
          </w:p>
        </w:tc>
        <w:tc>
          <w:tcPr>
            <w:tcW w:w="140" w:type="dxa"/>
            <w:vAlign w:val="bottom"/>
          </w:tcPr>
          <w:p>
            <w:pPr>
              <w:spacing w:after="0"/>
              <w:rPr>
                <w:sz w:val="19"/>
                <w:szCs w:val="19"/>
                <w:color w:val="auto"/>
              </w:rPr>
            </w:pPr>
          </w:p>
        </w:tc>
        <w:tc>
          <w:tcPr>
            <w:tcW w:w="1160" w:type="dxa"/>
            <w:vAlign w:val="bottom"/>
            <w:gridSpan w:val="2"/>
          </w:tcPr>
          <w:p>
            <w:pPr>
              <w:ind w:left="40"/>
              <w:spacing w:after="0"/>
              <w:rPr>
                <w:sz w:val="20"/>
                <w:szCs w:val="20"/>
                <w:color w:val="auto"/>
              </w:rPr>
            </w:pPr>
            <w:r>
              <w:rPr>
                <w:rFonts w:ascii="Arial" w:cs="Arial" w:eastAsia="Arial" w:hAnsi="Arial"/>
                <w:sz w:val="17"/>
                <w:szCs w:val="17"/>
                <w:b w:val="1"/>
                <w:bCs w:val="1"/>
                <w:color w:val="auto"/>
              </w:rPr>
              <w:t>Accumulated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235"/>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2"/>
        </w:trPr>
        <w:tc>
          <w:tcPr>
            <w:tcW w:w="3560" w:type="dxa"/>
            <w:vAlign w:val="bottom"/>
          </w:tcPr>
          <w:p>
            <w:pPr>
              <w:spacing w:after="0"/>
              <w:rPr>
                <w:sz w:val="19"/>
                <w:szCs w:val="19"/>
                <w:color w:val="auto"/>
              </w:rPr>
            </w:pPr>
          </w:p>
        </w:tc>
        <w:tc>
          <w:tcPr>
            <w:tcW w:w="12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Shares</w:t>
            </w:r>
          </w:p>
        </w:tc>
        <w:tc>
          <w:tcPr>
            <w:tcW w:w="1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Amount</w:t>
            </w: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Capital</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215"/>
              <w:spacing w:after="0"/>
              <w:rPr>
                <w:sz w:val="20"/>
                <w:szCs w:val="20"/>
                <w:color w:val="auto"/>
              </w:rPr>
            </w:pPr>
            <w:r>
              <w:rPr>
                <w:rFonts w:ascii="Arial" w:cs="Arial" w:eastAsia="Arial" w:hAnsi="Arial"/>
                <w:sz w:val="17"/>
                <w:szCs w:val="17"/>
                <w:b w:val="1"/>
                <w:bCs w:val="1"/>
                <w:color w:val="auto"/>
                <w:w w:val="85"/>
              </w:rPr>
              <w:t>Loss</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Deficit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35"/>
              <w:spacing w:after="0"/>
              <w:rPr>
                <w:sz w:val="20"/>
                <w:szCs w:val="20"/>
                <w:color w:val="auto"/>
              </w:rPr>
            </w:pPr>
            <w:r>
              <w:rPr>
                <w:rFonts w:ascii="Arial" w:cs="Arial" w:eastAsia="Arial" w:hAnsi="Arial"/>
                <w:sz w:val="17"/>
                <w:szCs w:val="17"/>
                <w:b w:val="1"/>
                <w:bCs w:val="1"/>
                <w:color w:val="auto"/>
                <w:w w:val="96"/>
              </w:rPr>
              <w:t>Equity</w:t>
            </w:r>
          </w:p>
        </w:tc>
        <w:tc>
          <w:tcPr>
            <w:tcW w:w="0" w:type="dxa"/>
            <w:vAlign w:val="bottom"/>
          </w:tcPr>
          <w:p>
            <w:pPr>
              <w:spacing w:after="0"/>
              <w:rPr>
                <w:sz w:val="1"/>
                <w:szCs w:val="1"/>
                <w:color w:val="auto"/>
              </w:rPr>
            </w:pPr>
          </w:p>
        </w:tc>
      </w:tr>
      <w:tr>
        <w:trPr>
          <w:trHeight w:val="228"/>
        </w:trPr>
        <w:tc>
          <w:tcPr>
            <w:tcW w:w="3560" w:type="dxa"/>
            <w:vAlign w:val="bottom"/>
            <w:shd w:val="clear" w:color="auto" w:fill="CFF0FC"/>
          </w:tcPr>
          <w:p>
            <w:pPr>
              <w:ind w:left="20"/>
              <w:spacing w:after="0"/>
              <w:rPr>
                <w:sz w:val="20"/>
                <w:szCs w:val="20"/>
                <w:color w:val="auto"/>
              </w:rPr>
            </w:pPr>
            <w:r>
              <w:rPr>
                <w:rFonts w:ascii="Arial" w:cs="Arial" w:eastAsia="Arial" w:hAnsi="Arial"/>
                <w:sz w:val="17"/>
                <w:szCs w:val="17"/>
                <w:color w:val="auto"/>
              </w:rPr>
              <w:t>Balance at December 31, 2021</w:t>
            </w:r>
          </w:p>
        </w:tc>
        <w:tc>
          <w:tcPr>
            <w:tcW w:w="12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40,626,224</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94"/>
              </w:rPr>
              <w:t>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514,362</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(397 )</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(302,467 )</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211,539</w:t>
            </w:r>
          </w:p>
        </w:tc>
        <w:tc>
          <w:tcPr>
            <w:tcW w:w="0" w:type="dxa"/>
            <w:vAlign w:val="bottom"/>
          </w:tcPr>
          <w:p>
            <w:pPr>
              <w:spacing w:after="0"/>
              <w:rPr>
                <w:sz w:val="1"/>
                <w:szCs w:val="1"/>
                <w:color w:val="auto"/>
              </w:rPr>
            </w:pPr>
          </w:p>
        </w:tc>
      </w:tr>
      <w:tr>
        <w:trPr>
          <w:trHeight w:val="198"/>
        </w:trPr>
        <w:tc>
          <w:tcPr>
            <w:tcW w:w="3560" w:type="dxa"/>
            <w:vAlign w:val="bottom"/>
          </w:tcPr>
          <w:p>
            <w:pPr>
              <w:ind w:left="200"/>
              <w:spacing w:after="0"/>
              <w:rPr>
                <w:sz w:val="20"/>
                <w:szCs w:val="20"/>
                <w:color w:val="auto"/>
              </w:rPr>
            </w:pPr>
            <w:r>
              <w:rPr>
                <w:rFonts w:ascii="Arial" w:cs="Arial" w:eastAsia="Arial" w:hAnsi="Arial"/>
                <w:sz w:val="17"/>
                <w:szCs w:val="17"/>
                <w:color w:val="auto"/>
              </w:rPr>
              <w:t>Issuance of common stock under employee</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60" w:type="dxa"/>
            <w:vAlign w:val="bottom"/>
          </w:tcPr>
          <w:p>
            <w:pPr>
              <w:ind w:left="200"/>
              <w:spacing w:after="0"/>
              <w:rPr>
                <w:sz w:val="20"/>
                <w:szCs w:val="20"/>
                <w:color w:val="auto"/>
              </w:rPr>
            </w:pPr>
            <w:r>
              <w:rPr>
                <w:rFonts w:ascii="Arial" w:cs="Arial" w:eastAsia="Arial" w:hAnsi="Arial"/>
                <w:sz w:val="17"/>
                <w:szCs w:val="17"/>
                <w:color w:val="auto"/>
              </w:rPr>
              <w:t>benefit plans</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47,627</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395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395</w:t>
            </w:r>
          </w:p>
        </w:tc>
        <w:tc>
          <w:tcPr>
            <w:tcW w:w="0" w:type="dxa"/>
            <w:vAlign w:val="bottom"/>
          </w:tcPr>
          <w:p>
            <w:pPr>
              <w:spacing w:after="0"/>
              <w:rPr>
                <w:sz w:val="1"/>
                <w:szCs w:val="1"/>
                <w:color w:val="auto"/>
              </w:rPr>
            </w:pPr>
          </w:p>
        </w:tc>
      </w:tr>
      <w:tr>
        <w:trPr>
          <w:trHeight w:val="238"/>
        </w:trPr>
        <w:tc>
          <w:tcPr>
            <w:tcW w:w="35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Vesting of restricted stock awards</w:t>
            </w:r>
          </w:p>
        </w:tc>
        <w:tc>
          <w:tcPr>
            <w:tcW w:w="12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9,754</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560" w:type="dxa"/>
            <w:vAlign w:val="bottom"/>
          </w:tcPr>
          <w:p>
            <w:pPr>
              <w:ind w:left="200"/>
              <w:spacing w:after="0"/>
              <w:rPr>
                <w:sz w:val="20"/>
                <w:szCs w:val="20"/>
                <w:color w:val="auto"/>
              </w:rPr>
            </w:pPr>
            <w:r>
              <w:rPr>
                <w:rFonts w:ascii="Arial" w:cs="Arial" w:eastAsia="Arial" w:hAnsi="Arial"/>
                <w:sz w:val="17"/>
                <w:szCs w:val="17"/>
                <w:color w:val="auto"/>
              </w:rPr>
              <w:t>Stock-based compensation expense</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3,847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3,847</w:t>
            </w:r>
          </w:p>
        </w:tc>
        <w:tc>
          <w:tcPr>
            <w:tcW w:w="0" w:type="dxa"/>
            <w:vAlign w:val="bottom"/>
          </w:tcPr>
          <w:p>
            <w:pPr>
              <w:spacing w:after="0"/>
              <w:rPr>
                <w:sz w:val="1"/>
                <w:szCs w:val="1"/>
                <w:color w:val="auto"/>
              </w:rPr>
            </w:pPr>
          </w:p>
        </w:tc>
      </w:tr>
      <w:tr>
        <w:trPr>
          <w:trHeight w:val="236"/>
        </w:trPr>
        <w:tc>
          <w:tcPr>
            <w:tcW w:w="35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Unrealized loss on marketable securities</w:t>
            </w:r>
          </w:p>
        </w:tc>
        <w:tc>
          <w:tcPr>
            <w:tcW w:w="12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(693 )</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(693 )</w:t>
            </w:r>
          </w:p>
        </w:tc>
        <w:tc>
          <w:tcPr>
            <w:tcW w:w="0" w:type="dxa"/>
            <w:vAlign w:val="bottom"/>
          </w:tcPr>
          <w:p>
            <w:pPr>
              <w:spacing w:after="0"/>
              <w:rPr>
                <w:sz w:val="1"/>
                <w:szCs w:val="1"/>
                <w:color w:val="auto"/>
              </w:rPr>
            </w:pPr>
          </w:p>
        </w:tc>
      </w:tr>
      <w:tr>
        <w:trPr>
          <w:trHeight w:val="223"/>
        </w:trPr>
        <w:tc>
          <w:tcPr>
            <w:tcW w:w="3560" w:type="dxa"/>
            <w:vAlign w:val="bottom"/>
          </w:tcPr>
          <w:p>
            <w:pPr>
              <w:ind w:left="200"/>
              <w:spacing w:after="0"/>
              <w:rPr>
                <w:sz w:val="20"/>
                <w:szCs w:val="20"/>
                <w:color w:val="auto"/>
              </w:rPr>
            </w:pPr>
            <w:r>
              <w:rPr>
                <w:rFonts w:ascii="Arial" w:cs="Arial" w:eastAsia="Arial" w:hAnsi="Arial"/>
                <w:sz w:val="17"/>
                <w:szCs w:val="17"/>
                <w:color w:val="auto"/>
              </w:rPr>
              <w:t>Net loss</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(25,928 )</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(25,928 )</w:t>
            </w:r>
          </w:p>
        </w:tc>
        <w:tc>
          <w:tcPr>
            <w:tcW w:w="0" w:type="dxa"/>
            <w:vAlign w:val="bottom"/>
          </w:tcPr>
          <w:p>
            <w:pPr>
              <w:spacing w:after="0"/>
              <w:rPr>
                <w:sz w:val="1"/>
                <w:szCs w:val="1"/>
                <w:color w:val="auto"/>
              </w:rPr>
            </w:pPr>
          </w:p>
        </w:tc>
      </w:tr>
      <w:tr>
        <w:trPr>
          <w:trHeight w:val="263"/>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Balance at March 31, 2022</w:t>
            </w:r>
          </w:p>
        </w:tc>
        <w:tc>
          <w:tcPr>
            <w:tcW w:w="12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40,683,605</w:t>
            </w:r>
          </w:p>
        </w:tc>
        <w:tc>
          <w:tcPr>
            <w:tcW w:w="14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635"/>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94"/>
              </w:rPr>
              <w:t>41</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rPr>
              <w:t>518,604</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(1,090 )</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(328,395 )</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189,160</w:t>
            </w:r>
          </w:p>
        </w:tc>
        <w:tc>
          <w:tcPr>
            <w:tcW w:w="0" w:type="dxa"/>
            <w:vAlign w:val="bottom"/>
          </w:tcPr>
          <w:p>
            <w:pPr>
              <w:spacing w:after="0"/>
              <w:rPr>
                <w:sz w:val="1"/>
                <w:szCs w:val="1"/>
                <w:color w:val="auto"/>
              </w:rPr>
            </w:pPr>
          </w:p>
        </w:tc>
      </w:tr>
      <w:tr>
        <w:trPr>
          <w:trHeight w:val="185"/>
        </w:trPr>
        <w:tc>
          <w:tcPr>
            <w:tcW w:w="3560" w:type="dxa"/>
            <w:vAlign w:val="bottom"/>
          </w:tcPr>
          <w:p>
            <w:pPr>
              <w:ind w:left="200"/>
              <w:spacing w:after="0" w:line="185" w:lineRule="exact"/>
              <w:rPr>
                <w:sz w:val="20"/>
                <w:szCs w:val="20"/>
                <w:color w:val="auto"/>
              </w:rPr>
            </w:pPr>
            <w:r>
              <w:rPr>
                <w:rFonts w:ascii="Arial" w:cs="Arial" w:eastAsia="Arial" w:hAnsi="Arial"/>
                <w:sz w:val="17"/>
                <w:szCs w:val="17"/>
                <w:color w:val="auto"/>
              </w:rPr>
              <w:t>Issuance of common stock under employee</w:t>
            </w: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60" w:type="dxa"/>
            <w:vAlign w:val="bottom"/>
          </w:tcPr>
          <w:p>
            <w:pPr>
              <w:ind w:left="200"/>
              <w:spacing w:after="0"/>
              <w:rPr>
                <w:sz w:val="20"/>
                <w:szCs w:val="20"/>
                <w:color w:val="auto"/>
              </w:rPr>
            </w:pPr>
            <w:r>
              <w:rPr>
                <w:rFonts w:ascii="Arial" w:cs="Arial" w:eastAsia="Arial" w:hAnsi="Arial"/>
                <w:sz w:val="17"/>
                <w:szCs w:val="17"/>
                <w:color w:val="auto"/>
              </w:rPr>
              <w:t>benefit plans</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324,180</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2,764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2,764</w:t>
            </w:r>
          </w:p>
        </w:tc>
        <w:tc>
          <w:tcPr>
            <w:tcW w:w="0" w:type="dxa"/>
            <w:vAlign w:val="bottom"/>
          </w:tcPr>
          <w:p>
            <w:pPr>
              <w:spacing w:after="0"/>
              <w:rPr>
                <w:sz w:val="1"/>
                <w:szCs w:val="1"/>
                <w:color w:val="auto"/>
              </w:rPr>
            </w:pPr>
          </w:p>
        </w:tc>
      </w:tr>
      <w:tr>
        <w:trPr>
          <w:trHeight w:val="238"/>
        </w:trPr>
        <w:tc>
          <w:tcPr>
            <w:tcW w:w="35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Vesting of restricted stock awards</w:t>
            </w:r>
          </w:p>
        </w:tc>
        <w:tc>
          <w:tcPr>
            <w:tcW w:w="12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420</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560" w:type="dxa"/>
            <w:vAlign w:val="bottom"/>
          </w:tcPr>
          <w:p>
            <w:pPr>
              <w:ind w:left="200"/>
              <w:spacing w:after="0"/>
              <w:rPr>
                <w:sz w:val="20"/>
                <w:szCs w:val="20"/>
                <w:color w:val="auto"/>
              </w:rPr>
            </w:pPr>
            <w:r>
              <w:rPr>
                <w:rFonts w:ascii="Arial" w:cs="Arial" w:eastAsia="Arial" w:hAnsi="Arial"/>
                <w:sz w:val="17"/>
                <w:szCs w:val="17"/>
                <w:color w:val="auto"/>
              </w:rPr>
              <w:t>Stock-based compensation expense</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2,879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2,879</w:t>
            </w:r>
          </w:p>
        </w:tc>
        <w:tc>
          <w:tcPr>
            <w:tcW w:w="0" w:type="dxa"/>
            <w:vAlign w:val="bottom"/>
          </w:tcPr>
          <w:p>
            <w:pPr>
              <w:spacing w:after="0"/>
              <w:rPr>
                <w:sz w:val="1"/>
                <w:szCs w:val="1"/>
                <w:color w:val="auto"/>
              </w:rPr>
            </w:pPr>
          </w:p>
        </w:tc>
      </w:tr>
      <w:tr>
        <w:trPr>
          <w:trHeight w:val="236"/>
        </w:trPr>
        <w:tc>
          <w:tcPr>
            <w:tcW w:w="35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Unrealized gain on marketable securities</w:t>
            </w:r>
          </w:p>
        </w:tc>
        <w:tc>
          <w:tcPr>
            <w:tcW w:w="12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22</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3"/>
        </w:trPr>
        <w:tc>
          <w:tcPr>
            <w:tcW w:w="3560" w:type="dxa"/>
            <w:vAlign w:val="bottom"/>
          </w:tcPr>
          <w:p>
            <w:pPr>
              <w:ind w:left="200"/>
              <w:spacing w:after="0"/>
              <w:rPr>
                <w:sz w:val="20"/>
                <w:szCs w:val="20"/>
                <w:color w:val="auto"/>
              </w:rPr>
            </w:pPr>
            <w:r>
              <w:rPr>
                <w:rFonts w:ascii="Arial" w:cs="Arial" w:eastAsia="Arial" w:hAnsi="Arial"/>
                <w:sz w:val="17"/>
                <w:szCs w:val="17"/>
                <w:color w:val="auto"/>
              </w:rPr>
              <w:t>Net loss</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(34,070 )</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(34,070 )</w:t>
            </w:r>
          </w:p>
        </w:tc>
        <w:tc>
          <w:tcPr>
            <w:tcW w:w="0" w:type="dxa"/>
            <w:vAlign w:val="bottom"/>
          </w:tcPr>
          <w:p>
            <w:pPr>
              <w:spacing w:after="0"/>
              <w:rPr>
                <w:sz w:val="1"/>
                <w:szCs w:val="1"/>
                <w:color w:val="auto"/>
              </w:rPr>
            </w:pPr>
          </w:p>
        </w:tc>
      </w:tr>
      <w:tr>
        <w:trPr>
          <w:trHeight w:val="263"/>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Balance at June 30, 2022</w:t>
            </w:r>
          </w:p>
        </w:tc>
        <w:tc>
          <w:tcPr>
            <w:tcW w:w="12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41,008,205</w:t>
            </w:r>
          </w:p>
        </w:tc>
        <w:tc>
          <w:tcPr>
            <w:tcW w:w="14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635"/>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94"/>
              </w:rPr>
              <w:t>41</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rPr>
              <w:t>524,247</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(1,068 )</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(362,465 )</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160,755</w:t>
            </w:r>
          </w:p>
        </w:tc>
        <w:tc>
          <w:tcPr>
            <w:tcW w:w="0" w:type="dxa"/>
            <w:vAlign w:val="bottom"/>
          </w:tcPr>
          <w:p>
            <w:pPr>
              <w:spacing w:after="0"/>
              <w:rPr>
                <w:sz w:val="1"/>
                <w:szCs w:val="1"/>
                <w:color w:val="auto"/>
              </w:rPr>
            </w:pPr>
          </w:p>
        </w:tc>
      </w:tr>
      <w:tr>
        <w:trPr>
          <w:trHeight w:val="210"/>
        </w:trPr>
        <w:tc>
          <w:tcPr>
            <w:tcW w:w="3560" w:type="dxa"/>
            <w:vAlign w:val="bottom"/>
          </w:tcPr>
          <w:p>
            <w:pPr>
              <w:ind w:left="20"/>
              <w:spacing w:after="0"/>
              <w:rPr>
                <w:sz w:val="20"/>
                <w:szCs w:val="20"/>
                <w:color w:val="auto"/>
              </w:rPr>
            </w:pPr>
            <w:r>
              <w:rPr>
                <w:rFonts w:ascii="Arial" w:cs="Arial" w:eastAsia="Arial" w:hAnsi="Arial"/>
                <w:sz w:val="17"/>
                <w:szCs w:val="17"/>
                <w:color w:val="auto"/>
              </w:rPr>
              <w:t>Balance at December 31, 2022</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52,099,211</w:t>
            </w:r>
          </w:p>
        </w:tc>
        <w:tc>
          <w:tcPr>
            <w:tcW w:w="960" w:type="dxa"/>
            <w:vAlign w:val="bottom"/>
            <w:gridSpan w:val="2"/>
          </w:tcPr>
          <w:p>
            <w:pPr>
              <w:jc w:val="right"/>
              <w:ind w:right="635"/>
              <w:spacing w:after="0"/>
              <w:rPr>
                <w:sz w:val="20"/>
                <w:szCs w:val="20"/>
                <w:color w:val="auto"/>
              </w:rPr>
            </w:pPr>
            <w:r>
              <w:rPr>
                <w:rFonts w:ascii="Arial" w:cs="Arial" w:eastAsia="Arial" w:hAnsi="Arial"/>
                <w:sz w:val="17"/>
                <w:szCs w:val="17"/>
                <w:color w:val="auto"/>
              </w:rPr>
              <w:t>$</w:t>
            </w:r>
          </w:p>
        </w:tc>
        <w:tc>
          <w:tcPr>
            <w:tcW w:w="340" w:type="dxa"/>
            <w:vAlign w:val="bottom"/>
          </w:tcPr>
          <w:p>
            <w:pPr>
              <w:jc w:val="right"/>
              <w:ind w:right="55"/>
              <w:spacing w:after="0"/>
              <w:rPr>
                <w:sz w:val="20"/>
                <w:szCs w:val="20"/>
                <w:color w:val="auto"/>
              </w:rPr>
            </w:pPr>
            <w:r>
              <w:rPr>
                <w:rFonts w:ascii="Arial" w:cs="Arial" w:eastAsia="Arial" w:hAnsi="Arial"/>
                <w:sz w:val="17"/>
                <w:szCs w:val="17"/>
                <w:color w:val="auto"/>
                <w:w w:val="94"/>
              </w:rPr>
              <w:t>52</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612,025</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(797 )</w:t>
            </w:r>
          </w:p>
        </w:tc>
        <w:tc>
          <w:tcPr>
            <w:tcW w:w="3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(412,338 )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198,942</w:t>
            </w:r>
          </w:p>
        </w:tc>
        <w:tc>
          <w:tcPr>
            <w:tcW w:w="0" w:type="dxa"/>
            <w:vAlign w:val="bottom"/>
          </w:tcPr>
          <w:p>
            <w:pPr>
              <w:spacing w:after="0"/>
              <w:rPr>
                <w:sz w:val="1"/>
                <w:szCs w:val="1"/>
                <w:color w:val="auto"/>
              </w:rPr>
            </w:pPr>
          </w:p>
        </w:tc>
      </w:tr>
      <w:tr>
        <w:trPr>
          <w:trHeight w:val="205"/>
        </w:trPr>
        <w:tc>
          <w:tcPr>
            <w:tcW w:w="3560" w:type="dxa"/>
            <w:vAlign w:val="bottom"/>
            <w:shd w:val="clear" w:color="auto" w:fill="CFF0FC"/>
          </w:tcPr>
          <w:p>
            <w:pPr>
              <w:ind w:left="200"/>
              <w:spacing w:after="0"/>
              <w:rPr>
                <w:sz w:val="20"/>
                <w:szCs w:val="20"/>
                <w:color w:val="auto"/>
              </w:rPr>
            </w:pPr>
            <w:r>
              <w:rPr>
                <w:rFonts w:ascii="Arial" w:cs="Arial" w:eastAsia="Arial" w:hAnsi="Arial"/>
                <w:sz w:val="17"/>
                <w:szCs w:val="17"/>
                <w:color w:val="auto"/>
                <w:w w:val="97"/>
              </w:rPr>
              <w:t>Issuance of common stock in connection with</w:t>
            </w: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public offering, net of issuance costs</w:t>
            </w:r>
          </w:p>
        </w:tc>
        <w:tc>
          <w:tcPr>
            <w:tcW w:w="12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9,615,384</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94"/>
              </w:rPr>
              <w:t>10</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117,336</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117,346</w:t>
            </w:r>
          </w:p>
        </w:tc>
        <w:tc>
          <w:tcPr>
            <w:tcW w:w="0" w:type="dxa"/>
            <w:vAlign w:val="bottom"/>
          </w:tcPr>
          <w:p>
            <w:pPr>
              <w:spacing w:after="0"/>
              <w:rPr>
                <w:sz w:val="1"/>
                <w:szCs w:val="1"/>
                <w:color w:val="auto"/>
              </w:rPr>
            </w:pPr>
          </w:p>
        </w:tc>
      </w:tr>
      <w:tr>
        <w:trPr>
          <w:trHeight w:val="198"/>
        </w:trPr>
        <w:tc>
          <w:tcPr>
            <w:tcW w:w="3560" w:type="dxa"/>
            <w:vAlign w:val="bottom"/>
          </w:tcPr>
          <w:p>
            <w:pPr>
              <w:ind w:left="200"/>
              <w:spacing w:after="0"/>
              <w:rPr>
                <w:sz w:val="20"/>
                <w:szCs w:val="20"/>
                <w:color w:val="auto"/>
              </w:rPr>
            </w:pPr>
            <w:r>
              <w:rPr>
                <w:rFonts w:ascii="Arial" w:cs="Arial" w:eastAsia="Arial" w:hAnsi="Arial"/>
                <w:sz w:val="17"/>
                <w:szCs w:val="17"/>
                <w:color w:val="auto"/>
              </w:rPr>
              <w:t>Issuance of common stock under employee</w:t>
            </w: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60" w:type="dxa"/>
            <w:vAlign w:val="bottom"/>
          </w:tcPr>
          <w:p>
            <w:pPr>
              <w:ind w:left="200"/>
              <w:spacing w:after="0"/>
              <w:rPr>
                <w:sz w:val="20"/>
                <w:szCs w:val="20"/>
                <w:color w:val="auto"/>
              </w:rPr>
            </w:pPr>
            <w:r>
              <w:rPr>
                <w:rFonts w:ascii="Arial" w:cs="Arial" w:eastAsia="Arial" w:hAnsi="Arial"/>
                <w:sz w:val="17"/>
                <w:szCs w:val="17"/>
                <w:color w:val="auto"/>
              </w:rPr>
              <w:t>benefit plans</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38,903</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348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38"/>
        </w:trPr>
        <w:tc>
          <w:tcPr>
            <w:tcW w:w="35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Vesting of restricted stock awards</w:t>
            </w:r>
          </w:p>
        </w:tc>
        <w:tc>
          <w:tcPr>
            <w:tcW w:w="12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5,496</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560" w:type="dxa"/>
            <w:vAlign w:val="bottom"/>
          </w:tcPr>
          <w:p>
            <w:pPr>
              <w:ind w:left="200"/>
              <w:spacing w:after="0"/>
              <w:rPr>
                <w:sz w:val="20"/>
                <w:szCs w:val="20"/>
                <w:color w:val="auto"/>
              </w:rPr>
            </w:pPr>
            <w:r>
              <w:rPr>
                <w:rFonts w:ascii="Arial" w:cs="Arial" w:eastAsia="Arial" w:hAnsi="Arial"/>
                <w:sz w:val="17"/>
                <w:szCs w:val="17"/>
                <w:color w:val="auto"/>
              </w:rPr>
              <w:t>Stock-based compensation expense</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4,253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4,253</w:t>
            </w:r>
          </w:p>
        </w:tc>
        <w:tc>
          <w:tcPr>
            <w:tcW w:w="0" w:type="dxa"/>
            <w:vAlign w:val="bottom"/>
          </w:tcPr>
          <w:p>
            <w:pPr>
              <w:spacing w:after="0"/>
              <w:rPr>
                <w:sz w:val="1"/>
                <w:szCs w:val="1"/>
                <w:color w:val="auto"/>
              </w:rPr>
            </w:pPr>
          </w:p>
        </w:tc>
      </w:tr>
      <w:tr>
        <w:trPr>
          <w:trHeight w:val="236"/>
        </w:trPr>
        <w:tc>
          <w:tcPr>
            <w:tcW w:w="35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Unrealized gain on marketable securities</w:t>
            </w:r>
          </w:p>
        </w:tc>
        <w:tc>
          <w:tcPr>
            <w:tcW w:w="12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146</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223"/>
        </w:trPr>
        <w:tc>
          <w:tcPr>
            <w:tcW w:w="3560" w:type="dxa"/>
            <w:vAlign w:val="bottom"/>
          </w:tcPr>
          <w:p>
            <w:pPr>
              <w:ind w:left="200"/>
              <w:spacing w:after="0"/>
              <w:rPr>
                <w:sz w:val="20"/>
                <w:szCs w:val="20"/>
                <w:color w:val="auto"/>
              </w:rPr>
            </w:pPr>
            <w:r>
              <w:rPr>
                <w:rFonts w:ascii="Arial" w:cs="Arial" w:eastAsia="Arial" w:hAnsi="Arial"/>
                <w:sz w:val="17"/>
                <w:szCs w:val="17"/>
                <w:color w:val="auto"/>
              </w:rPr>
              <w:t>Net loss</w:t>
            </w:r>
          </w:p>
        </w:tc>
        <w:tc>
          <w:tcPr>
            <w:tcW w:w="12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(24,779 )</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(24,779 )</w:t>
            </w:r>
          </w:p>
        </w:tc>
        <w:tc>
          <w:tcPr>
            <w:tcW w:w="0" w:type="dxa"/>
            <w:vAlign w:val="bottom"/>
          </w:tcPr>
          <w:p>
            <w:pPr>
              <w:spacing w:after="0"/>
              <w:rPr>
                <w:sz w:val="1"/>
                <w:szCs w:val="1"/>
                <w:color w:val="auto"/>
              </w:rPr>
            </w:pPr>
          </w:p>
        </w:tc>
      </w:tr>
      <w:tr>
        <w:trPr>
          <w:trHeight w:val="263"/>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Balance at March 31, 2023</w:t>
            </w:r>
          </w:p>
        </w:tc>
        <w:tc>
          <w:tcPr>
            <w:tcW w:w="12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61,758,994</w:t>
            </w:r>
          </w:p>
        </w:tc>
        <w:tc>
          <w:tcPr>
            <w:tcW w:w="14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ind w:right="635"/>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94"/>
              </w:rPr>
              <w:t>62</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rPr>
              <w:t>733,962</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(651 )</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(437,117 )</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296,256</w:t>
            </w:r>
          </w:p>
        </w:tc>
        <w:tc>
          <w:tcPr>
            <w:tcW w:w="0" w:type="dxa"/>
            <w:vAlign w:val="bottom"/>
          </w:tcPr>
          <w:p>
            <w:pPr>
              <w:spacing w:after="0"/>
              <w:rPr>
                <w:sz w:val="1"/>
                <w:szCs w:val="1"/>
                <w:color w:val="auto"/>
              </w:rPr>
            </w:pPr>
          </w:p>
        </w:tc>
      </w:tr>
      <w:tr>
        <w:trPr>
          <w:trHeight w:val="185"/>
        </w:trPr>
        <w:tc>
          <w:tcPr>
            <w:tcW w:w="3560" w:type="dxa"/>
            <w:vAlign w:val="bottom"/>
          </w:tcPr>
          <w:p>
            <w:pPr>
              <w:ind w:left="200"/>
              <w:spacing w:after="0" w:line="185" w:lineRule="exact"/>
              <w:rPr>
                <w:sz w:val="20"/>
                <w:szCs w:val="20"/>
                <w:color w:val="auto"/>
              </w:rPr>
            </w:pPr>
            <w:r>
              <w:rPr>
                <w:rFonts w:ascii="Arial" w:cs="Arial" w:eastAsia="Arial" w:hAnsi="Arial"/>
                <w:sz w:val="17"/>
                <w:szCs w:val="17"/>
                <w:color w:val="auto"/>
              </w:rPr>
              <w:t>Issuance of common stock under employee</w:t>
            </w: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60" w:type="dxa"/>
            <w:vAlign w:val="bottom"/>
          </w:tcPr>
          <w:p>
            <w:pPr>
              <w:ind w:left="200"/>
              <w:spacing w:after="0"/>
              <w:rPr>
                <w:sz w:val="20"/>
                <w:szCs w:val="20"/>
                <w:color w:val="auto"/>
              </w:rPr>
            </w:pPr>
            <w:r>
              <w:rPr>
                <w:rFonts w:ascii="Arial" w:cs="Arial" w:eastAsia="Arial" w:hAnsi="Arial"/>
                <w:sz w:val="17"/>
                <w:szCs w:val="17"/>
                <w:color w:val="auto"/>
              </w:rPr>
              <w:t>benefit plans</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50,912</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141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38"/>
        </w:trPr>
        <w:tc>
          <w:tcPr>
            <w:tcW w:w="35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Vesting of restricted stock awards</w:t>
            </w:r>
          </w:p>
        </w:tc>
        <w:tc>
          <w:tcPr>
            <w:tcW w:w="12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12,648</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3560" w:type="dxa"/>
            <w:vAlign w:val="bottom"/>
          </w:tcPr>
          <w:p>
            <w:pPr>
              <w:ind w:left="200"/>
              <w:spacing w:after="0"/>
              <w:rPr>
                <w:sz w:val="20"/>
                <w:szCs w:val="20"/>
                <w:color w:val="auto"/>
              </w:rPr>
            </w:pPr>
            <w:r>
              <w:rPr>
                <w:rFonts w:ascii="Arial" w:cs="Arial" w:eastAsia="Arial" w:hAnsi="Arial"/>
                <w:sz w:val="17"/>
                <w:szCs w:val="17"/>
                <w:color w:val="auto"/>
              </w:rPr>
              <w:t>Stock-based compensation expense</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3,363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Arial" w:cs="Arial" w:eastAsia="Arial" w:hAnsi="Arial"/>
                <w:sz w:val="17"/>
                <w:szCs w:val="17"/>
                <w:color w:val="auto"/>
              </w:rPr>
              <w:t>3,363</w:t>
            </w:r>
          </w:p>
        </w:tc>
        <w:tc>
          <w:tcPr>
            <w:tcW w:w="0" w:type="dxa"/>
            <w:vAlign w:val="bottom"/>
          </w:tcPr>
          <w:p>
            <w:pPr>
              <w:spacing w:after="0"/>
              <w:rPr>
                <w:sz w:val="1"/>
                <w:szCs w:val="1"/>
                <w:color w:val="auto"/>
              </w:rPr>
            </w:pPr>
          </w:p>
        </w:tc>
      </w:tr>
      <w:tr>
        <w:trPr>
          <w:trHeight w:val="236"/>
        </w:trPr>
        <w:tc>
          <w:tcPr>
            <w:tcW w:w="3560" w:type="dxa"/>
            <w:vAlign w:val="bottom"/>
            <w:shd w:val="clear" w:color="auto" w:fill="CFF0FC"/>
          </w:tcPr>
          <w:p>
            <w:pPr>
              <w:ind w:left="200"/>
              <w:spacing w:after="0"/>
              <w:rPr>
                <w:sz w:val="20"/>
                <w:szCs w:val="20"/>
                <w:color w:val="auto"/>
              </w:rPr>
            </w:pPr>
            <w:r>
              <w:rPr>
                <w:rFonts w:ascii="Arial" w:cs="Arial" w:eastAsia="Arial" w:hAnsi="Arial"/>
                <w:sz w:val="17"/>
                <w:szCs w:val="17"/>
                <w:color w:val="auto"/>
              </w:rPr>
              <w:t>Unrealized loss on marketable securities</w:t>
            </w:r>
          </w:p>
        </w:tc>
        <w:tc>
          <w:tcPr>
            <w:tcW w:w="120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(549 )</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(549 )</w:t>
            </w:r>
          </w:p>
        </w:tc>
        <w:tc>
          <w:tcPr>
            <w:tcW w:w="0" w:type="dxa"/>
            <w:vAlign w:val="bottom"/>
          </w:tcPr>
          <w:p>
            <w:pPr>
              <w:spacing w:after="0"/>
              <w:rPr>
                <w:sz w:val="1"/>
                <w:szCs w:val="1"/>
                <w:color w:val="auto"/>
              </w:rPr>
            </w:pPr>
          </w:p>
        </w:tc>
      </w:tr>
      <w:tr>
        <w:trPr>
          <w:trHeight w:val="223"/>
        </w:trPr>
        <w:tc>
          <w:tcPr>
            <w:tcW w:w="3560" w:type="dxa"/>
            <w:vAlign w:val="bottom"/>
          </w:tcPr>
          <w:p>
            <w:pPr>
              <w:ind w:left="200"/>
              <w:spacing w:after="0"/>
              <w:rPr>
                <w:sz w:val="20"/>
                <w:szCs w:val="20"/>
                <w:color w:val="auto"/>
              </w:rPr>
            </w:pPr>
            <w:r>
              <w:rPr>
                <w:rFonts w:ascii="Arial" w:cs="Arial" w:eastAsia="Arial" w:hAnsi="Arial"/>
                <w:sz w:val="17"/>
                <w:szCs w:val="17"/>
                <w:color w:val="auto"/>
              </w:rPr>
              <w:t>Net loss</w:t>
            </w: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(23,783 )</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(23,783 )</w:t>
            </w:r>
          </w:p>
        </w:tc>
        <w:tc>
          <w:tcPr>
            <w:tcW w:w="0" w:type="dxa"/>
            <w:vAlign w:val="bottom"/>
          </w:tcPr>
          <w:p>
            <w:pPr>
              <w:spacing w:after="0"/>
              <w:rPr>
                <w:sz w:val="1"/>
                <w:szCs w:val="1"/>
                <w:color w:val="auto"/>
              </w:rPr>
            </w:pPr>
          </w:p>
        </w:tc>
      </w:tr>
      <w:tr>
        <w:trPr>
          <w:trHeight w:val="263"/>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Balance at June 30, 2023</w:t>
            </w:r>
          </w:p>
        </w:tc>
        <w:tc>
          <w:tcPr>
            <w:tcW w:w="120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61,822,554</w:t>
            </w:r>
          </w:p>
        </w:tc>
        <w:tc>
          <w:tcPr>
            <w:tcW w:w="140" w:type="dxa"/>
            <w:vAlign w:val="bottom"/>
            <w:tcBorders>
              <w:bottom w:val="single" w:sz="8" w:color="CFF0FC"/>
            </w:tcBorders>
            <w:shd w:val="clear" w:color="auto" w:fill="CFF0FC"/>
          </w:tcPr>
          <w:p>
            <w:pPr>
              <w:spacing w:after="0"/>
              <w:rPr>
                <w:sz w:val="22"/>
                <w:szCs w:val="22"/>
                <w:color w:val="auto"/>
              </w:rPr>
            </w:pPr>
          </w:p>
        </w:tc>
        <w:tc>
          <w:tcPr>
            <w:tcW w:w="820" w:type="dxa"/>
            <w:vAlign w:val="bottom"/>
            <w:tcBorders>
              <w:top w:val="single" w:sz="8" w:color="auto"/>
              <w:bottom w:val="single" w:sz="8" w:color="auto"/>
            </w:tcBorders>
            <w:shd w:val="clear" w:color="auto" w:fill="CFF0FC"/>
          </w:tcPr>
          <w:p>
            <w:pPr>
              <w:jc w:val="right"/>
              <w:ind w:right="635"/>
              <w:spacing w:after="0"/>
              <w:rPr>
                <w:sz w:val="20"/>
                <w:szCs w:val="20"/>
                <w:color w:val="auto"/>
              </w:rPr>
            </w:pPr>
            <w:r>
              <w:rPr>
                <w:rFonts w:ascii="Arial" w:cs="Arial" w:eastAsia="Arial" w:hAnsi="Arial"/>
                <w:sz w:val="17"/>
                <w:szCs w:val="17"/>
                <w:color w:val="auto"/>
                <w:w w:val="84"/>
              </w:rPr>
              <w:t>$</w:t>
            </w:r>
          </w:p>
        </w:tc>
        <w:tc>
          <w:tcPr>
            <w:tcW w:w="34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94"/>
              </w:rPr>
              <w:t>62</w:t>
            </w:r>
          </w:p>
        </w:tc>
        <w:tc>
          <w:tcPr>
            <w:tcW w:w="1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Arial" w:cs="Arial" w:eastAsia="Arial" w:hAnsi="Arial"/>
                <w:sz w:val="17"/>
                <w:szCs w:val="17"/>
                <w:color w:val="auto"/>
              </w:rPr>
              <w:t>737,466</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(1,200 )</w:t>
            </w:r>
          </w:p>
        </w:tc>
        <w:tc>
          <w:tcPr>
            <w:tcW w:w="1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(460,900 )</w:t>
            </w:r>
          </w:p>
        </w:tc>
        <w:tc>
          <w:tcPr>
            <w:tcW w:w="1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rPr>
              <w:t>275,428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-3557270</wp:posOffset>
            </wp:positionV>
            <wp:extent cx="3377565" cy="30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77565" cy="3003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-2519680</wp:posOffset>
            </wp:positionV>
            <wp:extent cx="337756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77565" cy="17145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-1062355</wp:posOffset>
            </wp:positionV>
            <wp:extent cx="3377565" cy="30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77565" cy="3003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-24765</wp:posOffset>
            </wp:positionV>
            <wp:extent cx="946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-8255</wp:posOffset>
            </wp:positionV>
            <wp:extent cx="946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-24765</wp:posOffset>
            </wp:positionV>
            <wp:extent cx="939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-8255</wp:posOffset>
            </wp:positionV>
            <wp:extent cx="93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946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946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85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85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0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Fulcrum Therapeutics, Inc.</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50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2022</w:t>
            </w:r>
          </w:p>
        </w:tc>
      </w:tr>
      <w:tr>
        <w:trPr>
          <w:trHeight w:val="223"/>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r>
      <w:tr>
        <w:trPr>
          <w:trHeight w:val="220"/>
        </w:trPr>
        <w:tc>
          <w:tcPr>
            <w:tcW w:w="7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(48,562 )</w:t>
            </w: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(59,998 )</w:t>
            </w:r>
          </w:p>
        </w:tc>
      </w:tr>
      <w:tr>
        <w:trPr>
          <w:trHeight w:val="23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20"/>
        </w:trPr>
        <w:tc>
          <w:tcPr>
            <w:tcW w:w="7660" w:type="dxa"/>
            <w:vAlign w:val="bottom"/>
          </w:tcPr>
          <w:p>
            <w:pPr>
              <w:ind w:left="200"/>
              <w:spacing w:after="0"/>
              <w:rPr>
                <w:sz w:val="20"/>
                <w:szCs w:val="20"/>
                <w:color w:val="auto"/>
              </w:rPr>
            </w:pPr>
            <w:r>
              <w:rPr>
                <w:rFonts w:ascii="Arial" w:cs="Arial" w:eastAsia="Arial" w:hAnsi="Arial"/>
                <w:sz w:val="16"/>
                <w:szCs w:val="16"/>
                <w:color w:val="auto"/>
              </w:rPr>
              <w:t>Depreciation expense</w:t>
            </w:r>
          </w:p>
        </w:tc>
        <w:tc>
          <w:tcPr>
            <w:tcW w:w="9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1,133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1,212</w:t>
            </w:r>
          </w:p>
        </w:tc>
      </w:tr>
      <w:tr>
        <w:trPr>
          <w:trHeight w:val="23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7,616</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6,726</w:t>
            </w:r>
          </w:p>
        </w:tc>
      </w:tr>
      <w:tr>
        <w:trPr>
          <w:trHeight w:val="220"/>
        </w:trPr>
        <w:tc>
          <w:tcPr>
            <w:tcW w:w="7660" w:type="dxa"/>
            <w:vAlign w:val="bottom"/>
          </w:tcPr>
          <w:p>
            <w:pPr>
              <w:ind w:left="200"/>
              <w:spacing w:after="0"/>
              <w:rPr>
                <w:sz w:val="20"/>
                <w:szCs w:val="20"/>
                <w:color w:val="auto"/>
              </w:rPr>
            </w:pPr>
            <w:r>
              <w:rPr>
                <w:rFonts w:ascii="Arial" w:cs="Arial" w:eastAsia="Arial" w:hAnsi="Arial"/>
                <w:sz w:val="16"/>
                <w:szCs w:val="16"/>
                <w:color w:val="auto"/>
              </w:rPr>
              <w:t>Net (accretion of discounts) amortization of premiums on marketable securities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(3,078 )</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641</w:t>
            </w:r>
          </w:p>
        </w:tc>
      </w:tr>
      <w:tr>
        <w:trPr>
          <w:trHeight w:val="239"/>
        </w:trPr>
        <w:tc>
          <w:tcPr>
            <w:tcW w:w="76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9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2,143</w:t>
            </w:r>
          </w:p>
        </w:tc>
      </w:tr>
      <w:tr>
        <w:trPr>
          <w:trHeight w:val="239"/>
        </w:trPr>
        <w:tc>
          <w:tcPr>
            <w:tcW w:w="7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Unbilled accounts receivable</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(427 )</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394</w:t>
            </w: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9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242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25</w:t>
            </w:r>
          </w:p>
        </w:tc>
      </w:tr>
      <w:tr>
        <w:trPr>
          <w:trHeight w:val="239"/>
        </w:trPr>
        <w:tc>
          <w:tcPr>
            <w:tcW w:w="7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lease assets and liabilities</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(337 )</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(42 )</w:t>
            </w: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94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110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(1,563 )</w:t>
            </w:r>
          </w:p>
        </w:tc>
      </w:tr>
      <w:tr>
        <w:trPr>
          <w:trHeight w:val="239"/>
        </w:trPr>
        <w:tc>
          <w:tcPr>
            <w:tcW w:w="76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251</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471</w:t>
            </w:r>
          </w:p>
        </w:tc>
      </w:tr>
      <w:tr>
        <w:trPr>
          <w:trHeight w:val="220"/>
        </w:trPr>
        <w:tc>
          <w:tcPr>
            <w:tcW w:w="7660" w:type="dxa"/>
            <w:vAlign w:val="bottom"/>
          </w:tcPr>
          <w:p>
            <w:pPr>
              <w:ind w:left="380"/>
              <w:spacing w:after="0"/>
              <w:rPr>
                <w:sz w:val="20"/>
                <w:szCs w:val="20"/>
                <w:color w:val="auto"/>
              </w:rPr>
            </w:pPr>
            <w:r>
              <w:rPr>
                <w:rFonts w:ascii="Arial" w:cs="Arial" w:eastAsia="Arial" w:hAnsi="Arial"/>
                <w:sz w:val="16"/>
                <w:szCs w:val="16"/>
                <w:color w:val="auto"/>
              </w:rPr>
              <w:t>Accrued expenses and other liabilities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(1,428 )</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3,448</w:t>
            </w:r>
          </w:p>
        </w:tc>
      </w:tr>
      <w:tr>
        <w:trPr>
          <w:trHeight w:val="233"/>
        </w:trPr>
        <w:tc>
          <w:tcPr>
            <w:tcW w:w="7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Deferred revenue</w:t>
            </w:r>
          </w:p>
        </w:tc>
        <w:tc>
          <w:tcPr>
            <w:tcW w:w="9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(421 )</w:t>
            </w: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(2,929 )</w:t>
            </w:r>
          </w:p>
        </w:tc>
      </w:tr>
      <w:tr>
        <w:trPr>
          <w:trHeight w:val="220"/>
        </w:trPr>
        <w:tc>
          <w:tcPr>
            <w:tcW w:w="7660" w:type="dxa"/>
            <w:vAlign w:val="bottom"/>
          </w:tcPr>
          <w:p>
            <w:pPr>
              <w:ind w:left="20"/>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(44,901 )</w:t>
            </w: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(49,472 )</w:t>
            </w:r>
          </w:p>
        </w:tc>
      </w:tr>
      <w:tr>
        <w:trPr>
          <w:trHeight w:val="23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20"/>
        </w:trPr>
        <w:tc>
          <w:tcPr>
            <w:tcW w:w="7660" w:type="dxa"/>
            <w:vAlign w:val="bottom"/>
          </w:tcPr>
          <w:p>
            <w:pPr>
              <w:ind w:left="20"/>
              <w:spacing w:after="0"/>
              <w:rPr>
                <w:sz w:val="20"/>
                <w:szCs w:val="20"/>
                <w:color w:val="auto"/>
              </w:rPr>
            </w:pPr>
            <w:r>
              <w:rPr>
                <w:rFonts w:ascii="Arial" w:cs="Arial" w:eastAsia="Arial" w:hAnsi="Arial"/>
                <w:sz w:val="16"/>
                <w:szCs w:val="16"/>
                <w:color w:val="auto"/>
              </w:rPr>
              <w:t>Purchases of marketable securities</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0"/>
              </w:rPr>
              <w:t>(143,832 )</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(15,166 )</w:t>
            </w:r>
          </w:p>
        </w:tc>
      </w:tr>
      <w:tr>
        <w:trPr>
          <w:trHeight w:val="23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Maturities of marketable securities</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70,132</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67,784</w:t>
            </w:r>
          </w:p>
        </w:tc>
      </w:tr>
      <w:tr>
        <w:trPr>
          <w:trHeight w:val="223"/>
        </w:trPr>
        <w:tc>
          <w:tcPr>
            <w:tcW w:w="766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(366 )</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(1,564 )</w:t>
            </w:r>
          </w:p>
        </w:tc>
      </w:tr>
      <w:tr>
        <w:trPr>
          <w:trHeight w:val="22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9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(74,066 )</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51,054</w:t>
            </w:r>
          </w:p>
        </w:tc>
      </w:tr>
      <w:tr>
        <w:trPr>
          <w:trHeight w:val="220"/>
        </w:trPr>
        <w:tc>
          <w:tcPr>
            <w:tcW w:w="766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in connection with public offerings, net of issuance costs</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117,345</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r>
      <w:tr>
        <w:trPr>
          <w:trHeight w:val="223"/>
        </w:trPr>
        <w:tc>
          <w:tcPr>
            <w:tcW w:w="7660" w:type="dxa"/>
            <w:vAlign w:val="bottom"/>
          </w:tcPr>
          <w:p>
            <w:pPr>
              <w:ind w:left="20"/>
              <w:spacing w:after="0"/>
              <w:rPr>
                <w:sz w:val="20"/>
                <w:szCs w:val="20"/>
                <w:color w:val="auto"/>
              </w:rPr>
            </w:pPr>
            <w:r>
              <w:rPr>
                <w:rFonts w:ascii="Arial" w:cs="Arial" w:eastAsia="Arial" w:hAnsi="Arial"/>
                <w:sz w:val="16"/>
                <w:szCs w:val="16"/>
                <w:color w:val="auto"/>
              </w:rPr>
              <w:t>Proceeds from issuance of common stock under benefit plans, net</w:t>
            </w: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490</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3,159</w:t>
            </w:r>
          </w:p>
        </w:tc>
      </w:tr>
      <w:tr>
        <w:trPr>
          <w:trHeight w:val="223"/>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117,835</w:t>
            </w:r>
          </w:p>
        </w:tc>
        <w:tc>
          <w:tcPr>
            <w:tcW w:w="2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3,159</w:t>
            </w:r>
          </w:p>
        </w:tc>
      </w:tr>
      <w:tr>
        <w:trPr>
          <w:trHeight w:val="220"/>
        </w:trPr>
        <w:tc>
          <w:tcPr>
            <w:tcW w:w="766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(1,132 )</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4,741</w:t>
            </w:r>
          </w:p>
        </w:tc>
      </w:tr>
      <w:tr>
        <w:trPr>
          <w:trHeight w:val="233"/>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9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36,190</w:t>
            </w: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36,504</w:t>
            </w:r>
          </w:p>
        </w:tc>
      </w:tr>
      <w:tr>
        <w:trPr>
          <w:trHeight w:val="223"/>
        </w:trPr>
        <w:tc>
          <w:tcPr>
            <w:tcW w:w="76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35,058</w:t>
            </w: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41,245</w:t>
            </w:r>
          </w:p>
        </w:tc>
      </w:tr>
      <w:tr>
        <w:trPr>
          <w:trHeight w:val="20"/>
        </w:trPr>
        <w:tc>
          <w:tcPr>
            <w:tcW w:w="7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9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20"/>
        </w:trPr>
        <w:tc>
          <w:tcPr>
            <w:tcW w:w="7660" w:type="dxa"/>
            <w:vAlign w:val="bottom"/>
          </w:tcPr>
          <w:p>
            <w:pPr>
              <w:ind w:left="20"/>
              <w:spacing w:after="0"/>
              <w:rPr>
                <w:sz w:val="20"/>
                <w:szCs w:val="20"/>
                <w:color w:val="auto"/>
              </w:rPr>
            </w:pPr>
            <w:r>
              <w:rPr>
                <w:rFonts w:ascii="Arial" w:cs="Arial" w:eastAsia="Arial" w:hAnsi="Arial"/>
                <w:sz w:val="16"/>
                <w:szCs w:val="16"/>
                <w:color w:val="auto"/>
              </w:rPr>
              <w:t>Cash paid for operating lease liabilities</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1,646</w:t>
            </w: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1,400</w:t>
            </w:r>
          </w:p>
        </w:tc>
      </w:tr>
      <w:tr>
        <w:trPr>
          <w:trHeight w:val="239"/>
        </w:trPr>
        <w:tc>
          <w:tcPr>
            <w:tcW w:w="7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9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r>
      <w:tr>
        <w:trPr>
          <w:trHeight w:val="210"/>
        </w:trPr>
        <w:tc>
          <w:tcPr>
            <w:tcW w:w="7660" w:type="dxa"/>
            <w:vAlign w:val="bottom"/>
          </w:tcPr>
          <w:p>
            <w:pPr>
              <w:ind w:left="20"/>
              <w:spacing w:after="0"/>
              <w:rPr>
                <w:sz w:val="20"/>
                <w:szCs w:val="20"/>
                <w:color w:val="auto"/>
              </w:rPr>
            </w:pPr>
            <w:r>
              <w:rPr>
                <w:rFonts w:ascii="Arial" w:cs="Arial" w:eastAsia="Arial" w:hAnsi="Arial"/>
                <w:sz w:val="16"/>
                <w:szCs w:val="16"/>
                <w:color w:val="auto"/>
              </w:rPr>
              <w:t>Property and equipment purchases unpaid at end of period</w:t>
            </w:r>
          </w:p>
        </w:tc>
        <w:tc>
          <w:tcPr>
            <w:tcW w:w="940" w:type="dxa"/>
            <w:vAlign w:val="bottom"/>
          </w:tcPr>
          <w:p>
            <w:pPr>
              <w:jc w:val="right"/>
              <w:ind w:right="7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59"/>
              <w:spacing w:after="0"/>
              <w:rPr>
                <w:sz w:val="20"/>
                <w:szCs w:val="20"/>
                <w:color w:val="auto"/>
              </w:rPr>
            </w:pPr>
            <w:r>
              <w:rPr>
                <w:rFonts w:ascii="Arial" w:cs="Arial" w:eastAsia="Arial" w:hAnsi="Arial"/>
                <w:sz w:val="16"/>
                <w:szCs w:val="16"/>
                <w:color w:val="auto"/>
              </w:rPr>
              <w:t>47</w:t>
            </w:r>
          </w:p>
        </w:tc>
        <w:tc>
          <w:tcPr>
            <w:tcW w:w="5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-2533015</wp:posOffset>
            </wp:positionV>
            <wp:extent cx="12890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543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-1049655</wp:posOffset>
            </wp:positionV>
            <wp:extent cx="12890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5430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-749935</wp:posOffset>
            </wp:positionV>
            <wp:extent cx="128905" cy="1797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79705"/>
                    </a:xfrm>
                    <a:prstGeom prst="rect">
                      <a:avLst/>
                    </a:prstGeom>
                    <a:noFill/>
                  </pic:spPr>
                </pic:pic>
              </a:graphicData>
            </a:graphic>
          </wp:anchor>
        </w:drawing>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a reconciliation of the cash, cash equivalents, and restricted cash balances as of each of the periods shown above: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601"/>
              <w:spacing w:after="0"/>
              <w:rPr>
                <w:sz w:val="20"/>
                <w:szCs w:val="20"/>
                <w:color w:val="auto"/>
              </w:rPr>
            </w:pPr>
            <w:r>
              <w:rPr>
                <w:rFonts w:ascii="Arial" w:cs="Arial" w:eastAsia="Arial" w:hAnsi="Arial"/>
                <w:sz w:val="14"/>
                <w:szCs w:val="14"/>
                <w:b w:val="1"/>
                <w:bCs w:val="1"/>
                <w:color w:val="auto"/>
              </w:rPr>
              <w:t>June 30,</w:t>
            </w:r>
          </w:p>
        </w:tc>
      </w:tr>
      <w:tr>
        <w:trPr>
          <w:trHeight w:val="185"/>
        </w:trPr>
        <w:tc>
          <w:tcPr>
            <w:tcW w:w="7600" w:type="dxa"/>
            <w:vAlign w:val="bottom"/>
          </w:tcPr>
          <w:p>
            <w:pPr>
              <w:spacing w:after="0"/>
              <w:rPr>
                <w:sz w:val="16"/>
                <w:szCs w:val="16"/>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2022</w:t>
            </w:r>
          </w:p>
        </w:tc>
      </w:tr>
      <w:tr>
        <w:trPr>
          <w:trHeight w:val="223"/>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080" w:type="dxa"/>
            <w:vAlign w:val="bottom"/>
            <w:shd w:val="clear" w:color="auto" w:fill="CFF0FC"/>
          </w:tcPr>
          <w:p>
            <w:pPr>
              <w:jc w:val="right"/>
              <w:ind w:right="90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98"/>
              </w:rPr>
              <w:t>33,966</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7"/>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FF0FC"/>
          </w:tcPr>
          <w:p>
            <w:pPr>
              <w:jc w:val="right"/>
              <w:ind w:right="81"/>
              <w:spacing w:after="0"/>
              <w:rPr>
                <w:sz w:val="20"/>
                <w:szCs w:val="20"/>
                <w:color w:val="auto"/>
              </w:rPr>
            </w:pPr>
            <w:r>
              <w:rPr>
                <w:rFonts w:ascii="Arial" w:cs="Arial" w:eastAsia="Arial" w:hAnsi="Arial"/>
                <w:sz w:val="17"/>
                <w:szCs w:val="17"/>
                <w:color w:val="auto"/>
              </w:rPr>
              <w:t>40,153</w:t>
            </w:r>
          </w:p>
        </w:tc>
      </w:tr>
      <w:tr>
        <w:trPr>
          <w:trHeight w:val="223"/>
        </w:trPr>
        <w:tc>
          <w:tcPr>
            <w:tcW w:w="760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1,092</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81"/>
              <w:spacing w:after="0"/>
              <w:rPr>
                <w:sz w:val="20"/>
                <w:szCs w:val="20"/>
                <w:color w:val="auto"/>
              </w:rPr>
            </w:pPr>
            <w:r>
              <w:rPr>
                <w:rFonts w:ascii="Arial" w:cs="Arial" w:eastAsia="Arial" w:hAnsi="Arial"/>
                <w:sz w:val="17"/>
                <w:szCs w:val="17"/>
                <w:color w:val="auto"/>
              </w:rPr>
              <w:t>1,092</w:t>
            </w:r>
          </w:p>
        </w:tc>
      </w:tr>
      <w:tr>
        <w:trPr>
          <w:trHeight w:val="26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1080" w:type="dxa"/>
            <w:vAlign w:val="bottom"/>
            <w:tcBorders>
              <w:bottom w:val="single" w:sz="8" w:color="auto"/>
            </w:tcBorders>
            <w:shd w:val="clear" w:color="auto" w:fill="CFF0FC"/>
          </w:tcPr>
          <w:p>
            <w:pPr>
              <w:jc w:val="right"/>
              <w:ind w:right="90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98"/>
              </w:rPr>
              <w:t>35,058</w:t>
            </w:r>
          </w:p>
        </w:tc>
        <w:tc>
          <w:tcPr>
            <w:tcW w:w="20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7"/>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FF0FC"/>
          </w:tcPr>
          <w:p>
            <w:pPr>
              <w:jc w:val="right"/>
              <w:ind w:right="81"/>
              <w:spacing w:after="0"/>
              <w:rPr>
                <w:sz w:val="20"/>
                <w:szCs w:val="20"/>
                <w:color w:val="auto"/>
              </w:rPr>
            </w:pPr>
            <w:r>
              <w:rPr>
                <w:rFonts w:ascii="Arial" w:cs="Arial" w:eastAsia="Arial" w:hAnsi="Arial"/>
                <w:sz w:val="16"/>
                <w:szCs w:val="16"/>
                <w:color w:val="auto"/>
              </w:rPr>
              <w:t>41,245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1289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289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229"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auto"/>
        </w:rPr>
        <w:t>Fulcrum Therapeutics, Inc. (the “Company” or “Fulcrum”) was incorporated in Delaware on August 18, 2015. The Company is focused on improving the lives of patients with genetically-defined rare diseases in areas of high unmet medical need.</w:t>
      </w:r>
    </w:p>
    <w:p>
      <w:pPr>
        <w:spacing w:after="0" w:line="170"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5"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June 30, 2023 and the results of its operations and its cash flows for the three and six months ended June 30, 2023 and 2022. The results for the three and six months ended June 30, 2023 are not necessarily indicative of results to be expected for the year ending December 31, 2023, any other interim periods, or any future year or period. These consolidated financial statements should be read in conjunction with the Company’s audited consolidated financial statements and the notes thereto for the year ended December 31, 2022 included in the Company’s Annual Report on Form 10-K filed with the Securities and Exchange Commission (the “SEC”) on March 9, 2023 (the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Common Stock</w:t>
      </w:r>
    </w:p>
    <w:p>
      <w:pPr>
        <w:spacing w:after="0" w:line="225"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In January 2023, the Company completed a public offering of its common stock and issued and sold 9,615,384 shares of common stock at a public offering price of $13.00 per share, resulting in net proceeds of $117.3 million after deducting underwriting discounts and commissions and offering expenses.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The Company has incurred recurring losses and negative cash flows from operations since inception and has primarily funded its operations with proceeds from the sale of shares of its capital stock and from upfront payments received from the collaboration and license agreements with Acceleron Pharma Inc. (“Acceleron”), a wholly-owned subsidiary of Merck &amp; Co., Inc. (“Merck”), and MyoKardia, Inc. (“MyoKardia”), a wholly owned subsidiary of Bristol Myers Squibb Company. As of June 30, 2023, the Company had an accumulated deficit of $460.9 million. The Company expects its operating losses and negative operating cash flows to continue into the foreseeable future as it continues to expand its research and development efforts. The Company expects to finance its future cash needs through a combination of equity offerings, debt financings, collaborations, strategic alliances and marketing, distribution or licensing arrangements.</w:t>
      </w:r>
    </w:p>
    <w:p>
      <w:pPr>
        <w:spacing w:after="0" w:line="195"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As a result, the Company could deplete its capital resources sooner than it currently expects. If the Company is unable to raise additional funds through equity or debt financings when needed, it may be required to delay, limit, reduce or terminate development or future commercialization efforts or grant rights to develop and market product candidates that it would otherwise prefer to develop and market itself.</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25"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The significant accounting policies and estimates used in the preparation of the accompanying consolidated financial statements are described in the Company’s audited consolidated financial statements for the year ended December 31, 2022 included in the Company’s Annual Report on Form 10-K. There have been no material changes in the Company’s significant accounting policies during the six months ended June 30, 2023.</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revenue recognition, accrued expenses,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Risk and Concentrations of Credit Risk</w:t>
      </w:r>
    </w:p>
    <w:p>
      <w:pPr>
        <w:spacing w:after="0" w:line="22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 U.S. Treasury securities, and commercial paper. The Company’s marketable securities consist of U.S. Treasury securities, corporate bonds, and commercial paper, and potentially subject the Company to 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Recent Accounting Pronouncements—Adopted</w:t>
      </w:r>
    </w:p>
    <w:p>
      <w:pPr>
        <w:spacing w:after="0" w:line="225"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standard requires that credit losses be reported using an expected losses model rather than the incurred losses model that is currently used,</w:t>
      </w:r>
      <w:r>
        <w:rPr>
          <w:rFonts w:ascii="Arial" w:cs="Arial" w:eastAsia="Arial" w:hAnsi="Arial"/>
          <w:sz w:val="16"/>
          <w:szCs w:val="16"/>
          <w:i w:val="1"/>
          <w:iCs w:val="1"/>
          <w:color w:val="auto"/>
        </w:rPr>
        <w:t xml:space="preserve"> </w:t>
      </w:r>
      <w:r>
        <w:rPr>
          <w:rFonts w:ascii="Arial" w:cs="Arial" w:eastAsia="Arial" w:hAnsi="Arial"/>
          <w:sz w:val="16"/>
          <w:szCs w:val="16"/>
          <w:color w:val="auto"/>
        </w:rPr>
        <w:t>and establishes additional disclosures related to credit risks. For available-for-sale debt securities with unrealized losses, this standard requires allowances to be recorded instead of reducing the amortized cost of the investment. The Company adopted this guidance effective January 1, 2023. The adoption of this standard did not have a material impact on the Company's consolidated financial position and results of operations.</w:t>
      </w:r>
    </w:p>
    <w:p>
      <w:pPr>
        <w:spacing w:after="0" w:line="161"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Taxes-Simplifying the Accounting for Income Taxes</w:t>
      </w:r>
      <w:r>
        <w:rPr>
          <w:rFonts w:ascii="Arial" w:cs="Arial" w:eastAsia="Arial" w:hAnsi="Arial"/>
          <w:sz w:val="18"/>
          <w:szCs w:val="18"/>
          <w:color w:val="auto"/>
        </w:rPr>
        <w:t>. The standard eliminates certain exceptions related to the approach for intraperiod tax allocation, the methodology for calculating income taxes in an interim period, and the recognition of deferred tax liabilities for outside basis differences. The new guidance also simplifies aspects of the accounting for franchise taxes and enacted changes in tax laws or rates and clarifies the accounting for transactions that result in a step-up in the tax basis of goodwill. The Company adopted this guidance effective January 1, 2023. The adoption of this standard did not have a material impact on the Company's consolidated financial position and results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fair value hierarchy classification of such fair values as of June 30, 2023 and December 31, 2022 (in thousands):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w w:val="98"/>
              </w:rPr>
              <w:t>Fair Value Measurements at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5"/>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2023</w:t>
            </w: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8"/>
              </w:rPr>
              <w:t>Level 2</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3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12,049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12,049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49"/>
        </w:trPr>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18,925</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18,925</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2,992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2,992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4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U.S. Treasury securities</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19,450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19,450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49"/>
        </w:trPr>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Government agency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65,345</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65,345</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57,197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57,197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Corporate bonds</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102,206</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102,206</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278,164</w:t>
            </w: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12,049</w:t>
            </w:r>
          </w:p>
        </w:tc>
        <w:tc>
          <w:tcPr>
            <w:tcW w:w="14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266,115</w:t>
            </w:r>
          </w:p>
        </w:tc>
        <w:tc>
          <w:tcPr>
            <w:tcW w:w="1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96"/>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w w:val="98"/>
              </w:rPr>
              <w:t>Fair Value Measurements at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8"/>
              </w:rPr>
              <w:t>Level 2</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3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25,174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25,174</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49"/>
        </w:trPr>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9,924</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9,924</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9"/>
        </w:trPr>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10,231</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10,231</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Government agency securities</w:t>
            </w:r>
          </w:p>
        </w:tc>
        <w:tc>
          <w:tcPr>
            <w:tcW w:w="240" w:type="dxa"/>
            <w:vAlign w:val="bottom"/>
          </w:tcPr>
          <w:p>
            <w:pPr>
              <w:spacing w:after="0"/>
              <w:rPr>
                <w:sz w:val="20"/>
                <w:szCs w:val="20"/>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12,444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12,444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49"/>
        </w:trPr>
        <w:tc>
          <w:tcPr>
            <w:tcW w:w="50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48,476</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48,476</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ind w:left="640"/>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96,672</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96,672</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r>
      <w:tr>
        <w:trPr>
          <w:trHeight w:val="277"/>
        </w:trPr>
        <w:tc>
          <w:tcPr>
            <w:tcW w:w="50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202,921</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25,174</w:t>
            </w:r>
          </w:p>
        </w:tc>
        <w:tc>
          <w:tcPr>
            <w:tcW w:w="1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177,747</w:t>
            </w:r>
          </w:p>
        </w:tc>
        <w:tc>
          <w:tcPr>
            <w:tcW w:w="1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-2117090</wp:posOffset>
            </wp:positionV>
            <wp:extent cx="85725"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-2117090</wp:posOffset>
            </wp:positionV>
            <wp:extent cx="85725"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-2117090</wp:posOffset>
            </wp:positionV>
            <wp:extent cx="94615"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85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85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946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946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fair value levels during the three and six months ended June 30, 2023.</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4. Cash Equivalents and Marketable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and marketable securities consisted of the following as of June 30, 2023 and December 31, 2022 (in thousands):</w:t>
      </w:r>
    </w:p>
    <w:p>
      <w:pPr>
        <w:spacing w:after="0" w:line="284"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Fair Value Measurements at</w:t>
      </w:r>
    </w:p>
    <w:p>
      <w:pPr>
        <w:spacing w:after="0" w:line="4" w:lineRule="exact"/>
        <w:rPr>
          <w:sz w:val="20"/>
          <w:szCs w:val="20"/>
          <w:color w:val="auto"/>
        </w:rPr>
      </w:pPr>
    </w:p>
    <w:p>
      <w:pPr>
        <w:jc w:val="center"/>
        <w:ind w:left="5480"/>
        <w:spacing w:after="0"/>
        <w:rPr>
          <w:sz w:val="20"/>
          <w:szCs w:val="20"/>
          <w:color w:val="auto"/>
        </w:rPr>
      </w:pPr>
      <w:r>
        <w:rPr>
          <w:rFonts w:ascii="Arial" w:cs="Arial" w:eastAsia="Arial" w:hAnsi="Arial"/>
          <w:sz w:val="14"/>
          <w:szCs w:val="14"/>
          <w:b w:val="1"/>
          <w:bCs w:val="1"/>
          <w:color w:val="auto"/>
        </w:rPr>
        <w:t>June 30, 2023</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56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center"/>
              <w:ind w:right="233"/>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left="144"/>
              <w:spacing w:after="0" w:line="133"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14"/>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6"/>
                <w:szCs w:val="16"/>
                <w:color w:val="auto"/>
              </w:rPr>
            </w:pPr>
          </w:p>
        </w:tc>
        <w:tc>
          <w:tcPr>
            <w:tcW w:w="940" w:type="dxa"/>
            <w:vAlign w:val="bottom"/>
            <w:tcBorders>
              <w:bottom w:val="single" w:sz="8" w:color="auto"/>
            </w:tcBorders>
          </w:tcPr>
          <w:p>
            <w:pPr>
              <w:jc w:val="center"/>
              <w:ind w:left="144"/>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12,049</w:t>
            </w:r>
          </w:p>
        </w:tc>
        <w:tc>
          <w:tcPr>
            <w:tcW w:w="1100" w:type="dxa"/>
            <w:vAlign w:val="bottom"/>
            <w:gridSpan w:val="2"/>
          </w:tcPr>
          <w:p>
            <w:pPr>
              <w:jc w:val="right"/>
              <w:ind w:right="764"/>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12,049</w:t>
            </w:r>
          </w:p>
        </w:tc>
        <w:tc>
          <w:tcPr>
            <w:tcW w:w="0" w:type="dxa"/>
            <w:vAlign w:val="bottom"/>
          </w:tcPr>
          <w:p>
            <w:pPr>
              <w:spacing w:after="0"/>
              <w:rPr>
                <w:sz w:val="1"/>
                <w:szCs w:val="1"/>
                <w:color w:val="auto"/>
              </w:rPr>
            </w:pP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18,922</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18,925</w:t>
            </w: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2,992</w:t>
            </w:r>
          </w:p>
        </w:tc>
        <w:tc>
          <w:tcPr>
            <w:tcW w:w="1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43"/>
        </w:trPr>
        <w:tc>
          <w:tcPr>
            <w:tcW w:w="5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cash equivalents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33,963</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33,966</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19,546</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19,450</w:t>
            </w: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Government agency securities</w:t>
            </w:r>
          </w:p>
        </w:tc>
        <w:tc>
          <w:tcPr>
            <w:tcW w:w="180" w:type="dxa"/>
            <w:vAlign w:val="bottom"/>
          </w:tcPr>
          <w:p>
            <w:pPr>
              <w:spacing w:after="0"/>
              <w:rPr>
                <w:sz w:val="20"/>
                <w:szCs w:val="20"/>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65,747</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65,345</w:t>
            </w:r>
          </w:p>
        </w:tc>
        <w:tc>
          <w:tcPr>
            <w:tcW w:w="0" w:type="dxa"/>
            <w:vAlign w:val="bottom"/>
          </w:tcPr>
          <w:p>
            <w:pPr>
              <w:spacing w:after="0"/>
              <w:rPr>
                <w:sz w:val="1"/>
                <w:szCs w:val="1"/>
                <w:color w:val="auto"/>
              </w:rPr>
            </w:pP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57,310</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57,197</w:t>
            </w: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102,798</w:t>
            </w:r>
          </w:p>
        </w:tc>
        <w:tc>
          <w:tcPr>
            <w:tcW w:w="1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(592 )</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102,206</w:t>
            </w:r>
          </w:p>
        </w:tc>
        <w:tc>
          <w:tcPr>
            <w:tcW w:w="0" w:type="dxa"/>
            <w:vAlign w:val="bottom"/>
          </w:tcPr>
          <w:p>
            <w:pPr>
              <w:spacing w:after="0"/>
              <w:rPr>
                <w:sz w:val="1"/>
                <w:szCs w:val="1"/>
                <w:color w:val="auto"/>
              </w:rPr>
            </w:pPr>
          </w:p>
        </w:tc>
      </w:tr>
      <w:tr>
        <w:trPr>
          <w:trHeight w:val="237"/>
        </w:trPr>
        <w:tc>
          <w:tcPr>
            <w:tcW w:w="5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245,401</w:t>
            </w:r>
          </w:p>
        </w:tc>
        <w:tc>
          <w:tcPr>
            <w:tcW w:w="16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(1,203 )</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244,198</w:t>
            </w:r>
          </w:p>
        </w:tc>
        <w:tc>
          <w:tcPr>
            <w:tcW w:w="0" w:type="dxa"/>
            <w:vAlign w:val="bottom"/>
          </w:tcPr>
          <w:p>
            <w:pPr>
              <w:spacing w:after="0"/>
              <w:rPr>
                <w:sz w:val="1"/>
                <w:szCs w:val="1"/>
                <w:color w:val="auto"/>
              </w:rPr>
            </w:pPr>
          </w:p>
        </w:tc>
      </w:tr>
      <w:tr>
        <w:trPr>
          <w:trHeight w:val="236"/>
        </w:trPr>
        <w:tc>
          <w:tcPr>
            <w:tcW w:w="5640" w:type="dxa"/>
            <w:vAlign w:val="bottom"/>
          </w:tcPr>
          <w:p>
            <w:pPr>
              <w:ind w:left="380"/>
              <w:spacing w:after="0"/>
              <w:rPr>
                <w:sz w:val="20"/>
                <w:szCs w:val="20"/>
                <w:color w:val="auto"/>
              </w:rPr>
            </w:pPr>
            <w:r>
              <w:rPr>
                <w:rFonts w:ascii="Arial" w:cs="Arial" w:eastAsia="Arial" w:hAnsi="Arial"/>
                <w:sz w:val="18"/>
                <w:szCs w:val="18"/>
                <w:color w:val="auto"/>
              </w:rPr>
              <w:t>Total cash equivalents and marketable securities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279,364</w:t>
            </w:r>
          </w:p>
        </w:tc>
        <w:tc>
          <w:tcPr>
            <w:tcW w:w="160" w:type="dxa"/>
            <w:vAlign w:val="bottom"/>
          </w:tcPr>
          <w:p>
            <w:pPr>
              <w:spacing w:after="0"/>
              <w:rPr>
                <w:sz w:val="20"/>
                <w:szCs w:val="20"/>
                <w:color w:val="auto"/>
              </w:rPr>
            </w:pPr>
          </w:p>
        </w:tc>
        <w:tc>
          <w:tcPr>
            <w:tcW w:w="940" w:type="dxa"/>
            <w:vAlign w:val="bottom"/>
            <w:tcBorders>
              <w:bottom w:val="single" w:sz="8" w:color="auto"/>
            </w:tcBorders>
          </w:tcPr>
          <w:p>
            <w:pPr>
              <w:jc w:val="right"/>
              <w:ind w:right="76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(1,203 )</w:t>
            </w:r>
          </w:p>
        </w:tc>
        <w:tc>
          <w:tcPr>
            <w:tcW w:w="1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278,164</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5"/>
          </w:tcPr>
          <w:p>
            <w:pPr>
              <w:jc w:val="right"/>
              <w:ind w:right="474"/>
              <w:spacing w:after="0"/>
              <w:rPr>
                <w:sz w:val="20"/>
                <w:szCs w:val="20"/>
                <w:color w:val="auto"/>
              </w:rPr>
            </w:pPr>
            <w:r>
              <w:rPr>
                <w:rFonts w:ascii="Arial" w:cs="Arial" w:eastAsia="Arial" w:hAnsi="Arial"/>
                <w:sz w:val="14"/>
                <w:szCs w:val="14"/>
                <w:b w:val="1"/>
                <w:bCs w:val="1"/>
                <w:color w:val="auto"/>
              </w:rPr>
              <w:t>Fair Value Measurements at</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right"/>
              <w:ind w:right="754"/>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vMerge w:val="restart"/>
          </w:tcPr>
          <w:p>
            <w:pPr>
              <w:jc w:val="center"/>
              <w:ind w:right="233"/>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1"/>
                <w:szCs w:val="11"/>
                <w:color w:val="auto"/>
              </w:rPr>
            </w:pPr>
          </w:p>
        </w:tc>
        <w:tc>
          <w:tcPr>
            <w:tcW w:w="940" w:type="dxa"/>
            <w:vAlign w:val="bottom"/>
          </w:tcPr>
          <w:p>
            <w:pPr>
              <w:jc w:val="center"/>
              <w:ind w:left="144"/>
              <w:spacing w:after="0" w:line="133"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center"/>
              <w:ind w:right="214"/>
              <w:spacing w:after="0" w:line="13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234"/>
              <w:spacing w:after="0" w:line="149" w:lineRule="exact"/>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6"/>
                <w:szCs w:val="16"/>
                <w:color w:val="auto"/>
              </w:rPr>
            </w:pPr>
          </w:p>
        </w:tc>
        <w:tc>
          <w:tcPr>
            <w:tcW w:w="940" w:type="dxa"/>
            <w:vAlign w:val="bottom"/>
            <w:tcBorders>
              <w:bottom w:val="single" w:sz="8" w:color="auto"/>
            </w:tcBorders>
          </w:tcPr>
          <w:p>
            <w:pPr>
              <w:jc w:val="center"/>
              <w:ind w:left="144"/>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25,174</w:t>
            </w:r>
          </w:p>
        </w:tc>
        <w:tc>
          <w:tcPr>
            <w:tcW w:w="1100" w:type="dxa"/>
            <w:vAlign w:val="bottom"/>
            <w:gridSpan w:val="2"/>
          </w:tcPr>
          <w:p>
            <w:pPr>
              <w:jc w:val="right"/>
              <w:ind w:right="764"/>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25,174</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9,928</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9,924</w:t>
            </w:r>
          </w:p>
        </w:tc>
        <w:tc>
          <w:tcPr>
            <w:tcW w:w="0" w:type="dxa"/>
            <w:vAlign w:val="bottom"/>
          </w:tcPr>
          <w:p>
            <w:pPr>
              <w:spacing w:after="0"/>
              <w:rPr>
                <w:sz w:val="1"/>
                <w:szCs w:val="1"/>
                <w:color w:val="auto"/>
              </w:rPr>
            </w:pPr>
          </w:p>
        </w:tc>
      </w:tr>
      <w:tr>
        <w:trPr>
          <w:trHeight w:val="237"/>
        </w:trPr>
        <w:tc>
          <w:tcPr>
            <w:tcW w:w="5640" w:type="dxa"/>
            <w:vAlign w:val="bottom"/>
          </w:tcPr>
          <w:p>
            <w:pPr>
              <w:ind w:left="380"/>
              <w:spacing w:after="0"/>
              <w:rPr>
                <w:sz w:val="20"/>
                <w:szCs w:val="20"/>
                <w:color w:val="auto"/>
              </w:rPr>
            </w:pPr>
            <w:r>
              <w:rPr>
                <w:rFonts w:ascii="Arial" w:cs="Arial" w:eastAsia="Arial" w:hAnsi="Arial"/>
                <w:sz w:val="18"/>
                <w:szCs w:val="18"/>
                <w:color w:val="auto"/>
              </w:rPr>
              <w:t>Total cash equivalents</w:t>
            </w:r>
          </w:p>
        </w:tc>
        <w:tc>
          <w:tcPr>
            <w:tcW w:w="180" w:type="dxa"/>
            <w:vAlign w:val="bottom"/>
          </w:tcPr>
          <w:p>
            <w:pPr>
              <w:spacing w:after="0"/>
              <w:rPr>
                <w:sz w:val="20"/>
                <w:szCs w:val="20"/>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35,102</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35,098</w:t>
            </w:r>
          </w:p>
        </w:tc>
        <w:tc>
          <w:tcPr>
            <w:tcW w:w="0" w:type="dxa"/>
            <w:vAlign w:val="bottom"/>
          </w:tcPr>
          <w:p>
            <w:pPr>
              <w:spacing w:after="0"/>
              <w:rPr>
                <w:sz w:val="1"/>
                <w:szCs w:val="1"/>
                <w:color w:val="auto"/>
              </w:rPr>
            </w:pPr>
          </w:p>
        </w:tc>
      </w:tr>
      <w:tr>
        <w:trPr>
          <w:trHeight w:val="24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20"/>
                <w:szCs w:val="20"/>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10,267</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10,231</w:t>
            </w:r>
          </w:p>
        </w:tc>
        <w:tc>
          <w:tcPr>
            <w:tcW w:w="0" w:type="dxa"/>
            <w:vAlign w:val="bottom"/>
          </w:tcPr>
          <w:p>
            <w:pPr>
              <w:spacing w:after="0"/>
              <w:rPr>
                <w:sz w:val="1"/>
                <w:szCs w:val="1"/>
                <w:color w:val="auto"/>
              </w:rPr>
            </w:pPr>
          </w:p>
        </w:tc>
      </w:tr>
      <w:tr>
        <w:trPr>
          <w:trHeight w:val="249"/>
        </w:trPr>
        <w:tc>
          <w:tcPr>
            <w:tcW w:w="5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Government agency securities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12,493</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(49 )</w:t>
            </w: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12,444</w:t>
            </w: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0"/>
                <w:szCs w:val="20"/>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48,661</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48,476</w:t>
            </w:r>
          </w:p>
        </w:tc>
        <w:tc>
          <w:tcPr>
            <w:tcW w:w="0" w:type="dxa"/>
            <w:vAlign w:val="bottom"/>
          </w:tcPr>
          <w:p>
            <w:pPr>
              <w:spacing w:after="0"/>
              <w:rPr>
                <w:sz w:val="1"/>
                <w:szCs w:val="1"/>
                <w:color w:val="auto"/>
              </w:rPr>
            </w:pPr>
          </w:p>
        </w:tc>
      </w:tr>
      <w:tr>
        <w:trPr>
          <w:trHeight w:val="243"/>
        </w:trPr>
        <w:tc>
          <w:tcPr>
            <w:tcW w:w="5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97,195</w:t>
            </w:r>
          </w:p>
        </w:tc>
        <w:tc>
          <w:tcPr>
            <w:tcW w:w="1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(526 )</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96,672</w:t>
            </w:r>
          </w:p>
        </w:tc>
        <w:tc>
          <w:tcPr>
            <w:tcW w:w="0" w:type="dxa"/>
            <w:vAlign w:val="bottom"/>
          </w:tcPr>
          <w:p>
            <w:pPr>
              <w:spacing w:after="0"/>
              <w:rPr>
                <w:sz w:val="1"/>
                <w:szCs w:val="1"/>
                <w:color w:val="auto"/>
              </w:rPr>
            </w:pPr>
          </w:p>
        </w:tc>
      </w:tr>
      <w:tr>
        <w:trPr>
          <w:trHeight w:val="236"/>
        </w:trPr>
        <w:tc>
          <w:tcPr>
            <w:tcW w:w="5640" w:type="dxa"/>
            <w:vAlign w:val="bottom"/>
          </w:tcPr>
          <w:p>
            <w:pPr>
              <w:ind w:left="38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168,616</w:t>
            </w:r>
          </w:p>
        </w:tc>
        <w:tc>
          <w:tcPr>
            <w:tcW w:w="1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(796 )</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167,823</w:t>
            </w:r>
          </w:p>
        </w:tc>
        <w:tc>
          <w:tcPr>
            <w:tcW w:w="0" w:type="dxa"/>
            <w:vAlign w:val="bottom"/>
          </w:tcPr>
          <w:p>
            <w:pPr>
              <w:spacing w:after="0"/>
              <w:rPr>
                <w:sz w:val="1"/>
                <w:szCs w:val="1"/>
                <w:color w:val="auto"/>
              </w:rPr>
            </w:pPr>
          </w:p>
        </w:tc>
      </w:tr>
      <w:tr>
        <w:trPr>
          <w:trHeight w:val="277"/>
        </w:trPr>
        <w:tc>
          <w:tcPr>
            <w:tcW w:w="5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cash equivalents and marketable securities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203,718</w:t>
            </w:r>
          </w:p>
        </w:tc>
        <w:tc>
          <w:tcPr>
            <w:tcW w:w="16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764"/>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(800 )</w:t>
            </w:r>
          </w:p>
        </w:tc>
        <w:tc>
          <w:tcPr>
            <w:tcW w:w="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202,921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-2630805</wp:posOffset>
            </wp:positionV>
            <wp:extent cx="10287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-2630805</wp:posOffset>
            </wp:positionV>
            <wp:extent cx="10287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-2630805</wp:posOffset>
            </wp:positionV>
            <wp:extent cx="10287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-1285240</wp:posOffset>
            </wp:positionV>
            <wp:extent cx="10287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-1285240</wp:posOffset>
            </wp:positionV>
            <wp:extent cx="102870" cy="1631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-1285240</wp:posOffset>
            </wp:positionV>
            <wp:extent cx="10287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-350520</wp:posOffset>
            </wp:positionV>
            <wp:extent cx="10287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-350520</wp:posOffset>
            </wp:positionV>
            <wp:extent cx="10287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-350520</wp:posOffset>
            </wp:positionV>
            <wp:extent cx="10287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1028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1028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1028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1028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1028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1028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There were no sales of marketable securities during the three and six months ended June 30, 2023. As of June 30, 2023, the Company held 91 debt securities that were in an unrealized loss position for less than 12 months with an aggregate fair value of $222.2 million. As of June 30, 2023, the Company held no debt securities that were in an unrealized loss position for greater than 12 months. As of June 30, 2023, the aggregate fair value of marketable securities with a remaining contractual maturity of greater than one year was $18.2 million.</w:t>
      </w:r>
    </w:p>
    <w:p>
      <w:pPr>
        <w:spacing w:after="0" w:line="171"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The Company has the intent and ability to hold its debt securities until recovery. As a result, the Company did not record any charges for credit-related impairments for its marketable securities for the three and six months ended June 30, 2023</w:t>
      </w:r>
      <w:r>
        <w:rPr>
          <w:rFonts w:ascii="Arial" w:cs="Arial" w:eastAsia="Arial" w:hAnsi="Arial"/>
          <w:sz w:val="18"/>
          <w:szCs w:val="18"/>
          <w:color w:val="212529"/>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7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153"/>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23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Lab equipment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9,475</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9,057</w:t>
            </w: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786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786</w:t>
            </w: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393</w:t>
            </w: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20"/>
                <w:szCs w:val="20"/>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199</w:t>
            </w:r>
          </w:p>
        </w:tc>
      </w:tr>
      <w:tr>
        <w:trPr>
          <w:trHeight w:val="24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7,102</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7,102</w:t>
            </w: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w:t>
            </w: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property and equipment</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17,955</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17,568</w:t>
            </w: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(11,794 )</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(10,662 )</w:t>
            </w:r>
          </w:p>
        </w:tc>
      </w:tr>
      <w:tr>
        <w:trPr>
          <w:trHeight w:val="277"/>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6,161</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6,906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9"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Depreciation expense for the three months ended June 30, 2023 and 2022 was $0.6 million and $0.7 million, respectively. Depreciation expense for the six months ended June 30, 2023 and 2022 was $1.1 million and $1.2 million,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Additional Balance Sheet Detail</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72"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96"/>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11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2023</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2,276</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Prepaid sign-on bonuses subject to vesting provisions</w:t>
            </w:r>
          </w:p>
        </w:tc>
        <w:tc>
          <w:tcPr>
            <w:tcW w:w="200" w:type="dxa"/>
            <w:vAlign w:val="bottom"/>
          </w:tcPr>
          <w:p>
            <w:pPr>
              <w:spacing w:after="0"/>
              <w:rPr>
                <w:sz w:val="20"/>
                <w:szCs w:val="20"/>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437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1180" w:type="dxa"/>
            <w:vAlign w:val="bottom"/>
          </w:tcPr>
          <w:p>
            <w:pPr>
              <w:spacing w:after="0"/>
              <w:rPr>
                <w:sz w:val="21"/>
                <w:szCs w:val="21"/>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income receivable</w:t>
            </w: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1,414</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4,127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w w:val="92"/>
              </w:rPr>
              <w:t>Accrued expenses and other current liabilities consisted of the following (in thousands):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4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1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center"/>
              <w:ind w:right="196"/>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118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89"/>
              </w:rPr>
              <w:t>2023</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4,508</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Payroll and benefits</w:t>
            </w:r>
          </w:p>
        </w:tc>
        <w:tc>
          <w:tcPr>
            <w:tcW w:w="200" w:type="dxa"/>
            <w:vAlign w:val="bottom"/>
          </w:tcPr>
          <w:p>
            <w:pPr>
              <w:spacing w:after="0"/>
              <w:rPr>
                <w:sz w:val="20"/>
                <w:szCs w:val="20"/>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2,931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49"/>
        </w:trPr>
        <w:tc>
          <w:tcPr>
            <w:tcW w:w="1180" w:type="dxa"/>
            <w:vAlign w:val="bottom"/>
          </w:tcPr>
          <w:p>
            <w:pPr>
              <w:spacing w:after="0"/>
              <w:rPr>
                <w:sz w:val="21"/>
                <w:szCs w:val="21"/>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422</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4"/>
                <w:szCs w:val="24"/>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7,875</w:t>
            </w:r>
          </w:p>
        </w:tc>
        <w:tc>
          <w:tcPr>
            <w:tcW w:w="1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-1671320</wp:posOffset>
            </wp:positionV>
            <wp:extent cx="10287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1028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1028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Preferred Stock</w:t>
      </w:r>
    </w:p>
    <w:p>
      <w:pPr>
        <w:spacing w:after="0" w:line="229"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As of June 30, 2023 and December 31, 2022, 5,000,000 shares of undesignated preferred stock were authorized. No shares of preferred stock were issued or outstanding as of June 30, 2023 and December 31, 2022.</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dividends have been declared since inception.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2023 and December 31, 2022, 200,000,000 shares of common stock, $0.001 par value per share, were authorized.</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7"/>
          <w:szCs w:val="17"/>
          <w:color w:val="auto"/>
        </w:rPr>
        <w:t>As of June 30, 2023 and December 31, 2022, the Company has reserved for future issuance the following number of shares of common stock:</w:t>
      </w:r>
    </w:p>
    <w:p>
      <w:pPr>
        <w:spacing w:after="0" w:line="28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40" w:type="dxa"/>
            <w:vAlign w:val="bottom"/>
          </w:tcPr>
          <w:p>
            <w:pPr>
              <w:jc w:val="right"/>
              <w:ind w:right="315"/>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40" w:type="dxa"/>
            <w:vAlign w:val="bottom"/>
          </w:tcPr>
          <w:p>
            <w:pPr>
              <w:jc w:val="right"/>
              <w:ind w:right="17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240" w:type="dxa"/>
            <w:vAlign w:val="bottom"/>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380" w:type="dxa"/>
            <w:vAlign w:val="bottom"/>
            <w:gridSpan w:val="2"/>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exercises of outstanding stock options</w:t>
            </w:r>
          </w:p>
        </w:tc>
        <w:tc>
          <w:tcPr>
            <w:tcW w:w="124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10,114,591</w:t>
            </w:r>
          </w:p>
        </w:tc>
        <w:tc>
          <w:tcPr>
            <w:tcW w:w="14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6,504,080</w:t>
            </w: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Shares reserved for vesting of restricted stock units</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84,942</w:t>
            </w:r>
          </w:p>
        </w:tc>
        <w:tc>
          <w:tcPr>
            <w:tcW w:w="1380" w:type="dxa"/>
            <w:vAlign w:val="bottom"/>
            <w:gridSpan w:val="2"/>
          </w:tcPr>
          <w:p>
            <w:pPr>
              <w:jc w:val="right"/>
              <w:ind w:right="36"/>
              <w:spacing w:after="0"/>
              <w:rPr>
                <w:sz w:val="20"/>
                <w:szCs w:val="20"/>
                <w:color w:val="auto"/>
              </w:rPr>
            </w:pPr>
            <w:r>
              <w:rPr>
                <w:rFonts w:ascii="Arial" w:cs="Arial" w:eastAsia="Arial" w:hAnsi="Arial"/>
                <w:sz w:val="18"/>
                <w:szCs w:val="18"/>
                <w:color w:val="auto"/>
              </w:rPr>
              <w:t>76,718</w:t>
            </w:r>
          </w:p>
        </w:tc>
        <w:tc>
          <w:tcPr>
            <w:tcW w:w="0" w:type="dxa"/>
            <w:vAlign w:val="bottom"/>
          </w:tcPr>
          <w:p>
            <w:pPr>
              <w:spacing w:after="0"/>
              <w:rPr>
                <w:sz w:val="1"/>
                <w:szCs w:val="1"/>
                <w:color w:val="auto"/>
              </w:rPr>
            </w:pPr>
          </w:p>
        </w:tc>
      </w:tr>
      <w:tr>
        <w:trPr>
          <w:trHeight w:val="221"/>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w w:val="96"/>
              </w:rPr>
              <w:t>Shares reserved for future issuance under the 2019 Stock Incentive</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Plan</w:t>
            </w:r>
          </w:p>
        </w:tc>
        <w:tc>
          <w:tcPr>
            <w:tcW w:w="12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2,512,307</w:t>
            </w:r>
          </w:p>
        </w:tc>
        <w:tc>
          <w:tcPr>
            <w:tcW w:w="1380" w:type="dxa"/>
            <w:vAlign w:val="bottom"/>
            <w:gridSpan w:val="2"/>
            <w:shd w:val="clear" w:color="auto" w:fill="CFF0FC"/>
          </w:tcPr>
          <w:p>
            <w:pPr>
              <w:jc w:val="right"/>
              <w:ind w:right="36"/>
              <w:spacing w:after="0"/>
              <w:rPr>
                <w:sz w:val="20"/>
                <w:szCs w:val="20"/>
                <w:color w:val="auto"/>
              </w:rPr>
            </w:pPr>
            <w:r>
              <w:rPr>
                <w:rFonts w:ascii="Arial" w:cs="Arial" w:eastAsia="Arial" w:hAnsi="Arial"/>
                <w:sz w:val="18"/>
                <w:szCs w:val="18"/>
                <w:color w:val="auto"/>
              </w:rPr>
              <w:t>1,941,054</w:t>
            </w:r>
          </w:p>
        </w:tc>
        <w:tc>
          <w:tcPr>
            <w:tcW w:w="0" w:type="dxa"/>
            <w:vAlign w:val="bottom"/>
          </w:tcPr>
          <w:p>
            <w:pPr>
              <w:spacing w:after="0"/>
              <w:rPr>
                <w:sz w:val="1"/>
                <w:szCs w:val="1"/>
                <w:color w:val="auto"/>
              </w:rPr>
            </w:pPr>
          </w:p>
        </w:tc>
      </w:tr>
      <w:tr>
        <w:trPr>
          <w:trHeight w:val="215"/>
        </w:trPr>
        <w:tc>
          <w:tcPr>
            <w:tcW w:w="5240" w:type="dxa"/>
            <w:vAlign w:val="bottom"/>
          </w:tcPr>
          <w:p>
            <w:pPr>
              <w:spacing w:after="0"/>
              <w:rPr>
                <w:sz w:val="20"/>
                <w:szCs w:val="20"/>
                <w:color w:val="auto"/>
              </w:rPr>
            </w:pPr>
            <w:r>
              <w:rPr>
                <w:rFonts w:ascii="Arial" w:cs="Arial" w:eastAsia="Arial" w:hAnsi="Arial"/>
                <w:sz w:val="18"/>
                <w:szCs w:val="18"/>
                <w:color w:val="auto"/>
                <w:w w:val="95"/>
              </w:rPr>
              <w:t>Shares reserved for future issuance under the 2019 Employee Stock</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Purchase Plan</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1,438,938</w:t>
            </w:r>
          </w:p>
        </w:tc>
        <w:tc>
          <w:tcPr>
            <w:tcW w:w="1380" w:type="dxa"/>
            <w:vAlign w:val="bottom"/>
            <w:gridSpan w:val="2"/>
          </w:tcPr>
          <w:p>
            <w:pPr>
              <w:jc w:val="right"/>
              <w:ind w:right="36"/>
              <w:spacing w:after="0"/>
              <w:rPr>
                <w:sz w:val="20"/>
                <w:szCs w:val="20"/>
                <w:color w:val="auto"/>
              </w:rPr>
            </w:pPr>
            <w:r>
              <w:rPr>
                <w:rFonts w:ascii="Arial" w:cs="Arial" w:eastAsia="Arial" w:hAnsi="Arial"/>
                <w:sz w:val="18"/>
                <w:szCs w:val="18"/>
                <w:color w:val="auto"/>
              </w:rPr>
              <w:t>1,061,279</w:t>
            </w:r>
          </w:p>
        </w:tc>
        <w:tc>
          <w:tcPr>
            <w:tcW w:w="0" w:type="dxa"/>
            <w:vAlign w:val="bottom"/>
          </w:tcPr>
          <w:p>
            <w:pPr>
              <w:spacing w:after="0"/>
              <w:rPr>
                <w:sz w:val="1"/>
                <w:szCs w:val="1"/>
                <w:color w:val="auto"/>
              </w:rPr>
            </w:pPr>
          </w:p>
        </w:tc>
      </w:tr>
      <w:tr>
        <w:trPr>
          <w:trHeight w:val="222"/>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w w:val="93"/>
              </w:rPr>
              <w:t>Shares reserved for future issuance under the 2022 Inducement Stock</w:t>
            </w:r>
          </w:p>
        </w:tc>
        <w:tc>
          <w:tcPr>
            <w:tcW w:w="1240" w:type="dxa"/>
            <w:vAlign w:val="bottom"/>
            <w:vMerge w:val="restart"/>
            <w:shd w:val="clear" w:color="auto" w:fill="CFF0FC"/>
          </w:tcPr>
          <w:p>
            <w:pPr>
              <w:jc w:val="right"/>
              <w:ind w:right="15"/>
              <w:spacing w:after="0"/>
              <w:rPr>
                <w:sz w:val="20"/>
                <w:szCs w:val="20"/>
                <w:color w:val="auto"/>
              </w:rPr>
            </w:pPr>
            <w:r>
              <w:rPr>
                <w:rFonts w:ascii="Arial" w:cs="Arial" w:eastAsia="Arial" w:hAnsi="Arial"/>
                <w:sz w:val="18"/>
                <w:szCs w:val="18"/>
                <w:color w:val="auto"/>
              </w:rPr>
              <w:t>1,482,845</w:t>
            </w:r>
          </w:p>
        </w:tc>
        <w:tc>
          <w:tcPr>
            <w:tcW w:w="140" w:type="dxa"/>
            <w:vAlign w:val="bottom"/>
            <w:vMerge w:val="restart"/>
            <w:shd w:val="clear" w:color="auto" w:fill="CFF0FC"/>
          </w:tcPr>
          <w:p>
            <w:pPr>
              <w:spacing w:after="0"/>
              <w:rPr>
                <w:sz w:val="19"/>
                <w:szCs w:val="19"/>
                <w:color w:val="auto"/>
              </w:rPr>
            </w:pPr>
          </w:p>
        </w:tc>
        <w:tc>
          <w:tcPr>
            <w:tcW w:w="1240" w:type="dxa"/>
            <w:vAlign w:val="bottom"/>
            <w:vMerge w:val="restart"/>
            <w:shd w:val="clear" w:color="auto" w:fill="CFF0FC"/>
          </w:tcPr>
          <w:p>
            <w:pPr>
              <w:jc w:val="right"/>
              <w:ind w:right="36"/>
              <w:spacing w:after="0"/>
              <w:rPr>
                <w:sz w:val="20"/>
                <w:szCs w:val="20"/>
                <w:color w:val="auto"/>
              </w:rPr>
            </w:pPr>
            <w:r>
              <w:rPr>
                <w:rFonts w:ascii="Arial" w:cs="Arial" w:eastAsia="Arial" w:hAnsi="Arial"/>
                <w:sz w:val="18"/>
                <w:szCs w:val="18"/>
                <w:color w:val="auto"/>
              </w:rPr>
              <w:t>329,880</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Incentive Plan</w:t>
            </w:r>
          </w:p>
        </w:tc>
        <w:tc>
          <w:tcPr>
            <w:tcW w:w="12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vMerge w:val="continue"/>
            <w:shd w:val="clear" w:color="auto" w:fill="CFF0FC"/>
          </w:tcPr>
          <w:p>
            <w:pPr>
              <w:spacing w:after="0"/>
              <w:rPr>
                <w:sz w:val="20"/>
                <w:szCs w:val="20"/>
                <w:color w:val="auto"/>
              </w:rPr>
            </w:pPr>
          </w:p>
        </w:tc>
        <w:tc>
          <w:tcPr>
            <w:tcW w:w="12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15,633,623</w:t>
            </w:r>
          </w:p>
        </w:tc>
        <w:tc>
          <w:tcPr>
            <w:tcW w:w="1380" w:type="dxa"/>
            <w:vAlign w:val="bottom"/>
            <w:gridSpan w:val="2"/>
          </w:tcPr>
          <w:p>
            <w:pPr>
              <w:jc w:val="right"/>
              <w:ind w:right="36"/>
              <w:spacing w:after="0"/>
              <w:rPr>
                <w:sz w:val="20"/>
                <w:szCs w:val="20"/>
                <w:color w:val="auto"/>
              </w:rPr>
            </w:pPr>
            <w:r>
              <w:rPr>
                <w:rFonts w:ascii="Arial" w:cs="Arial" w:eastAsia="Arial" w:hAnsi="Arial"/>
                <w:sz w:val="18"/>
                <w:szCs w:val="18"/>
                <w:color w:val="auto"/>
              </w:rPr>
              <w:t>9,913,011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-187960</wp:posOffset>
            </wp:positionV>
            <wp:extent cx="77470"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Stock Incentive Plan</w:t>
      </w:r>
    </w:p>
    <w:p>
      <w:pPr>
        <w:spacing w:after="0" w:line="225"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June 30, 2023, no shares remained available for future issuance under the 2016 Plan. Any options or other awards outstanding under the 2016 Plan remain outstanding and effective.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Incentive Plan</w:t>
      </w:r>
    </w:p>
    <w:p>
      <w:pPr>
        <w:spacing w:after="0" w:line="225"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annually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On January 1, 2023, the number of shares reserved for issuance under the 2019 Plan was increased by 2,000,000 shares. As of June 30, 2023, there were 2,512,307 shares available for future issuance under the 2019 Plan.</w:t>
      </w:r>
    </w:p>
    <w:p>
      <w:pPr>
        <w:spacing w:after="0" w:line="165"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Inducement Stock Incentive Plan</w:t>
      </w:r>
    </w:p>
    <w:p>
      <w:pPr>
        <w:spacing w:after="0" w:line="225"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of shares reserved for issuance by 1,400,000 shares. As of June 30, 2023, there were 1,482,845 shares available for future grant under the Inducement Plan.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Stock options granted by the Company typically vest over a four-year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six months ended June 30, 2023:</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45"/>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102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restart"/>
          </w:tcPr>
          <w:p>
            <w:pPr>
              <w:jc w:val="center"/>
              <w:ind w:right="23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26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02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23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12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Exercise Price</w:t>
            </w:r>
          </w:p>
        </w:tc>
        <w:tc>
          <w:tcPr>
            <w:tcW w:w="140" w:type="dxa"/>
            <w:vAlign w:val="bottom"/>
          </w:tcPr>
          <w:p>
            <w:pPr>
              <w:spacing w:after="0"/>
              <w:rPr>
                <w:sz w:val="16"/>
                <w:szCs w:val="16"/>
                <w:color w:val="auto"/>
              </w:rPr>
            </w:pPr>
          </w:p>
        </w:tc>
        <w:tc>
          <w:tcPr>
            <w:tcW w:w="102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37"/>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2022</w:t>
            </w:r>
          </w:p>
        </w:tc>
        <w:tc>
          <w:tcPr>
            <w:tcW w:w="12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6,504,080</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11.99</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45"/>
              <w:spacing w:after="0"/>
              <w:rPr>
                <w:sz w:val="20"/>
                <w:szCs w:val="20"/>
                <w:color w:val="auto"/>
              </w:rPr>
            </w:pPr>
            <w:r>
              <w:rPr>
                <w:rFonts w:ascii="Arial" w:cs="Arial" w:eastAsia="Arial" w:hAnsi="Arial"/>
                <w:sz w:val="18"/>
                <w:szCs w:val="18"/>
                <w:color w:val="auto"/>
              </w:rPr>
              <w:t>8.55</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1,885,160</w:t>
            </w:r>
          </w:p>
        </w:tc>
        <w:tc>
          <w:tcPr>
            <w:tcW w:w="0" w:type="dxa"/>
            <w:vAlign w:val="bottom"/>
          </w:tcPr>
          <w:p>
            <w:pPr>
              <w:spacing w:after="0"/>
              <w:rPr>
                <w:sz w:val="1"/>
                <w:szCs w:val="1"/>
                <w:color w:val="auto"/>
              </w:rPr>
            </w:pPr>
          </w:p>
        </w:tc>
      </w:tr>
      <w:tr>
        <w:trPr>
          <w:trHeight w:val="237"/>
        </w:trPr>
        <w:tc>
          <w:tcPr>
            <w:tcW w:w="47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5,198,801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6.13</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(38,903 )</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8.96</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(1,549,387 )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11.29</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2023</w:t>
            </w:r>
          </w:p>
        </w:tc>
        <w:tc>
          <w:tcPr>
            <w:tcW w:w="126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10,114,591</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ind w:right="56"/>
              <w:spacing w:after="0"/>
              <w:rPr>
                <w:sz w:val="20"/>
                <w:szCs w:val="20"/>
                <w:color w:val="auto"/>
              </w:rPr>
            </w:pPr>
            <w:r>
              <w:rPr>
                <w:rFonts w:ascii="Arial" w:cs="Arial" w:eastAsia="Arial" w:hAnsi="Arial"/>
                <w:sz w:val="18"/>
                <w:szCs w:val="18"/>
                <w:color w:val="auto"/>
              </w:rPr>
              <w:t>9.10</w:t>
            </w:r>
          </w:p>
        </w:tc>
        <w:tc>
          <w:tcPr>
            <w:tcW w:w="1160" w:type="dxa"/>
            <w:vAlign w:val="bottom"/>
            <w:tcBorders>
              <w:bottom w:val="single" w:sz="8" w:color="CFF0FC"/>
            </w:tcBorders>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8.87</w:t>
            </w:r>
          </w:p>
        </w:tc>
        <w:tc>
          <w:tcPr>
            <w:tcW w:w="340" w:type="dxa"/>
            <w:vAlign w:val="bottom"/>
            <w:tcBorders>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8"/>
                <w:szCs w:val="18"/>
                <w:color w:val="auto"/>
              </w:rPr>
              <w:t>664,811</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Exercisable at June 30, 2023</w:t>
            </w: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2,788,847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12.84</w:t>
            </w:r>
          </w:p>
        </w:tc>
        <w:tc>
          <w:tcPr>
            <w:tcW w:w="1160" w:type="dxa"/>
            <w:vAlign w:val="bottom"/>
            <w:gridSpan w:val="2"/>
          </w:tcPr>
          <w:p>
            <w:pPr>
              <w:jc w:val="right"/>
              <w:ind w:right="45"/>
              <w:spacing w:after="0"/>
              <w:rPr>
                <w:sz w:val="20"/>
                <w:szCs w:val="20"/>
                <w:color w:val="auto"/>
              </w:rPr>
            </w:pPr>
            <w:r>
              <w:rPr>
                <w:rFonts w:ascii="Arial" w:cs="Arial" w:eastAsia="Arial" w:hAnsi="Arial"/>
                <w:sz w:val="18"/>
                <w:szCs w:val="18"/>
                <w:color w:val="auto"/>
              </w:rPr>
              <w:t>7.41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-205105</wp:posOffset>
            </wp:positionV>
            <wp:extent cx="85725"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205740"/>
                    </a:xfrm>
                    <a:prstGeom prst="rect">
                      <a:avLst/>
                    </a:prstGeom>
                    <a:noFill/>
                  </pic:spPr>
                </pic:pic>
              </a:graphicData>
            </a:graphic>
          </wp:anchor>
        </w:drawing>
      </w:r>
    </w:p>
    <w:p>
      <w:pPr>
        <w:spacing w:after="0" w:line="209" w:lineRule="exact"/>
        <w:rPr>
          <w:sz w:val="20"/>
          <w:szCs w:val="20"/>
          <w:color w:val="auto"/>
        </w:rPr>
      </w:pPr>
    </w:p>
    <w:p>
      <w:pPr>
        <w:jc w:val="both"/>
        <w:ind w:right="40" w:firstLine="509"/>
        <w:spacing w:after="0" w:line="34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24"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The weighted average grant date fair value of stock options granted in the three and six months ended June 30, 2023 was $2.50 per share and $4.83 per share, respectively. The weighted average grant date fair value of stock options granted in the three and six months ended June 30, 2022 was $8.44 per share and $9.43 per share, respectively. The total intrinsic value of stock options exercised during the three and six months ended June 30, 2023 was zero and $0.2 million, respectively. The total intrinsic value of stock options exercised during the three and six months ended June 30, 2022 was $2.2 million and $2.6 million, respectively.</w:t>
      </w:r>
    </w:p>
    <w:p>
      <w:pPr>
        <w:spacing w:after="0" w:line="188"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fair value of stock options granted during the three and six months ended June 30, 2023 and 2022 has been calculated on the date of grant using the following weighted average assumptions: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Six Months</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Six Months</w:t>
            </w:r>
          </w:p>
        </w:tc>
      </w:tr>
      <w:tr>
        <w:trPr>
          <w:trHeight w:val="148"/>
        </w:trPr>
        <w:tc>
          <w:tcPr>
            <w:tcW w:w="486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85"/>
        </w:trPr>
        <w:tc>
          <w:tcPr>
            <w:tcW w:w="4860" w:type="dxa"/>
            <w:vAlign w:val="bottom"/>
          </w:tcPr>
          <w:p>
            <w:pPr>
              <w:spacing w:after="0"/>
              <w:rPr>
                <w:sz w:val="16"/>
                <w:szCs w:val="16"/>
                <w:color w:val="auto"/>
              </w:rPr>
            </w:pPr>
          </w:p>
        </w:tc>
        <w:tc>
          <w:tcPr>
            <w:tcW w:w="12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0"/>
              </w:rPr>
              <w:t>June 30, 2023</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0"/>
              </w:rPr>
              <w:t>June 30, 2022</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0"/>
              </w:rPr>
              <w:t>June 30, 2023</w:t>
            </w: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June 30, 2022</w:t>
            </w:r>
          </w:p>
        </w:tc>
        <w:tc>
          <w:tcPr>
            <w:tcW w:w="40" w:type="dxa"/>
            <w:vAlign w:val="bottom"/>
          </w:tcPr>
          <w:p>
            <w:pPr>
              <w:spacing w:after="0"/>
              <w:rPr>
                <w:sz w:val="16"/>
                <w:szCs w:val="16"/>
                <w:color w:val="auto"/>
              </w:rPr>
            </w:pPr>
          </w:p>
        </w:tc>
      </w:tr>
      <w:tr>
        <w:trPr>
          <w:trHeight w:val="224"/>
        </w:trPr>
        <w:tc>
          <w:tcPr>
            <w:tcW w:w="48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3.5 %</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3.0 %</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3.6 %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2.0 %</w:t>
            </w:r>
          </w:p>
        </w:tc>
      </w:tr>
      <w:tr>
        <w:trPr>
          <w:trHeight w:val="249"/>
        </w:trPr>
        <w:tc>
          <w:tcPr>
            <w:tcW w:w="48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0.0 %</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0.0 %</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0.0 %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0.0 %</w:t>
            </w:r>
          </w:p>
        </w:tc>
      </w:tr>
      <w:tr>
        <w:trPr>
          <w:trHeight w:val="25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2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1"/>
                <w:szCs w:val="2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100.2 %</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88.0 %</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98.2 %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-608330</wp:posOffset>
            </wp:positionV>
            <wp:extent cx="641223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240" w:firstLine="509"/>
        <w:spacing w:after="0" w:line="308" w:lineRule="auto"/>
        <w:rPr>
          <w:sz w:val="20"/>
          <w:szCs w:val="20"/>
          <w:color w:val="auto"/>
        </w:rPr>
      </w:pPr>
      <w:r>
        <w:rPr>
          <w:rFonts w:ascii="Arial" w:cs="Arial" w:eastAsia="Arial" w:hAnsi="Arial"/>
          <w:sz w:val="18"/>
          <w:szCs w:val="18"/>
          <w:color w:val="auto"/>
        </w:rPr>
        <w:t>The Company has also granted restricted stock units. The shares of common stock underlying restricted stock units typically vest over a four-year period. The shares of common stock are recorded in stockholders’ equity as they vest.</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restricted stock unit activity during the six months ended June 30, 2023:</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238"/>
              <w:spacing w:after="0"/>
              <w:rPr>
                <w:sz w:val="20"/>
                <w:szCs w:val="20"/>
                <w:color w:val="auto"/>
              </w:rPr>
            </w:pPr>
            <w:r>
              <w:rPr>
                <w:rFonts w:ascii="Arial" w:cs="Arial" w:eastAsia="Arial" w:hAnsi="Arial"/>
                <w:sz w:val="14"/>
                <w:szCs w:val="14"/>
                <w:b w:val="1"/>
                <w:bCs w:val="1"/>
                <w:color w:val="auto"/>
                <w:w w:val="91"/>
              </w:rPr>
              <w:t>Weighted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8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6"/>
              </w:rPr>
              <w:t>Date Fair</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5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90"/>
              </w:rPr>
              <w:t>Value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Unvested at December 31, 2022</w:t>
            </w:r>
          </w:p>
        </w:tc>
        <w:tc>
          <w:tcPr>
            <w:tcW w:w="3140" w:type="dxa"/>
            <w:vAlign w:val="bottom"/>
            <w:shd w:val="clear" w:color="auto" w:fill="CFF0FC"/>
          </w:tcPr>
          <w:p>
            <w:pPr>
              <w:spacing w:after="0"/>
              <w:rPr>
                <w:sz w:val="20"/>
                <w:szCs w:val="20"/>
                <w:color w:val="auto"/>
              </w:rPr>
            </w:pPr>
          </w:p>
        </w:tc>
        <w:tc>
          <w:tcPr>
            <w:tcW w:w="15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76,718</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9.73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Granted</w:t>
            </w:r>
          </w:p>
        </w:tc>
        <w:tc>
          <w:tcPr>
            <w:tcW w:w="4720" w:type="dxa"/>
            <w:vAlign w:val="bottom"/>
            <w:gridSpan w:val="2"/>
          </w:tcPr>
          <w:p>
            <w:pPr>
              <w:jc w:val="right"/>
              <w:ind w:right="59"/>
              <w:spacing w:after="0"/>
              <w:rPr>
                <w:sz w:val="20"/>
                <w:szCs w:val="20"/>
                <w:color w:val="auto"/>
              </w:rPr>
            </w:pPr>
            <w:r>
              <w:rPr>
                <w:rFonts w:ascii="Arial" w:cs="Arial" w:eastAsia="Arial" w:hAnsi="Arial"/>
                <w:sz w:val="18"/>
                <w:szCs w:val="18"/>
                <w:color w:val="auto"/>
              </w:rPr>
              <w:t>37,045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8"/>
              <w:spacing w:after="0"/>
              <w:rPr>
                <w:sz w:val="20"/>
                <w:szCs w:val="20"/>
                <w:color w:val="auto"/>
              </w:rPr>
            </w:pPr>
            <w:r>
              <w:rPr>
                <w:rFonts w:ascii="Arial" w:cs="Arial" w:eastAsia="Arial" w:hAnsi="Arial"/>
                <w:sz w:val="18"/>
                <w:szCs w:val="18"/>
                <w:color w:val="auto"/>
              </w:rPr>
              <w:t>12.59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36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Vested</w:t>
            </w:r>
          </w:p>
        </w:tc>
        <w:tc>
          <w:tcPr>
            <w:tcW w:w="4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(18,144 )</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9.79</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4720" w:type="dxa"/>
            <w:vAlign w:val="bottom"/>
            <w:gridSpan w:val="2"/>
          </w:tcPr>
          <w:p>
            <w:pPr>
              <w:jc w:val="right"/>
              <w:spacing w:after="0"/>
              <w:rPr>
                <w:sz w:val="20"/>
                <w:szCs w:val="20"/>
                <w:color w:val="auto"/>
              </w:rPr>
            </w:pPr>
            <w:r>
              <w:rPr>
                <w:rFonts w:ascii="Arial" w:cs="Arial" w:eastAsia="Arial" w:hAnsi="Arial"/>
                <w:sz w:val="18"/>
                <w:szCs w:val="18"/>
                <w:color w:val="auto"/>
              </w:rPr>
              <w:t>(10,677 )</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8"/>
              <w:spacing w:after="0"/>
              <w:rPr>
                <w:sz w:val="20"/>
                <w:szCs w:val="20"/>
                <w:color w:val="auto"/>
              </w:rPr>
            </w:pPr>
            <w:r>
              <w:rPr>
                <w:rFonts w:ascii="Arial" w:cs="Arial" w:eastAsia="Arial" w:hAnsi="Arial"/>
                <w:sz w:val="18"/>
                <w:szCs w:val="18"/>
                <w:color w:val="auto"/>
              </w:rPr>
              <w:t>10.49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June 30, 2023</w:t>
            </w:r>
          </w:p>
        </w:tc>
        <w:tc>
          <w:tcPr>
            <w:tcW w:w="3140" w:type="dxa"/>
            <w:vAlign w:val="bottom"/>
            <w:tcBorders>
              <w:bottom w:val="single" w:sz="8" w:color="CFF0FC"/>
            </w:tcBorders>
            <w:shd w:val="clear" w:color="auto" w:fill="CFF0FC"/>
          </w:tcPr>
          <w:p>
            <w:pPr>
              <w:spacing w:after="0"/>
              <w:rPr>
                <w:sz w:val="24"/>
                <w:szCs w:val="24"/>
                <w:color w:val="auto"/>
              </w:rPr>
            </w:pPr>
          </w:p>
        </w:tc>
        <w:tc>
          <w:tcPr>
            <w:tcW w:w="158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84,942</w:t>
            </w: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ind w:right="58"/>
              <w:spacing w:after="0"/>
              <w:rPr>
                <w:sz w:val="20"/>
                <w:szCs w:val="20"/>
                <w:color w:val="auto"/>
              </w:rPr>
            </w:pPr>
            <w:r>
              <w:rPr>
                <w:rFonts w:ascii="Arial" w:cs="Arial" w:eastAsia="Arial" w:hAnsi="Arial"/>
                <w:sz w:val="18"/>
                <w:szCs w:val="18"/>
                <w:color w:val="auto"/>
              </w:rPr>
              <w:t>10.87</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5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140" w:type="dxa"/>
            <w:vAlign w:val="bottom"/>
          </w:tcPr>
          <w:p>
            <w:pPr>
              <w:jc w:val="right"/>
              <w:ind w:right="1550"/>
              <w:spacing w:after="0"/>
              <w:rPr>
                <w:sz w:val="20"/>
                <w:szCs w:val="20"/>
                <w:color w:val="auto"/>
              </w:rPr>
            </w:pPr>
            <w:r>
              <w:rPr>
                <w:rFonts w:ascii="Arial" w:cs="Arial" w:eastAsia="Arial" w:hAnsi="Arial"/>
                <w:sz w:val="18"/>
                <w:szCs w:val="18"/>
                <w:color w:val="auto"/>
              </w:rPr>
              <w:t>11</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-522605</wp:posOffset>
            </wp:positionV>
            <wp:extent cx="93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-504825</wp:posOffset>
            </wp:positionV>
            <wp:extent cx="939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right="520" w:firstLine="509"/>
        <w:spacing w:after="0" w:line="274" w:lineRule="auto"/>
        <w:rPr>
          <w:sz w:val="20"/>
          <w:szCs w:val="20"/>
          <w:color w:val="auto"/>
        </w:rPr>
      </w:pPr>
      <w:r>
        <w:rPr>
          <w:rFonts w:ascii="Arial" w:cs="Arial" w:eastAsia="Arial" w:hAnsi="Arial"/>
          <w:sz w:val="18"/>
          <w:szCs w:val="18"/>
          <w:color w:val="auto"/>
        </w:rPr>
        <w:t>The total compensation cost recognized in the statements of operations and comprehensive loss associated with all stock-based compensation awards granted by the Company is as follows (in thousands)</w:t>
      </w:r>
      <w:r>
        <w:rPr>
          <w:rFonts w:ascii="Arial" w:cs="Arial" w:eastAsia="Arial" w:hAnsi="Arial"/>
          <w:sz w:val="21"/>
          <w:szCs w:val="21"/>
          <w:color w:val="auto"/>
        </w:rPr>
        <w:t>:</w:t>
      </w:r>
    </w:p>
    <w:p>
      <w:pPr>
        <w:spacing w:after="0" w:line="2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4"/>
          </w:tcPr>
          <w:p>
            <w:pPr>
              <w:ind w:left="36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69"/>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r>
      <w:tr>
        <w:trPr>
          <w:trHeight w:val="23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2,391</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2,076</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5,799</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4,541</w:t>
            </w: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972</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803</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1,817</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2,185</w:t>
            </w:r>
          </w:p>
        </w:tc>
      </w:tr>
      <w:tr>
        <w:trPr>
          <w:trHeight w:val="276"/>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3,363</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2,879</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7,616</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6,726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-25400</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857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-25400</wp:posOffset>
            </wp:positionV>
            <wp:extent cx="946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946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09"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As of June 30, 2023, the Company had an aggregate of $37.8 million of unrecognized stock-based compensation expense, which is expected to be recognized over a weighted average period of 3.25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225"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2023, the number of shares reserved for issuance under the 2019 ESPP was increased by 428,571 shares. As of June 30, 2023, there were 1,438,938 shares available for future issuance under the ESPP.</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Collaboration and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Acceleron Collaboration Agreement</w:t>
      </w:r>
    </w:p>
    <w:p>
      <w:pPr>
        <w:spacing w:after="0" w:line="225"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On December 20, 2019, the Company entered into the Acceleron Collaboration Agreement to identify biological targets to modulate specific pathways associated with a targeted indication within the pulmonary disease space (the “Indication”). Under the terms of the Acceleron Collaboration Agreement, the Company granted Acceleron an exclusive worldwide license under certain intellectual property rights to make, have made, use, sell, have sold, import, export, distribute and have distributed, market, have marketed, promote, have promoted, or otherwise exploit molecules and products directed against or expressing certain biological targets identified by the Company for the treatment, prophylaxis, or diagnosis of the Indication.</w:t>
      </w:r>
    </w:p>
    <w:p>
      <w:pPr>
        <w:spacing w:after="0" w:line="161"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On June 3, 2022, Acceleron notified the Company of its termination of the Acceleron Collaboration Agreement for convenience, which became effective 120 days after the Company's receipt of the notice, or October 1, 2022.</w:t>
      </w:r>
    </w:p>
    <w:p>
      <w:pPr>
        <w:spacing w:after="0" w:line="1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During the three and six months ended June 30, 2023, the Company recognized no collaboration revenue associated with the Acceleron Collaboration Agreement. During the three and six months ended June 30, 2022, the Company recognized $0.1 million and $1.0 million, respectively, of collaboration revenue under the Acceleron Collaboration Agreement, which includes $0.1 million and $0.6 million, respectively, of revenue recognized that was included in deferred revenue as of December 31, 2021. As of June 30, 2023 and December 31, 2022, the Company recorded no deferred revenue, unbilled accounts receivable, or accounts receivable associated with the Acceleron Collaboration Agreement. As of June 30, 2023 and December 31, 2022, the Company had received $4.9 million of cost reimbursement payment under the Acceleron Collaboration Agreement and $2.0 million associated with the achievement of specified research milestones.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MyoKardia Collaboration Agreement</w:t>
      </w:r>
    </w:p>
    <w:p>
      <w:pPr>
        <w:spacing w:after="0" w:line="225"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On July 20, 2020, the Company entered into the MyoKardia Collaboration Agreement, as amended, pursuant to which the Company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the Company that are capable of modulating up to a certain number of genes of interest with relevance to certain genetically defined cardiomyopathies.</w:t>
      </w:r>
    </w:p>
    <w:p>
      <w:pPr>
        <w:spacing w:after="0" w:line="176"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Pursuant to a mutually agreed research plan, the Company will perform assay screening and related research activities to identify and validate up to a specified number of potential cardiomyopathy gene targets (“Identified Targets”) for further research, development, manufacture and commercialization by MyoKardia. The Company and MyoKardia will work together to determine how best to advance at each stage of the research activities under the research plan and to identify which of the Identified Targets, if any, meet the criteria set forth in the research plan (the “Cardiomyopathy Target Candidates”). Upon completion of the research plan, the parties will work together to prepare a final data package and MyoKardia may designate certain Cardiomyopathy Target Candidates for MyoKardia’s further exploitation under the MyoKardia Collaboration Agreement (the “Cardiomyopathy Targets”). If MyoKardia does not designate any Cardiomyopathy Targets during the designated period, then the MyoKardia Collaboration Agreement will automatically terminate. If MyoKardia designates one or more Cardiomyopathy Targets, then MyoKardia will be obligated to use commercially reasonable efforts to seek regulatory approval for and to commercialize one product directed against an Identified Target in certain specified countries.</w:t>
      </w:r>
    </w:p>
    <w:p>
      <w:pPr>
        <w:spacing w:after="0" w:line="166" w:lineRule="exact"/>
        <w:rPr>
          <w:sz w:val="20"/>
          <w:szCs w:val="20"/>
          <w:color w:val="auto"/>
        </w:rPr>
      </w:pPr>
    </w:p>
    <w:p>
      <w:pPr>
        <w:ind w:right="200" w:firstLine="509"/>
        <w:spacing w:after="0" w:line="272" w:lineRule="auto"/>
        <w:rPr>
          <w:sz w:val="20"/>
          <w:szCs w:val="20"/>
          <w:color w:val="auto"/>
        </w:rPr>
      </w:pPr>
      <w:r>
        <w:rPr>
          <w:rFonts w:ascii="Arial" w:cs="Arial" w:eastAsia="Arial" w:hAnsi="Arial"/>
          <w:sz w:val="17"/>
          <w:szCs w:val="17"/>
          <w:color w:val="auto"/>
        </w:rPr>
        <w:t>During the period in which the Company is performing the research activities pursuant to the research plan (the “Research Term”) and for a specified period beyond the Research Term if MyoKardia designates a Cardiomyopathy Target, the Company may only use the data generated from such research activities for MyoKardia in accordance with the MyoKardia Collaboration Agreement. During the Research Term and for a specified period thereafter, the Company may not research, develop, manufacture, commercialize, use, or otherwise exploit any compound or product (a) that is a Compound or Product under the MyoKardia Collaboration Agreement that is directed against the Cardiomyopathy Target Candidates for the treatment, prophylaxis, or diagnosis of any indication or (b) for the treatment of any genetically defined cardiomyopathies shown to be related to certain specified genes of interest that are modulated by the Cardiomyopathy Targets.</w:t>
      </w:r>
    </w:p>
    <w:p>
      <w:pPr>
        <w:spacing w:after="0" w:line="177"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Under the MyoKardia Collaboration Agreement, MyoKardia made a $10.0 million upfront payment and a $2.5 million payment as prepaid research funding to the Company in July 2020. MyoKardia will also reimburse the Company for the costs of the research activities not covered by the prepaid research funding, up to a maximum amount of total research funding (including the prepaid research funding). Upon the achievement of specified preclinical, development and sales milestones, the Company will be entitled to preclinical milestone payments, development milestone payments and sales milestone payments of up to $298.5 million in the aggregate per target for certain Identified Targets, and of up to $150.0 million in the aggregate per target for certain other Identified Targets. To date, the Company has achieved a $2.5 million specified preclinical milestone. MyoKardia will also pay the Company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66"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The MyoKardia Collaboration Agreement continues on a country-by-country and product-by-product basis until the last to expire royalty term for a product, at which time the MyoKardia Collaboration Agreement expires with respect to such product in such country. Either party has the right to terminate the MyoKardia Collaboration Agreement if the other party has materially breached in the performance of its obligations under the MyoKardia Collaboration Agreement and such breach has not been cured within the applicable cure period. MyoKardia also has the right to terminate the MyoKardia Collaboration Agreement for convenience in its entirety or on a target-by-target, product-by-product or molecule-by-molecule basis.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Contract</w:t>
      </w:r>
    </w:p>
    <w:p>
      <w:pPr>
        <w:spacing w:after="0" w:line="225"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Company assessed the MyoKardia Collaboration Agreement and concluded that it represents a contract with a customer within the scope of ASC 606.</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Identification of the Promises and Performance Obligations</w:t>
      </w:r>
    </w:p>
    <w:p>
      <w:pPr>
        <w:spacing w:after="0" w:line="225"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Company determined that the MyoKardia Collaboration Agreement contains the following promises: (i) an exclusive worldwide license under certain intellectual property rights, including rights to a specified number of potential cardiomyopathy gene targets identified by the Company for further research, development, manufacture and commercialization for the treatment, prophylaxis, or diagnosis of certain genetically defined cardiomyopathies that was conveyed at the inception of the arrangement (the “MyoKardia License”), (ii) research services to identify and validate potential biological targets (the “MyoKardia Research Services”), and (iii) participation in the joint steering committee (the “MyoKardia JSC”).</w:t>
      </w:r>
    </w:p>
    <w:p>
      <w:pPr>
        <w:spacing w:after="0" w:line="176"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The Company assessed the above promises and concluded that the MyoKardia License is not capable of being distinct from the MyoKardia Research Services given that the MyoKardia License has limited value without the performance of the MyoKardia Research Services and the MyoKardia Research Services can only be performed by the Company due to their specialized nature. Therefore, the Company has concluded that the MyoKardia License and the MyoKardia Research Services represent a single combined performance obligation.</w:t>
      </w:r>
    </w:p>
    <w:p>
      <w:pPr>
        <w:spacing w:after="0" w:line="17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Company also assessed the participation on the MyoKardia JSC and concluded that the promise is quantitatively and qualitatively immaterial in the context of the MyoKardia Collaboration Agreement. Accordingly, the Company has disregarded its participation on the MyoKardia JSC as a performance obligation.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225"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The Company received a non-refundable upfront payment of $10.0 million, which the Company included in the transaction price. In December 2021, the Company achieved a $2.5 million specified preclinical milestone associated with the MyoKardia Collaboration Agreement, which was previously constrained due to the significant uncertainty regarding whether such preclinical milestone would be achieved. The Company included this amount in the transaction price as of December 31, 2021. Based on the continued uncertainty associated with the achievement of any of the remaining preclinical and development milestone payments that the Company is eligible to receive, the Company has constrained the variable consideration associated with those milestone payments and excluded them from the transaction price. As part of its evaluation of constraining the preclinical and development milestones, the Company considered numerous factors, including the fact that the achievement of the preclinical and development milestones are contingent upon the results of the underlying preclinical and development activities and are thus outside of the control of the Company.</w:t>
      </w:r>
    </w:p>
    <w:p>
      <w:pPr>
        <w:spacing w:after="0" w:line="165"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Company also included in the transaction price the expected amount of costs to be reimbursed for the MyoKardia Research Services, which includes the $2.5 million prepaid research funding payment that the Company received in the third quarter of 2020.</w:t>
      </w:r>
    </w:p>
    <w:p>
      <w:pPr>
        <w:spacing w:after="0" w:line="170" w:lineRule="exact"/>
        <w:rPr>
          <w:sz w:val="20"/>
          <w:szCs w:val="20"/>
          <w:color w:val="auto"/>
        </w:rPr>
      </w:pPr>
    </w:p>
    <w:p>
      <w:pPr>
        <w:jc w:val="both"/>
        <w:ind w:right="840" w:firstLine="509"/>
        <w:spacing w:after="0" w:line="263" w:lineRule="auto"/>
        <w:rPr>
          <w:sz w:val="20"/>
          <w:szCs w:val="20"/>
          <w:color w:val="auto"/>
        </w:rPr>
      </w:pPr>
      <w:r>
        <w:rPr>
          <w:rFonts w:ascii="Arial" w:cs="Arial" w:eastAsia="Arial" w:hAnsi="Arial"/>
          <w:sz w:val="18"/>
          <w:szCs w:val="18"/>
          <w:color w:val="auto"/>
        </w:rPr>
        <w:t>The Company reassesses the transaction price at the end of each reporting period and as uncertain events are resolved or other changes in circumstances occur, and, if necessary, adjusts its estimate of the transaction price. There was no change in the amount of variable consideration constrained during the three and six months ended June 30, 2023.</w:t>
      </w:r>
    </w:p>
    <w:p>
      <w:pPr>
        <w:spacing w:after="0" w:line="184"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Any consideration related to sales milestone payments (including royalties) will be recognized when the related sales occur as these amounts have been determined to relate predominantly to the license granted to MyoKardia and therefore are recognized at the later of when the related sales occur or the performance obligation is satisfied.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the Transaction Price to Performance Obligations</w:t>
      </w:r>
    </w:p>
    <w:p>
      <w:pPr>
        <w:spacing w:after="0" w:line="225"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As noted above, the Company has identified a single performance obligation associated with the MyoKardia Collaboration Agreement. Therefore, the Company will allocate the entire amount of the transaction price to the identified single performance obligation.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Recognition of Revenue</w:t>
      </w:r>
    </w:p>
    <w:p>
      <w:pPr>
        <w:spacing w:after="0" w:line="225" w:lineRule="exact"/>
        <w:rPr>
          <w:sz w:val="20"/>
          <w:szCs w:val="20"/>
          <w:color w:val="auto"/>
        </w:rPr>
      </w:pPr>
    </w:p>
    <w:p>
      <w:pPr>
        <w:ind w:right="140" w:firstLine="509"/>
        <w:spacing w:after="0" w:line="293" w:lineRule="auto"/>
        <w:rPr>
          <w:sz w:val="20"/>
          <w:szCs w:val="20"/>
          <w:color w:val="auto"/>
        </w:rPr>
      </w:pPr>
      <w:r>
        <w:rPr>
          <w:rFonts w:ascii="Arial" w:cs="Arial" w:eastAsia="Arial" w:hAnsi="Arial"/>
          <w:sz w:val="16"/>
          <w:szCs w:val="16"/>
          <w:color w:val="auto"/>
        </w:rPr>
        <w:t>The Company recognizes revenue related to the MyoKardia Collaboration Agreement over time as the MyoKardia Research Services are rendered. The Company has concluded that an input method is a representative depiction of the transfer of services under the MyoKardia Collaboration Agreement. The method of measuring progress towards the delivery of the services incorporates actual cumulative internal and external costs incurred relative to total internal and external costs expected to be incurred to satisfy the performance obligation. The period over which total costs are estimated reflects the Company’s estimate of the period over which it will perform the MyoKardia Research Services. Changes in estimates of total internal and external costs expected to be incurred are recognized in the period of change as a cumulative catch-up adjustment.</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three and six months ended June 30, 2023, the Company recognized $0.9 million and $1.2 million, respectively, of collaboration revenue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associated with the MyoKardia Collaboration Agreement, which includes $0.2 million and $0.4 million, respectively, of revenue recognized that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included in deferred revenue as of December 31, 2022. During the three and six months ended June 30, 2022, the Company recognized $1.7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 million, respectively, of collaboration revenue associated with the MyoKardia Collaboration Agreement, which includes $1.0 million and $2.3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of revenue recognized that was in deferred revenue as of December 31, 2021. As of June 30, 2023 and December 31, 2022,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recorded deferred revenue of $0.5 million and $0.9 million, respectively, associated with the MyoKardia Collaboration Agreement, which is classified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either current or net of current portion in the accompanying consolidated balance sheets based on the period over which the revenue is expected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recognized. The aggregate deferred revenue balance represents the aggregate amount of the transaction price allocated to the performance obligations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unsatisfied as of June 30, 2023 and December 31, 2022. As of June 30, 2023, the Company had received $5.9 million of cost reimbursement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MyoKardia Collaboration Agreement and $2.5 million associated with the achievement of a preclinical milestone. As of December 31, 2022,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had received $5.6 million of cost reimbursement payments under the MyoKardia Collaboration Agreement and $2.5 million associated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achievement of a preclinical milestone. As of June 30, 2023, the Company recorded unbilled accounts receivable of $0.7 million related to reimbursable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costs under the MyoKardia Collaboration Agreement for activities performed during the three months ended June 30, 2023.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December 31, 2022, the Company recorded unbilled accounts receivable of $0.2 million related to reimbursable research and development costs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MyoKardia Collaboration Agreement for activities performed during the three months ended December 31, 2021. As of June 30, 2023 and December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 2022, the Company recorded no accounts receivable under the MyoKardia Collaboration Agreement.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Right of Reference and License Agreement</w:t>
      </w:r>
    </w:p>
    <w:p>
      <w:pPr>
        <w:spacing w:after="0" w:line="229"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In February 2019, the Company entered into the right of reference and license agreement, as amended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64"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Under the GSK Agreement, the Company issued 12,500,000 shares of Series B Preferred Stock to GSK. In addition, the Company may owe GSK up to $37.5 million in certain specified clinical and regulatory milestones, including a $5.0 million milestone that was achieved during the second quarter of 2022 and a $2.5 million milestone previously achieved and paid during 2019, and up to $60.0 million in certain specified sales milestones. The Company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w:t>
      </w:r>
    </w:p>
    <w:p>
      <w:pPr>
        <w:spacing w:after="0" w:line="161" w:lineRule="exact"/>
        <w:rPr>
          <w:sz w:val="20"/>
          <w:szCs w:val="20"/>
          <w:color w:val="auto"/>
        </w:rPr>
      </w:pPr>
    </w:p>
    <w:p>
      <w:pPr>
        <w:ind w:right="340" w:firstLine="509"/>
        <w:spacing w:after="0" w:line="259" w:lineRule="auto"/>
        <w:rPr>
          <w:sz w:val="20"/>
          <w:szCs w:val="20"/>
          <w:color w:val="auto"/>
        </w:rPr>
      </w:pPr>
      <w:r>
        <w:rPr>
          <w:rFonts w:ascii="Arial" w:cs="Arial" w:eastAsia="Arial" w:hAnsi="Arial"/>
          <w:sz w:val="18"/>
          <w:szCs w:val="18"/>
          <w:color w:val="auto"/>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8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The Company recognizes clinical and regulatory milestone payments when the underlying contingency is resolved and the consideration is paid or becomes payable. The milestone payments are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12.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26 Landsdowne Street</w:t>
      </w:r>
    </w:p>
    <w:p>
      <w:pPr>
        <w:spacing w:after="0" w:line="225"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June 30, 2023 and December 31, 2022. Operating lease expense and variable lease expense associated with this lease for the three months ended June 30, 2023 was approximately $0.5 million and $0.2 million, respectively. Operating lease expense and variable lease expense associated with this lease for the six months ended June 30, 2023 was approximately $0.9 million and $0.4 million, respectively.</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future minimum lease payments associated with the 26 Landsdowne Street lease as of June 30, 2023, are as follows (in thousands):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2023(1)</w:t>
            </w:r>
          </w:p>
        </w:tc>
        <w:tc>
          <w:tcPr>
            <w:tcW w:w="78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140" w:type="dxa"/>
            <w:vAlign w:val="bottom"/>
            <w:shd w:val="clear" w:color="auto" w:fill="CFF0FC"/>
          </w:tcPr>
          <w:p>
            <w:pPr>
              <w:spacing w:after="0"/>
              <w:rPr>
                <w:sz w:val="21"/>
                <w:szCs w:val="21"/>
                <w:color w:val="auto"/>
              </w:rPr>
            </w:pPr>
          </w:p>
        </w:tc>
      </w:tr>
      <w:tr>
        <w:trPr>
          <w:trHeight w:val="237"/>
        </w:trPr>
        <w:tc>
          <w:tcPr>
            <w:tcW w:w="1360" w:type="dxa"/>
            <w:vAlign w:val="bottom"/>
          </w:tcPr>
          <w:p>
            <w:pPr>
              <w:ind w:left="20"/>
              <w:spacing w:after="0"/>
              <w:rPr>
                <w:sz w:val="20"/>
                <w:szCs w:val="20"/>
                <w:color w:val="auto"/>
              </w:rPr>
            </w:pPr>
            <w:r>
              <w:rPr>
                <w:rFonts w:ascii="Arial" w:cs="Arial" w:eastAsia="Arial" w:hAnsi="Arial"/>
                <w:sz w:val="18"/>
                <w:szCs w:val="18"/>
                <w:color w:val="auto"/>
              </w:rPr>
              <w:t>2024</w:t>
            </w:r>
          </w:p>
        </w:tc>
        <w:tc>
          <w:tcPr>
            <w:tcW w:w="7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2,572</w:t>
            </w:r>
          </w:p>
        </w:tc>
        <w:tc>
          <w:tcPr>
            <w:tcW w:w="140" w:type="dxa"/>
            <w:vAlign w:val="bottom"/>
          </w:tcPr>
          <w:p>
            <w:pPr>
              <w:spacing w:after="0"/>
              <w:rPr>
                <w:sz w:val="20"/>
                <w:szCs w:val="20"/>
                <w:color w:val="auto"/>
              </w:rPr>
            </w:pPr>
          </w:p>
        </w:tc>
      </w:tr>
      <w:tr>
        <w:trPr>
          <w:trHeight w:val="249"/>
        </w:trPr>
        <w:tc>
          <w:tcPr>
            <w:tcW w:w="1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78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140" w:type="dxa"/>
            <w:vAlign w:val="bottom"/>
            <w:shd w:val="clear" w:color="auto" w:fill="CFF0FC"/>
          </w:tcPr>
          <w:p>
            <w:pPr>
              <w:spacing w:after="0"/>
              <w:rPr>
                <w:sz w:val="21"/>
                <w:szCs w:val="21"/>
                <w:color w:val="auto"/>
              </w:rPr>
            </w:pPr>
          </w:p>
        </w:tc>
      </w:tr>
      <w:tr>
        <w:trPr>
          <w:trHeight w:val="237"/>
        </w:trPr>
        <w:tc>
          <w:tcPr>
            <w:tcW w:w="1360" w:type="dxa"/>
            <w:vAlign w:val="bottom"/>
          </w:tcPr>
          <w:p>
            <w:pPr>
              <w:ind w:left="20"/>
              <w:spacing w:after="0"/>
              <w:rPr>
                <w:sz w:val="20"/>
                <w:szCs w:val="20"/>
                <w:color w:val="auto"/>
              </w:rPr>
            </w:pPr>
            <w:r>
              <w:rPr>
                <w:rFonts w:ascii="Arial" w:cs="Arial" w:eastAsia="Arial" w:hAnsi="Arial"/>
                <w:sz w:val="18"/>
                <w:szCs w:val="18"/>
                <w:color w:val="auto"/>
              </w:rPr>
              <w:t>2026</w:t>
            </w:r>
          </w:p>
        </w:tc>
        <w:tc>
          <w:tcPr>
            <w:tcW w:w="7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2,729</w:t>
            </w:r>
          </w:p>
        </w:tc>
        <w:tc>
          <w:tcPr>
            <w:tcW w:w="140" w:type="dxa"/>
            <w:vAlign w:val="bottom"/>
          </w:tcPr>
          <w:p>
            <w:pPr>
              <w:spacing w:after="0"/>
              <w:rPr>
                <w:sz w:val="20"/>
                <w:szCs w:val="20"/>
                <w:color w:val="auto"/>
              </w:rPr>
            </w:pPr>
          </w:p>
        </w:tc>
      </w:tr>
      <w:tr>
        <w:trPr>
          <w:trHeight w:val="249"/>
        </w:trPr>
        <w:tc>
          <w:tcPr>
            <w:tcW w:w="1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78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w:t>
            </w:r>
          </w:p>
        </w:tc>
        <w:tc>
          <w:tcPr>
            <w:tcW w:w="140" w:type="dxa"/>
            <w:vAlign w:val="bottom"/>
            <w:shd w:val="clear" w:color="auto" w:fill="CFF0FC"/>
          </w:tcPr>
          <w:p>
            <w:pPr>
              <w:spacing w:after="0"/>
              <w:rPr>
                <w:sz w:val="21"/>
                <w:szCs w:val="21"/>
                <w:color w:val="auto"/>
              </w:rPr>
            </w:pPr>
          </w:p>
        </w:tc>
      </w:tr>
      <w:tr>
        <w:trPr>
          <w:trHeight w:val="237"/>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7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40" w:type="dxa"/>
            <w:vAlign w:val="bottom"/>
          </w:tcPr>
          <w:p>
            <w:pPr>
              <w:spacing w:after="0"/>
              <w:rPr>
                <w:sz w:val="20"/>
                <w:szCs w:val="20"/>
                <w:color w:val="auto"/>
              </w:rPr>
            </w:pPr>
          </w:p>
        </w:tc>
      </w:tr>
      <w:tr>
        <w:trPr>
          <w:trHeight w:val="243"/>
        </w:trPr>
        <w:tc>
          <w:tcPr>
            <w:tcW w:w="91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minimum lease payments</w:t>
            </w:r>
          </w:p>
        </w:tc>
        <w:tc>
          <w:tcPr>
            <w:tcW w:w="7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13,453</w:t>
            </w:r>
          </w:p>
        </w:tc>
        <w:tc>
          <w:tcPr>
            <w:tcW w:w="140" w:type="dxa"/>
            <w:vAlign w:val="bottom"/>
            <w:shd w:val="clear" w:color="auto" w:fill="CFF0FC"/>
          </w:tcPr>
          <w:p>
            <w:pPr>
              <w:spacing w:after="0"/>
              <w:rPr>
                <w:sz w:val="21"/>
                <w:szCs w:val="21"/>
                <w:color w:val="auto"/>
              </w:rPr>
            </w:pPr>
          </w:p>
        </w:tc>
      </w:tr>
      <w:tr>
        <w:trPr>
          <w:trHeight w:val="237"/>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Less: imputed interest</w:t>
            </w:r>
          </w:p>
        </w:tc>
        <w:tc>
          <w:tcPr>
            <w:tcW w:w="760" w:type="dxa"/>
            <w:vAlign w:val="bottom"/>
          </w:tcPr>
          <w:p>
            <w:pPr>
              <w:spacing w:after="0"/>
              <w:rPr>
                <w:sz w:val="20"/>
                <w:szCs w:val="20"/>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(1,913 )</w:t>
            </w:r>
          </w:p>
        </w:tc>
      </w:tr>
      <w:tr>
        <w:trPr>
          <w:trHeight w:val="277"/>
        </w:trPr>
        <w:tc>
          <w:tcPr>
            <w:tcW w:w="91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lease liability</w:t>
            </w: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11,540</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122"/>
        </w:trPr>
        <w:tc>
          <w:tcPr>
            <w:tcW w:w="1360" w:type="dxa"/>
            <w:vAlign w:val="bottom"/>
            <w:tcBorders>
              <w:bottom w:val="single" w:sz="8" w:color="auto"/>
            </w:tcBorders>
          </w:tcPr>
          <w:p>
            <w:pPr>
              <w:spacing w:after="0"/>
              <w:rPr>
                <w:sz w:val="10"/>
                <w:szCs w:val="10"/>
                <w:color w:val="auto"/>
              </w:rPr>
            </w:pPr>
          </w:p>
        </w:tc>
        <w:tc>
          <w:tcPr>
            <w:tcW w:w="7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-119380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-102235</wp:posOffset>
            </wp:positionV>
            <wp:extent cx="857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 w:lineRule="exact"/>
        <w:rPr>
          <w:sz w:val="20"/>
          <w:szCs w:val="20"/>
          <w:color w:val="auto"/>
        </w:rPr>
      </w:pPr>
    </w:p>
    <w:p>
      <w:pPr>
        <w:ind w:left="520" w:right="6420" w:hanging="512"/>
        <w:spacing w:after="0" w:line="500"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Amounts are for the six months ending December 31, 2023. </w:t>
      </w:r>
      <w:r>
        <w:rPr>
          <w:rFonts w:ascii="Arial" w:cs="Arial" w:eastAsia="Arial" w:hAnsi="Arial"/>
          <w:sz w:val="18"/>
          <w:szCs w:val="18"/>
          <w:i w:val="1"/>
          <w:iCs w:val="1"/>
          <w:color w:val="auto"/>
        </w:rPr>
        <w:t>125 Sidney Street</w:t>
      </w:r>
    </w:p>
    <w:p>
      <w:pPr>
        <w:spacing w:after="0" w:line="2"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In November 2021, the Company entered into a lease agreement comprising approximately 12,196 square feet of office space at 125 Sidney Street in Cambridge, Massachusetts, commencing November 2021. The Company began recognizing rent expense associated with this lease during November 2021. The lease ends on March 31, 2024. The Company has the option to extend the term of the lease for two successive one-year periods, at the market rate, by giving the landlord written notice of its election to exercise the extension at least nine months prior to the original expiration of the lease term. The lease has a total commitment of $1.7 million over the initial term, and includes escalating rent payments. Operating lease expense associated with this lease for the three and six months ended June 30, 2023 was approximately $0.2 million and $0.4 million, respectively. No variable lease expense was recorded associated with this lease for the three and six months ended June 30,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8740" w:type="dxa"/>
            <w:vAlign w:val="bottom"/>
            <w:gridSpan w:val="2"/>
          </w:tcPr>
          <w:p>
            <w:pPr>
              <w:ind w:left="80"/>
              <w:spacing w:after="0"/>
              <w:rPr>
                <w:sz w:val="20"/>
                <w:szCs w:val="20"/>
                <w:color w:val="auto"/>
              </w:rPr>
            </w:pPr>
            <w:r>
              <w:rPr>
                <w:rFonts w:ascii="Arial" w:cs="Arial" w:eastAsia="Arial" w:hAnsi="Arial"/>
                <w:sz w:val="18"/>
                <w:szCs w:val="18"/>
                <w:color w:val="auto"/>
                <w:w w:val="95"/>
              </w:rPr>
              <w:t>The future minimum lease payments associated with this lease as of June 30, 2023, are as follows (in thousands):</w:t>
            </w: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0"/>
        </w:trPr>
        <w:tc>
          <w:tcPr>
            <w:tcW w:w="1360" w:type="dxa"/>
            <w:vAlign w:val="bottom"/>
            <w:gridSpan w:val="2"/>
          </w:tcPr>
          <w:p>
            <w:pPr>
              <w:spacing w:after="0"/>
              <w:rPr>
                <w:sz w:val="23"/>
                <w:szCs w:val="23"/>
                <w:color w:val="auto"/>
              </w:rPr>
            </w:pPr>
          </w:p>
        </w:tc>
        <w:tc>
          <w:tcPr>
            <w:tcW w:w="78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43"/>
        </w:trPr>
        <w:tc>
          <w:tcPr>
            <w:tcW w:w="13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2023(1)</w:t>
            </w:r>
          </w:p>
        </w:tc>
        <w:tc>
          <w:tcPr>
            <w:tcW w:w="78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40" w:type="dxa"/>
            <w:vAlign w:val="bottom"/>
            <w:shd w:val="clear" w:color="auto" w:fill="CFF0FC"/>
          </w:tcPr>
          <w:p>
            <w:pPr>
              <w:spacing w:after="0"/>
              <w:rPr>
                <w:sz w:val="21"/>
                <w:szCs w:val="21"/>
                <w:color w:val="auto"/>
              </w:rPr>
            </w:pPr>
          </w:p>
        </w:tc>
      </w:tr>
      <w:tr>
        <w:trPr>
          <w:trHeight w:val="237"/>
        </w:trPr>
        <w:tc>
          <w:tcPr>
            <w:tcW w:w="440" w:type="dxa"/>
            <w:vAlign w:val="bottom"/>
          </w:tcPr>
          <w:p>
            <w:pPr>
              <w:ind w:left="20"/>
              <w:spacing w:after="0"/>
              <w:rPr>
                <w:sz w:val="20"/>
                <w:szCs w:val="20"/>
                <w:color w:val="auto"/>
              </w:rPr>
            </w:pPr>
            <w:r>
              <w:rPr>
                <w:rFonts w:ascii="Arial" w:cs="Arial" w:eastAsia="Arial" w:hAnsi="Arial"/>
                <w:sz w:val="18"/>
                <w:szCs w:val="18"/>
                <w:color w:val="auto"/>
                <w:w w:val="99"/>
              </w:rPr>
              <w:t>2024</w:t>
            </w:r>
          </w:p>
        </w:tc>
        <w:tc>
          <w:tcPr>
            <w:tcW w:w="92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20"/>
                <w:szCs w:val="20"/>
                <w:color w:val="auto"/>
              </w:rPr>
            </w:pPr>
          </w:p>
        </w:tc>
      </w:tr>
      <w:tr>
        <w:trPr>
          <w:trHeight w:val="243"/>
        </w:trPr>
        <w:tc>
          <w:tcPr>
            <w:tcW w:w="91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minimum lease payments</w:t>
            </w:r>
          </w:p>
        </w:tc>
        <w:tc>
          <w:tcPr>
            <w:tcW w:w="8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40" w:type="dxa"/>
            <w:vAlign w:val="bottom"/>
            <w:shd w:val="clear" w:color="auto" w:fill="CFF0FC"/>
          </w:tcPr>
          <w:p>
            <w:pPr>
              <w:spacing w:after="0"/>
              <w:rPr>
                <w:sz w:val="21"/>
                <w:szCs w:val="21"/>
                <w:color w:val="auto"/>
              </w:rPr>
            </w:pPr>
          </w:p>
        </w:tc>
      </w:tr>
      <w:tr>
        <w:trPr>
          <w:trHeight w:val="237"/>
        </w:trPr>
        <w:tc>
          <w:tcPr>
            <w:tcW w:w="9180" w:type="dxa"/>
            <w:vAlign w:val="bottom"/>
            <w:gridSpan w:val="3"/>
          </w:tcPr>
          <w:p>
            <w:pPr>
              <w:ind w:left="20"/>
              <w:spacing w:after="0"/>
              <w:rPr>
                <w:sz w:val="20"/>
                <w:szCs w:val="20"/>
                <w:color w:val="auto"/>
              </w:rPr>
            </w:pPr>
            <w:r>
              <w:rPr>
                <w:rFonts w:ascii="Arial" w:cs="Arial" w:eastAsia="Arial" w:hAnsi="Arial"/>
                <w:sz w:val="18"/>
                <w:szCs w:val="18"/>
                <w:color w:val="auto"/>
              </w:rPr>
              <w:t>Less: imputed interest</w:t>
            </w:r>
          </w:p>
        </w:tc>
        <w:tc>
          <w:tcPr>
            <w:tcW w:w="8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(11 )</w:t>
            </w:r>
          </w:p>
        </w:tc>
      </w:tr>
      <w:tr>
        <w:trPr>
          <w:trHeight w:val="276"/>
        </w:trPr>
        <w:tc>
          <w:tcPr>
            <w:tcW w:w="91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Total lease liability</w:t>
            </w:r>
          </w:p>
        </w:tc>
        <w:tc>
          <w:tcPr>
            <w:tcW w:w="860" w:type="dxa"/>
            <w:vAlign w:val="bottom"/>
            <w:tcBorders>
              <w:top w:val="single" w:sz="8" w:color="auto"/>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135"/>
        </w:trPr>
        <w:tc>
          <w:tcPr>
            <w:tcW w:w="4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7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64"/>
        </w:trPr>
        <w:tc>
          <w:tcPr>
            <w:tcW w:w="440" w:type="dxa"/>
            <w:vAlign w:val="bottom"/>
          </w:tcPr>
          <w:p>
            <w:pPr>
              <w:spacing w:after="0"/>
              <w:rPr>
                <w:sz w:val="20"/>
                <w:szCs w:val="20"/>
                <w:color w:val="auto"/>
              </w:rPr>
            </w:pPr>
            <w:r>
              <w:rPr>
                <w:rFonts w:ascii="Arial" w:cs="Arial" w:eastAsia="Arial" w:hAnsi="Arial"/>
                <w:sz w:val="18"/>
                <w:szCs w:val="18"/>
                <w:color w:val="auto"/>
              </w:rPr>
              <w:t>1.</w:t>
            </w:r>
          </w:p>
        </w:tc>
        <w:tc>
          <w:tcPr>
            <w:tcW w:w="8740" w:type="dxa"/>
            <w:vAlign w:val="bottom"/>
            <w:gridSpan w:val="2"/>
          </w:tcPr>
          <w:p>
            <w:pPr>
              <w:ind w:left="80"/>
              <w:spacing w:after="0"/>
              <w:rPr>
                <w:sz w:val="20"/>
                <w:szCs w:val="20"/>
                <w:color w:val="auto"/>
              </w:rPr>
            </w:pPr>
            <w:r>
              <w:rPr>
                <w:rFonts w:ascii="Arial" w:cs="Arial" w:eastAsia="Arial" w:hAnsi="Arial"/>
                <w:sz w:val="18"/>
                <w:szCs w:val="18"/>
                <w:color w:val="auto"/>
              </w:rPr>
              <w:t>Amounts are for the six months ending December 31, 2023.</w:t>
            </w:r>
          </w:p>
        </w:tc>
        <w:tc>
          <w:tcPr>
            <w:tcW w:w="8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432"/>
        </w:trPr>
        <w:tc>
          <w:tcPr>
            <w:tcW w:w="440" w:type="dxa"/>
            <w:vAlign w:val="bottom"/>
          </w:tcPr>
          <w:p>
            <w:pPr>
              <w:spacing w:after="0"/>
              <w:rPr>
                <w:sz w:val="24"/>
                <w:szCs w:val="24"/>
                <w:color w:val="auto"/>
              </w:rPr>
            </w:pPr>
          </w:p>
        </w:tc>
        <w:tc>
          <w:tcPr>
            <w:tcW w:w="8740" w:type="dxa"/>
            <w:vAlign w:val="bottom"/>
            <w:gridSpan w:val="2"/>
          </w:tcPr>
          <w:p>
            <w:pPr>
              <w:jc w:val="right"/>
              <w:ind w:right="3460"/>
              <w:spacing w:after="0"/>
              <w:rPr>
                <w:sz w:val="20"/>
                <w:szCs w:val="20"/>
                <w:color w:val="auto"/>
              </w:rPr>
            </w:pPr>
            <w:r>
              <w:rPr>
                <w:rFonts w:ascii="Arial" w:cs="Arial" w:eastAsia="Arial" w:hAnsi="Arial"/>
                <w:sz w:val="18"/>
                <w:szCs w:val="18"/>
                <w:color w:val="auto"/>
              </w:rPr>
              <w:t>16</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5"/>
        </w:trPr>
        <w:tc>
          <w:tcPr>
            <w:tcW w:w="4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78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-659765</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-642620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June 30, 2023 or December 31, 2022.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 xml:space="preserve">On April 28, 2023, a class action complaint, </w:t>
      </w:r>
      <w:r>
        <w:rPr>
          <w:rFonts w:ascii="Arial" w:cs="Arial" w:eastAsia="Arial" w:hAnsi="Arial"/>
          <w:sz w:val="17"/>
          <w:szCs w:val="17"/>
          <w:i w:val="1"/>
          <w:iCs w:val="1"/>
          <w:color w:val="auto"/>
        </w:rPr>
        <w:t>Celano v. Fulcrum Therapeutics, Inc., et al</w:t>
      </w:r>
      <w:r>
        <w:rPr>
          <w:rFonts w:ascii="Arial" w:cs="Arial" w:eastAsia="Arial" w:hAnsi="Arial"/>
          <w:sz w:val="17"/>
          <w:szCs w:val="17"/>
          <w:color w:val="auto"/>
        </w:rPr>
        <w:t>., Case No. 1:23-cv-11125-IT, was filed in the United States District Court for the District of New Jersey against the Company and current and former officers (the “Securities Action”). On May 19, 2023, the Securities Action was transferred to the United States District Court for the District of Massachusetts. The Securities Action alleges violations of Section 10(b) of the Securities Exchange Act of 1934, as amended, and Rule 10b-5 promulgated thereunder against all defendants and control person violations of Section 20(a) against the individuals, related to the Company's February 2023 announcement that the U.S. Food and Drug Administration issued a clinical hold regarding the investigational new drug application for FTX-6058 for the potential treatment of sickle cell disease. The Securities Action alleges that the defendants made misleading statements and omitted to disclose material information related to the clinical hold and seeks, among other things, compensatory damages in connection with an allegedly inflated stock price between March 3, 2022, and March 8, 2023, as well as attorneys’ fees and costs. The Company intends to defend vigorously against this litigation.</w:t>
      </w:r>
    </w:p>
    <w:p>
      <w:pPr>
        <w:spacing w:after="0" w:line="181" w:lineRule="exact"/>
        <w:rPr>
          <w:sz w:val="20"/>
          <w:szCs w:val="20"/>
          <w:color w:val="auto"/>
        </w:rPr>
      </w:pPr>
    </w:p>
    <w:p>
      <w:pPr>
        <w:ind w:right="340" w:firstLine="509"/>
        <w:spacing w:after="0" w:line="311" w:lineRule="auto"/>
        <w:rPr>
          <w:sz w:val="20"/>
          <w:szCs w:val="20"/>
          <w:color w:val="auto"/>
        </w:rPr>
      </w:pPr>
      <w:r>
        <w:rPr>
          <w:rFonts w:ascii="Arial" w:cs="Arial" w:eastAsia="Arial" w:hAnsi="Arial"/>
          <w:sz w:val="16"/>
          <w:szCs w:val="16"/>
          <w:color w:val="auto"/>
        </w:rPr>
        <w:t>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and six months ended June 30, 2023.</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Defined Contribution Plan</w:t>
      </w:r>
    </w:p>
    <w:p>
      <w:pPr>
        <w:spacing w:after="0" w:line="229"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$0.2 million and $0.4 million, respectively, in contributions to the 401(k) Plan for the three and six months ended June 30, 2023. The Company made $0.2 million and $0.4 million, respectively, in contributions to the 401(k) Plan for the three and six months ended June 30, 2022.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Share</w:t>
      </w:r>
    </w:p>
    <w:p>
      <w:pPr>
        <w:spacing w:after="0" w:line="229" w:lineRule="exact"/>
        <w:rPr>
          <w:sz w:val="20"/>
          <w:szCs w:val="20"/>
          <w:color w:val="auto"/>
        </w:rPr>
      </w:pPr>
    </w:p>
    <w:p>
      <w:pPr>
        <w:ind w:right="720" w:firstLine="509"/>
        <w:spacing w:after="0" w:line="277"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for the periods indicated because including them would have had an anti-dilutive effect:</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440" w:type="dxa"/>
            <w:vAlign w:val="bottom"/>
            <w:gridSpan w:val="4"/>
          </w:tcPr>
          <w:p>
            <w:pPr>
              <w:jc w:val="center"/>
              <w:ind w:right="15"/>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2480" w:type="dxa"/>
            <w:vAlign w:val="bottom"/>
            <w:gridSpan w:val="4"/>
          </w:tcPr>
          <w:p>
            <w:pPr>
              <w:jc w:val="center"/>
              <w:ind w:right="15"/>
              <w:spacing w:after="0"/>
              <w:rPr>
                <w:sz w:val="20"/>
                <w:szCs w:val="20"/>
                <w:color w:val="auto"/>
              </w:rPr>
            </w:pPr>
            <w:r>
              <w:rPr>
                <w:rFonts w:ascii="Arial" w:cs="Arial" w:eastAsia="Arial" w:hAnsi="Arial"/>
                <w:sz w:val="14"/>
                <w:szCs w:val="14"/>
                <w:b w:val="1"/>
                <w:bCs w:val="1"/>
                <w:color w:val="auto"/>
                <w:w w:val="93"/>
              </w:rPr>
              <w:t>Six Months Ended</w:t>
            </w:r>
          </w:p>
        </w:tc>
      </w:tr>
      <w:tr>
        <w:trPr>
          <w:trHeight w:val="185"/>
        </w:trPr>
        <w:tc>
          <w:tcPr>
            <w:tcW w:w="284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left="739"/>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bottom w:val="single" w:sz="8" w:color="auto"/>
            </w:tcBorders>
            <w:gridSpan w:val="3"/>
          </w:tcPr>
          <w:p>
            <w:pPr>
              <w:jc w:val="center"/>
              <w:ind w:left="761"/>
              <w:spacing w:after="0"/>
              <w:rPr>
                <w:sz w:val="20"/>
                <w:szCs w:val="20"/>
                <w:color w:val="auto"/>
              </w:rPr>
            </w:pPr>
            <w:r>
              <w:rPr>
                <w:rFonts w:ascii="Arial" w:cs="Arial" w:eastAsia="Arial" w:hAnsi="Arial"/>
                <w:sz w:val="14"/>
                <w:szCs w:val="14"/>
                <w:b w:val="1"/>
                <w:bCs w:val="1"/>
                <w:color w:val="auto"/>
                <w:w w:val="89"/>
              </w:rPr>
              <w:t>June 30,</w:t>
            </w:r>
          </w:p>
        </w:tc>
        <w:tc>
          <w:tcPr>
            <w:tcW w:w="940" w:type="dxa"/>
            <w:vAlign w:val="bottom"/>
            <w:tcBorders>
              <w:bottom w:val="single" w:sz="8" w:color="auto"/>
            </w:tcBorders>
          </w:tcPr>
          <w:p>
            <w:pPr>
              <w:spacing w:after="0"/>
              <w:rPr>
                <w:sz w:val="16"/>
                <w:szCs w:val="16"/>
                <w:color w:val="auto"/>
              </w:rPr>
            </w:pPr>
          </w:p>
        </w:tc>
      </w:tr>
      <w:tr>
        <w:trPr>
          <w:trHeight w:val="169"/>
        </w:trPr>
        <w:tc>
          <w:tcPr>
            <w:tcW w:w="2840" w:type="dxa"/>
            <w:vAlign w:val="bottom"/>
          </w:tcPr>
          <w:p>
            <w:pPr>
              <w:spacing w:after="0"/>
              <w:rPr>
                <w:sz w:val="14"/>
                <w:szCs w:val="14"/>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237"/>
        </w:trPr>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16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10,114,591</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w w:val="99"/>
              </w:rPr>
              <w:t>6,137,740</w:t>
            </w: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10,114,591</w:t>
            </w: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w w:val="99"/>
              </w:rPr>
              <w:t>6,137,740</w:t>
            </w:r>
          </w:p>
        </w:tc>
      </w:tr>
      <w:tr>
        <w:trPr>
          <w:trHeight w:val="237"/>
        </w:trPr>
        <w:tc>
          <w:tcPr>
            <w:tcW w:w="284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84,942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115,189</w:t>
            </w: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84,942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115,189</w:t>
            </w:r>
          </w:p>
        </w:tc>
      </w:tr>
      <w:tr>
        <w:trPr>
          <w:trHeight w:val="276"/>
        </w:trPr>
        <w:tc>
          <w:tcPr>
            <w:tcW w:w="2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10,199,533</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w w:val="99"/>
              </w:rPr>
              <w:t>6,252,929</w:t>
            </w:r>
          </w:p>
        </w:tc>
        <w:tc>
          <w:tcPr>
            <w:tcW w:w="10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10,199,533</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99"/>
              </w:rPr>
              <w:t>6,252,929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-25400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-8255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-25400</wp:posOffset>
            </wp:positionV>
            <wp:extent cx="603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603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603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-8255</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In July 2023, the Company entered into a license agreement with CAMP4 Therapeutics Corporation (“CAMP4”) pursuant to which the Company received a worldwide exclusive license (including the right to sublicense) from CAMP4 to rights under its Diamond Blackfan Anemia (“DBA”) program, which includes certain small molecule compounds, composition of matter and method of use patent rights, and know-how for the Company to research, develop, manufacture, use, commercialize or otherwise exploit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ind w:right="400"/>
        <w:spacing w:after="0" w:line="277" w:lineRule="auto"/>
        <w:rPr>
          <w:sz w:val="20"/>
          <w:szCs w:val="20"/>
          <w:color w:val="auto"/>
        </w:rPr>
      </w:pPr>
      <w:r>
        <w:rPr>
          <w:rFonts w:ascii="Arial" w:cs="Arial" w:eastAsia="Arial" w:hAnsi="Arial"/>
          <w:sz w:val="18"/>
          <w:szCs w:val="18"/>
          <w:color w:val="auto"/>
        </w:rPr>
        <w:t>therapeutic products in any indication, including the grant of a sublicense under certain intellectual property rights that CAMP4 has licensed under an agreement with Children’s Medical Center Corporation (“CMCC”).</w:t>
      </w:r>
    </w:p>
    <w:p>
      <w:pPr>
        <w:spacing w:after="0" w:line="170" w:lineRule="exact"/>
        <w:rPr>
          <w:sz w:val="20"/>
          <w:szCs w:val="20"/>
          <w:color w:val="auto"/>
        </w:rPr>
      </w:pPr>
    </w:p>
    <w:p>
      <w:pPr>
        <w:ind w:right="240" w:firstLine="509"/>
        <w:spacing w:after="0" w:line="290" w:lineRule="auto"/>
        <w:rPr>
          <w:sz w:val="20"/>
          <w:szCs w:val="20"/>
          <w:color w:val="auto"/>
        </w:rPr>
      </w:pPr>
      <w:r>
        <w:rPr>
          <w:rFonts w:ascii="Arial" w:cs="Arial" w:eastAsia="Arial" w:hAnsi="Arial"/>
          <w:sz w:val="16"/>
          <w:szCs w:val="16"/>
          <w:color w:val="auto"/>
        </w:rPr>
        <w:t>The Company agreed to make an undisclosed upfront non-refundable, non-creditable payment to CAMP4 within the timeframe specified in the license agreement. If the Company succeeds in developing and commercializing licensed products, CAMP4 will be eligible to receive (i) up to $35.0 million in development and regulatory milestone payments, and (ii) up to $35.0 million in sales milestone payments. CAMP4 is also eligible to receive royalties on worldwide net sales of licensed products ranging from mid-single digit to low-double digit, subject to potential reduction following loss of patent coverage, the launch of certain generic products or royalty stacking for licenses of third party intellectual property. The royalties will expire on a product-by-product and country-by-country basis upon the latest to occur of (i) the expiration of all valid patent claims covering the compounds in such country, (ii) the expiration of all regulatory exclusivities in such country, and (iii) 10 years following the first commercial sale of in such country. The Company is responsible for the costs associated with the development and regulatory approvals of licensed products.</w:t>
      </w:r>
    </w:p>
    <w:p>
      <w:pPr>
        <w:spacing w:after="0" w:line="165"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Unless earlier terminated in accordance with its terms, the license agreement continues on a country-by-country and licensed product-by-licensed product basis until the expiration of the royalty term in each country, at which time the license agreement expires with respect to such licensed product in such country and the Company will have a fully-paid up, royalty-free and perpetual license to the licensed patent rights and know-how with respect to such licensed product in such country. CAMP4 has the right to terminate the license agreement in the event of the Company's non-payment (subject to cure periods and tolling for bona fide disputes). CAMP4 may also terminate the license agreement if the Company challenges certain patents sublicensed to the Company by CAMP4. Either party may terminate the license agreement in its entirety for the other party’s material breach if such other party fails to cure the breach. Either party may also terminate the agreement in its entirety upon certain insolvency events involving the other party. The Company has the right to terminate the license agreement with CAMP4 for any or no reason upon prior written notice to CAMP4.</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is currently evaluating the accounting treatment for the license agreement with CAMP4.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consolidated financial statements and related notes appearing elsewhere in this Quarterly Report on Form 10-Q and our Annual Report on Form 10-K filed with the Securities and Exchange Commission, or SEC, on March 9, 2023.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We are a clinical-stage biopharmaceutical company focused on improving the lives of patients with genetically defined rare diseases in areas of high unmet medical need. Our most advanced clinical product candidate, losmapimod, is being developed for the potential treatment of FSHD. Our other clinical product candidate is FTX-6058, which is being developed for the potential treatment of certain hemoglobinopathies, including SCD. We initiated REACH, a randomized, double-blind, placebo-controlled, multi-national Phase 3 clinical trial of losmapimod in the second quarter of 2022. Screening in REACH is currently closed and we expect to complete enrollment in the third quarter of 2023 and expect to report topline data in the fourth quarter of 2024.</w:t>
      </w:r>
    </w:p>
    <w:p>
      <w:pPr>
        <w:spacing w:after="0" w:line="192"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In January 2023, we announced interim data from our Phase 1b clinical trial of FTX-6058 in SCD. We have completed enrollment in the 6 mg and 2 mg dose cohorts, and we do not plan to enroll additional subjects in these cohorts. Although we commenced enrollment in the 12 mg dose cohort, on February 23, 2023, the FDA placed a full clinical hold on the IND for FTX-6058 for SCD. We have suspended enrollment and dosing in the Phase 1b trial of FTX-6058, withdrew our separate IND for FTX-6058 for beta thalassemia and are working diligently with FDA to resolve the hold as soon as possible.</w:t>
      </w:r>
    </w:p>
    <w:p>
      <w:pPr>
        <w:spacing w:after="0" w:line="15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In July 2023, we entered into a license agreement with CAMP4 Therapeutics Corporation, or CAMP4, pursuant to which we received a worldwide exclusive license (including the right to sublicense) from CAMP4 to rights under its Diamond Blackfan Anemia, or DBA, program, which includes certain small molecule compounds, composition of matter and method of use patent rights, and know-how for us to research, develop, manufacture, use, commercialize or otherwise exploit therapeutic products in any indication, including the grant of a sublicense under certain intellectual property rights that CAMP4 has licensed under an agreement with Children’s Medical Center Corporation, or CMCC. If we succeed in developing and commercializing licensed products, CAMP4 will be eligible to receive (i) up to $35.0 million in development and regulatory milestone payments, and (ii) up to $35.0 million in sales milestone payments. CAMP4 is also eligible to receive royalties on worldwide net sales of licensed products ranging from mid-single digit to low-double digit, subject to potential reduction following loss of patent coverage, the launch of certain generic products or royalty stacking for licenses of third party intellectual property. The royalties will expire on a product-by-product and country-by-country basis upon the latest to occur of (i) the expiration of all valid patent claims covering the compounds in such country, (ii) the expiration of all regulatory exclusivities in such country, and (iii) 10 years following the first commercial sale of in such country. Fulcrum is responsible for the costs associated with the development and regulatory approvals of licensed products.</w:t>
      </w:r>
    </w:p>
    <w:p>
      <w:pPr>
        <w:spacing w:after="0" w:line="179"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We have developed a proprietary product engine, FulcrumSeek, that we employ to systematically identify and validate cellular drug targets that can potentially modulate gene expression to treat known root causes of genetically defined diseases. Our product engine integrates patient-derived tissue- and disease-relevant cell models that we interrogate using our pharmacologically diverse and highly annotated small-molecule compound library and customized CRISPR and RNAi libraries. These screens generate tens of millions of data points and high-content imaging. We then apply computational biology and analytics to identify targets with specificity and selectivity accompanied by a comprehensive data set that significantly accelerates development. This approach led to the identification of both losmapimod for FSHD and FTX-6058 for hemoglobinopathies, as well as a robust discovery pipeline.</w:t>
      </w:r>
    </w:p>
    <w:p>
      <w:pPr>
        <w:spacing w:after="0" w:line="195"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 assets, producing drug substance and drug product material for use in clinical trials and conducting preclinical studies and clinical trials. To date, we have funded our operations primarily from the sale of shares of our capital stock and from upfront payments received under our collaboration and license agreements.</w:t>
      </w:r>
    </w:p>
    <w:p>
      <w:pPr>
        <w:spacing w:after="0" w:line="188"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$23.8 million and $48.6 million for the three and six months ended June 30, 2023 and $34.1 million and $60.0 million for the three and six months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right="40"/>
        <w:spacing w:after="0" w:line="277" w:lineRule="auto"/>
        <w:rPr>
          <w:sz w:val="20"/>
          <w:szCs w:val="20"/>
          <w:color w:val="auto"/>
        </w:rPr>
      </w:pPr>
      <w:r>
        <w:rPr>
          <w:rFonts w:ascii="Arial" w:cs="Arial" w:eastAsia="Arial" w:hAnsi="Arial"/>
          <w:sz w:val="18"/>
          <w:szCs w:val="18"/>
          <w:color w:val="auto"/>
        </w:rPr>
        <w:t>ended June 30, 2022, respectively. As of June 30, 2023, we had an accumulated deficit of $460.9 million. We expect our expenses and operating losses will increase substantially over the next several years in connection with our ongoing activities, as we:</w:t>
      </w:r>
    </w:p>
    <w:p>
      <w:pPr>
        <w:spacing w:after="0" w:line="62" w:lineRule="exact"/>
        <w:rPr>
          <w:sz w:val="20"/>
          <w:szCs w:val="20"/>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our clinical development of losmapimod and FTX-6058, including efforts to resolve the clinical hold on FTX-6058;</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our ongoing preclinical studies;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clinical-stage product candidates into later stage trials;</w:t>
      </w:r>
    </w:p>
    <w:p>
      <w:pPr>
        <w:spacing w:after="0" w:line="117" w:lineRule="exact"/>
        <w:rPr>
          <w:rFonts w:ascii="Arial" w:cs="Arial" w:eastAsia="Arial" w:hAnsi="Arial"/>
          <w:sz w:val="18"/>
          <w:szCs w:val="18"/>
          <w:color w:val="auto"/>
        </w:rPr>
      </w:pPr>
    </w:p>
    <w:p>
      <w:pPr>
        <w:ind w:left="900" w:right="520" w:hanging="383"/>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pursue the discovery of drug targets for other genetically-defined rare diseases and the subsequent development of any resulting product candidates;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900" w:right="280" w:hanging="383"/>
        <w:spacing w:after="0" w:line="308"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acquire or in-license products, product candidates, technologies and/or data referencing rights, such as our recent agreement with CAMP4;</w:t>
      </w:r>
    </w:p>
    <w:p>
      <w:pPr>
        <w:spacing w:after="0" w:line="140" w:lineRule="exact"/>
        <w:rPr>
          <w:rFonts w:ascii="Arial" w:cs="Arial" w:eastAsia="Arial" w:hAnsi="Arial"/>
          <w:sz w:val="16"/>
          <w:szCs w:val="16"/>
          <w:color w:val="auto"/>
        </w:rPr>
      </w:pPr>
    </w:p>
    <w:p>
      <w:pPr>
        <w:ind w:left="900" w:right="420" w:hanging="383"/>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any milestone payments to affiliates of GSK under our right of reference and license agreement with GSK upon the achievement of specified clinical or regulatory milestones, or to CAMP4 under our license agreement with CAMP4;</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900" w:right="220" w:hanging="383"/>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6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As of June 30, 2023, we had $278.2 million in cash, cash equivalents, and marketable securities. We believe that our existing cash, cash equivalents, and marketable securities as of June 30, 2023 will enable us to fund our operating expenses and capital expenditure requirements into mid-2025. We have based this estimate on assumptions that may prove to be wrong, and we could exhaust our available capital resources sooner than we expect. See “— Liquidity and Capital Resources.”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right="40" w:firstLine="509"/>
        <w:spacing w:after="0" w:line="279" w:lineRule="auto"/>
        <w:rPr>
          <w:sz w:val="20"/>
          <w:szCs w:val="20"/>
          <w:color w:val="auto"/>
        </w:rPr>
      </w:pPr>
      <w:r>
        <w:rPr>
          <w:rFonts w:ascii="Arial" w:cs="Arial" w:eastAsia="Arial" w:hAnsi="Arial"/>
          <w:sz w:val="17"/>
          <w:szCs w:val="17"/>
          <w:color w:val="auto"/>
        </w:rPr>
        <w:t>We have not generated any revenue from product sales and do not expect to generate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5" w:name="page26"/>
    <w:bookmarkEnd w:id="25"/>
    <w:p>
      <w:pPr>
        <w:ind w:right="60" w:firstLine="509"/>
        <w:spacing w:after="0" w:line="275" w:lineRule="auto"/>
        <w:rPr>
          <w:sz w:val="20"/>
          <w:szCs w:val="20"/>
          <w:color w:val="auto"/>
        </w:rPr>
      </w:pPr>
      <w:r>
        <w:rPr>
          <w:rFonts w:ascii="Arial" w:cs="Arial" w:eastAsia="Arial" w:hAnsi="Arial"/>
          <w:sz w:val="17"/>
          <w:szCs w:val="17"/>
          <w:color w:val="auto"/>
        </w:rPr>
        <w:t>In December 2019, we entered into a collaboration and license agreement with Acceleron to identify biological targets to modulate specific pathways associated with a targeted indication within the pulmonary disease space. The agreement terminated effective October 1, 2022, following notification from Acceleron in June 2022 of its decision to terminate the agreement for convenience. For the three and six months ended June 30, 2022, we recognized $0.1 million and $1.0 million, respectively of collaboration revenue under the Acceleron collaboration agreement. We did not recognize any collaboration revenue under the Acceleron collaboration agreement during the three and six months ended June 30, 2023.</w:t>
      </w:r>
    </w:p>
    <w:p>
      <w:pPr>
        <w:spacing w:after="0" w:line="176"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In July 2020, we entered into a collaboration and license agreement with MyoKardia, which we amended in April 2023, pursuant to which we granted to MyoKardia an exclusive worldwide license under certain intellectual property rights to research, develop, make, have made, use, have used, sell, have sold, offer for sale, have offered for sale, import, have imported, export, have exported, distribute, have distributed, market, have marketed, promote, have promoted, or otherwise exploit products directed against certain biological targets identified by us that are capable of modulating up to a certain number of genes of interest with relevance to certain genetically defined cardiomyopathies. MyoKardia was subsequently acquired by Bristol-Myers Squibb Company in November 2020. The primary goal of the collaboration is to identify and validate potential biological targets for further research, in order to support the development, manufacture and commercialization of product candidates by MyoKardia for the potential treatment of certain genetically defined cardiomyopathies.</w:t>
      </w:r>
    </w:p>
    <w:p>
      <w:pPr>
        <w:spacing w:after="0" w:line="192"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Under the terms of the MyoKardia collaboration agreement, we received a $10.0 million upfront payment and a $2.5 million payment as prepaid research funding in July 2020. MyoKardia will also reimburse us for the costs of the research activities not covered by the prepaid research funding, up to a maximum amount of total research funding (including the prepaid research funding). Upon the achievement of specified preclinical, development and sales milestones, we will be entitled to preclinical milestone payments, development milestone payments and sales milestone payments of up to $298.5 million in the aggregate per target for certain potential cardiomyopathy gene targets, and of up to $150.0 million in the aggregate per target for certain other potential cardiomyopathy gene targets. To date, we have achieved a $2.5 million specified preclinical milestone. MyoKardia will also pay us tiered royalties ranging from a mid single-digit percentage to a low double-digit percentage based on MyoKardia’s, and any of its affiliates’ and sublicensees’, annual worldwide net sales of products under the MyoKardia collaboration agreement directed against any identified target. The royalties are payable on a product-by-product basis during a specified royalty term, and may be reduced in specified circumstances.</w:t>
      </w:r>
    </w:p>
    <w:p>
      <w:pPr>
        <w:spacing w:after="0" w:line="166" w:lineRule="exact"/>
        <w:rPr>
          <w:sz w:val="20"/>
          <w:szCs w:val="20"/>
          <w:color w:val="auto"/>
        </w:rPr>
      </w:pPr>
    </w:p>
    <w:p>
      <w:pPr>
        <w:ind w:right="20" w:firstLine="509"/>
        <w:spacing w:after="0" w:line="274" w:lineRule="auto"/>
        <w:rPr>
          <w:sz w:val="20"/>
          <w:szCs w:val="20"/>
          <w:color w:val="auto"/>
        </w:rPr>
      </w:pPr>
      <w:r>
        <w:rPr>
          <w:rFonts w:ascii="Arial" w:cs="Arial" w:eastAsia="Arial" w:hAnsi="Arial"/>
          <w:sz w:val="17"/>
          <w:szCs w:val="17"/>
          <w:color w:val="auto"/>
        </w:rPr>
        <w:t>For the three months ended June 30, 2023 and 2022, we recognized $0.9 million and $1.7 million, respectively, of collaboration revenue under the MyoKardia collaboration agreement. For the six months ended June 30, 2023 and 2022, we recognized $1.2 million and $3.5 million, respectively, of collaboration revenue under the MyoKardia collaboration agreement. As of June 30, 2023 and December 31, 2022, we have recorded $0.5 million and $0.9 million, respectively, of deferred revenue associated with the MyoKardia collaboration agreement, which is classified as either current or noncurrent, net of current portion in our consolidated balance sheets based on the period over which the revenue is expected to be recognized. As of June 30, 2023, we had received $5.9 million of cost reimbursement payments and $2.5 million of milestone payments under the MyoKardia collaboration agreement. As of June 30, 2023, we recorded unbilled accounts receivable of $0.7 million related to reimbursable research and development costs under the MyoKardia collaboration agreement for activities performed during the three months ended June 30, 2023. As of June 30, 2023, we recorded no accounts receivable under the MyoKardia collaboration agreement.</w:t>
      </w:r>
    </w:p>
    <w:p>
      <w:pPr>
        <w:spacing w:after="0" w:line="179" w:lineRule="exact"/>
        <w:rPr>
          <w:sz w:val="20"/>
          <w:szCs w:val="20"/>
          <w:color w:val="auto"/>
        </w:rPr>
      </w:pPr>
    </w:p>
    <w:p>
      <w:pPr>
        <w:ind w:right="220" w:firstLine="509"/>
        <w:spacing w:after="0" w:line="255" w:lineRule="auto"/>
        <w:rPr>
          <w:sz w:val="20"/>
          <w:szCs w:val="20"/>
          <w:color w:val="auto"/>
        </w:rPr>
      </w:pPr>
      <w:r>
        <w:rPr>
          <w:rFonts w:ascii="Arial" w:cs="Arial" w:eastAsia="Arial" w:hAnsi="Arial"/>
          <w:sz w:val="18"/>
          <w:szCs w:val="18"/>
          <w:color w:val="auto"/>
        </w:rPr>
        <w:t>In the future, we will recognize additional revenue associated with the $10.0 million upfront payment and the $2.5 million preclinical milestone achieved in December 2021 as we satisfy our performance obligation, and from reimbursement of costs incurred under the MyoKardia collaboration agreement. In the future, we may also generate additional revenue from milestones and royalty payments under the MyoKardia collaboration agreement. We expect that our revenue will fluctuate from quarter-to-quarter and year-to-year based upon our pattern of performance under the MyoKardia collaboration agreement and as a result of the timing, amount, and achievement of milestones and reimbursement of costs incurred under the MyoKardia collaboration agreement.</w:t>
      </w:r>
    </w:p>
    <w:p>
      <w:pPr>
        <w:spacing w:after="0" w:line="192"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We may also in the future enter into additional license or collaboration agreements for our product candidates or intellectual property, and we may generate revenue in the future from payments as a result of such license or collaboration agreements.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Research and development expenses represent costs incurred by us for the discovery, development, and manufacture of our product candidates and include:</w:t>
      </w:r>
    </w:p>
    <w:p>
      <w:pPr>
        <w:spacing w:after="0" w:line="62" w:lineRule="exact"/>
        <w:rPr>
          <w:sz w:val="20"/>
          <w:szCs w:val="20"/>
          <w:color w:val="auto"/>
        </w:rPr>
      </w:pPr>
    </w:p>
    <w:p>
      <w:pPr>
        <w:ind w:left="900" w:right="780" w:hanging="383"/>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contract manufacturing organizations, and consultants;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salaries, payroll taxes, employee benefits and stock-based compensation expenses for individuals involved in research and development efforts;</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laboratory supplies;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w:t>
      </w:r>
    </w:p>
    <w:p>
      <w:pPr>
        <w:spacing w:after="0" w:line="117" w:lineRule="exact"/>
        <w:rPr>
          <w:rFonts w:ascii="Arial" w:cs="Arial" w:eastAsia="Arial" w:hAnsi="Arial"/>
          <w:sz w:val="18"/>
          <w:szCs w:val="18"/>
          <w:color w:val="auto"/>
        </w:rPr>
      </w:pPr>
    </w:p>
    <w:p>
      <w:pPr>
        <w:ind w:left="900" w:right="160" w:hanging="383"/>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other operating costs;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milestone expenses associated with our right of reference and license agreement with GlaxoSmithKline plc, or GSK.</w:t>
      </w:r>
    </w:p>
    <w:p>
      <w:pPr>
        <w:spacing w:after="0" w:line="225"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92"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87"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The following table summarizes our external research and development expenses by program following nomination as a development candidate for the three and six months ended June 30, 2023 and 2022. Pre-development candidate expenses, unallocated expenses and internal research and development expenses are classified separately. Losmapimod external expenses during the three and six months ended June 30, 2022 includes a $5.0 million milestone achieved under our right of reference and license agreement with GSK upon initiation of the REACH trial during the second quarter of 2022.</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69"/>
        </w:trPr>
        <w:tc>
          <w:tcPr>
            <w:tcW w:w="50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r>
      <w:tr>
        <w:trPr>
          <w:trHeight w:val="237"/>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Losmapimod external expenses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7,396</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10,468</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13,725</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13,444</w:t>
            </w: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FTX-6058 external expenses</w:t>
            </w:r>
          </w:p>
        </w:tc>
        <w:tc>
          <w:tcPr>
            <w:tcW w:w="240" w:type="dxa"/>
            <w:vAlign w:val="bottom"/>
          </w:tcPr>
          <w:p>
            <w:pPr>
              <w:spacing w:after="0"/>
              <w:rPr>
                <w:sz w:val="20"/>
                <w:szCs w:val="20"/>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1,987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4,653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4,555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9,191</w:t>
            </w:r>
          </w:p>
        </w:tc>
      </w:tr>
      <w:tr>
        <w:trPr>
          <w:trHeight w:val="24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w w:val="97"/>
              </w:rPr>
              <w:t>Pre-development candidate expenses and unallocated expenses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3,429</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4,587</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6,440</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8,684</w:t>
            </w: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5,037</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5,311</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9,844</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11,531</w:t>
            </w:r>
          </w:p>
        </w:tc>
      </w:tr>
      <w:tr>
        <w:trPr>
          <w:trHeight w:val="277"/>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17,849</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25,019</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34,564</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42,850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-24765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857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946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946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209"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79" w:lineRule="exact"/>
        <w:rPr>
          <w:sz w:val="20"/>
          <w:szCs w:val="20"/>
          <w:color w:val="auto"/>
        </w:rPr>
      </w:pPr>
    </w:p>
    <w:p>
      <w:pPr>
        <w:ind w:left="900" w:hanging="383"/>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and progress of preclinical and clinical development activities, including our efforts to resolve the clinical hold on FTX-6058;</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raise additional funds necessary to complete clinical development of and commercialize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ones;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may enter into collaboration arrangements;</w:t>
      </w:r>
    </w:p>
    <w:p>
      <w:pPr>
        <w:spacing w:after="0" w:line="117" w:lineRule="exact"/>
        <w:rPr>
          <w:rFonts w:ascii="Arial" w:cs="Arial" w:eastAsia="Arial" w:hAnsi="Arial"/>
          <w:sz w:val="18"/>
          <w:szCs w:val="18"/>
          <w:color w:val="auto"/>
        </w:rPr>
      </w:pPr>
    </w:p>
    <w:p>
      <w:pPr>
        <w:ind w:left="900" w:right="220" w:hanging="383"/>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successful initiation and completion of clinical trials with safety, tolerability and efficacy profiles that are satisfactory to the FDA or any comparable foreign regulatory authority;</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raw materials and active pharmaceutical ingredient, or API, for use in production of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establish and operate a manufacturing facility, or secure manufacturing supply through relationships with third parties;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consistently manufacture our product candidates in quantities sufficient for use in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obtain and maintain intellectual property protection and regulatory exclusivity, both in the United States and internationally;</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enforce, defend and protect our rights in our intellectual property portfolio;</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and when approved;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and maintain third-party coverage and adequate reimbursement for our product candidates, if approved;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acceptance of our product candidates, if approved, by patients, the medical community and third-party payors;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with other products;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continued acceptable safety profile of our products following receipt of any regulatory approvals.</w:t>
      </w:r>
    </w:p>
    <w:p>
      <w:pPr>
        <w:spacing w:after="0" w:line="225"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70"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for the treatment of FSHD, advancing FTX-6058 for the treatment of certain hemoglobinopathies, including SCD, if we are able to resolve the current clinical hold,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87"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net consists primarily of interest income related to our investments in cash equivalents and marketable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225" w:lineRule="exact"/>
        <w:rPr>
          <w:sz w:val="20"/>
          <w:szCs w:val="20"/>
          <w:color w:val="auto"/>
        </w:rPr>
      </w:pPr>
    </w:p>
    <w:p>
      <w:pPr>
        <w:ind w:right="280" w:firstLine="509"/>
        <w:spacing w:after="0" w:line="269" w:lineRule="auto"/>
        <w:rPr>
          <w:sz w:val="20"/>
          <w:szCs w:val="20"/>
          <w:color w:val="auto"/>
        </w:rPr>
      </w:pPr>
      <w:r>
        <w:rPr>
          <w:rFonts w:ascii="Arial" w:cs="Arial" w:eastAsia="Arial" w:hAnsi="Arial"/>
          <w:sz w:val="18"/>
          <w:szCs w:val="18"/>
          <w:color w:val="auto"/>
        </w:rPr>
        <w:t>The following summarizes our results of operations for the three months ended June 30, 2023 and 2022 along with the changes in those items in dollars:</w:t>
      </w:r>
    </w:p>
    <w:tbl>
      <w:tblPr>
        <w:tblLayout w:type="fixed"/>
        <w:tblInd w:w="1020" w:type="dxa"/>
        <w:tblCellMar>
          <w:top w:w="0" w:type="dxa"/>
          <w:left w:w="0" w:type="dxa"/>
          <w:bottom w:w="0" w:type="dxa"/>
          <w:right w:w="0" w:type="dxa"/>
        </w:tblCellMar>
      </w:tblPr>
      <w:tr>
        <w:trPr>
          <w:trHeight w:val="149"/>
        </w:trPr>
        <w:tc>
          <w:tcPr>
            <w:tcW w:w="4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jc w:val="right"/>
              <w:ind w:right="46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1,882</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17,849</w:t>
            </w: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25,019</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(7,170 )</w:t>
            </w:r>
          </w:p>
        </w:tc>
        <w:tc>
          <w:tcPr>
            <w:tcW w:w="0" w:type="dxa"/>
            <w:vAlign w:val="bottom"/>
          </w:tcPr>
          <w:p>
            <w:pPr>
              <w:spacing w:after="0"/>
              <w:rPr>
                <w:sz w:val="1"/>
                <w:szCs w:val="1"/>
                <w:color w:val="auto"/>
              </w:rPr>
            </w:pPr>
          </w:p>
        </w:tc>
      </w:tr>
      <w:tr>
        <w:trPr>
          <w:trHeight w:val="237"/>
        </w:trPr>
        <w:tc>
          <w:tcPr>
            <w:tcW w:w="45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10,323</w:t>
            </w: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11,098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(775 )</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28,172</w:t>
            </w:r>
          </w:p>
        </w:tc>
        <w:tc>
          <w:tcPr>
            <w:tcW w:w="28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36,117</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(27,292 )</w:t>
            </w:r>
          </w:p>
        </w:tc>
        <w:tc>
          <w:tcPr>
            <w:tcW w:w="5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(34,235 </w:t>
            </w:r>
            <w:r>
              <w:rPr>
                <w:rFonts w:ascii="Arial" w:cs="Arial" w:eastAsia="Arial" w:hAnsi="Arial"/>
                <w:sz w:val="18"/>
                <w:szCs w:val="18"/>
                <w:color w:val="auto"/>
                <w:highlight w:val="white"/>
              </w:rPr>
              <w:t>)</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3,509</w:t>
            </w:r>
          </w:p>
        </w:tc>
        <w:tc>
          <w:tcPr>
            <w:tcW w:w="2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(23,783 )</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 xml:space="preserve">(34,070 </w:t>
            </w:r>
            <w:r>
              <w:rPr>
                <w:rFonts w:ascii="Arial" w:cs="Arial" w:eastAsia="Arial" w:hAnsi="Arial"/>
                <w:sz w:val="18"/>
                <w:szCs w:val="18"/>
                <w:color w:val="auto"/>
                <w:highlight w:val="white"/>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-505460</wp:posOffset>
            </wp:positionV>
            <wp:extent cx="68580"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-505460</wp:posOffset>
            </wp:positionV>
            <wp:extent cx="6858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-187960</wp:posOffset>
            </wp:positionV>
            <wp:extent cx="6858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-187960</wp:posOffset>
            </wp:positionV>
            <wp:extent cx="6858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Collaboration revenue decreased by $1.0 million from $1.9 million for the three months ended June 30, 2022 to $0.9 million for the three months ended June 30, 2023. We recognize revenue under each of the Acceleron and MyoKardia collaboration agreements based on our pattern of performance related to the respective identified performance obligation, which is the period over which we will perform research services under each of the agreements. For the three months ended June 30, 2023 and 2022, we recognized zero and $0.1 million, respectively, of collaboration revenue under the Acceleron collaboration agreement and $0.9 million and $1.7 million, respectively, of collaboration revenue under the MyoKardia collaboration agreement. The Acceleron collaboration agreement terminated effective October 1, 2022.</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three months ended June 30, 2023 and 2022:</w:t>
      </w:r>
    </w:p>
    <w:p>
      <w:pPr>
        <w:spacing w:after="0" w:line="200" w:lineRule="exact"/>
        <w:rPr>
          <w:sz w:val="20"/>
          <w:szCs w:val="20"/>
          <w:color w:val="auto"/>
        </w:rPr>
      </w:pPr>
    </w:p>
    <w:p>
      <w:pPr>
        <w:spacing w:after="0" w:line="26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jc w:val="right"/>
              <w:ind w:right="45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89"/>
              </w:rPr>
              <w:t>2022</w:t>
            </w:r>
          </w:p>
        </w:tc>
        <w:tc>
          <w:tcPr>
            <w:tcW w:w="3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External research and development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10,353</w:t>
            </w:r>
          </w:p>
        </w:tc>
        <w:tc>
          <w:tcPr>
            <w:tcW w:w="30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16,416</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Employee compensation</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5,037</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5,311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(274 )</w:t>
            </w:r>
          </w:p>
        </w:tc>
        <w:tc>
          <w:tcPr>
            <w:tcW w:w="0" w:type="dxa"/>
            <w:vAlign w:val="bottom"/>
          </w:tcPr>
          <w:p>
            <w:pPr>
              <w:spacing w:after="0"/>
              <w:rPr>
                <w:sz w:val="1"/>
                <w:szCs w:val="1"/>
                <w:color w:val="auto"/>
              </w:rPr>
            </w:pPr>
          </w:p>
        </w:tc>
      </w:tr>
      <w:tr>
        <w:trPr>
          <w:trHeight w:val="24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Laboratory supplies</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(435 )</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Facility costs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1,128</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1,472</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(344 )</w:t>
            </w:r>
          </w:p>
        </w:tc>
        <w:tc>
          <w:tcPr>
            <w:tcW w:w="0" w:type="dxa"/>
            <w:vAlign w:val="bottom"/>
          </w:tcPr>
          <w:p>
            <w:pPr>
              <w:spacing w:after="0"/>
              <w:rPr>
                <w:sz w:val="1"/>
                <w:szCs w:val="1"/>
                <w:color w:val="auto"/>
              </w:rPr>
            </w:pPr>
          </w:p>
        </w:tc>
      </w:tr>
      <w:tr>
        <w:trPr>
          <w:trHeight w:val="24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17,849</w:t>
            </w:r>
          </w:p>
        </w:tc>
        <w:tc>
          <w:tcPr>
            <w:tcW w:w="3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25,019</w:t>
            </w:r>
          </w:p>
        </w:tc>
        <w:tc>
          <w:tcPr>
            <w:tcW w:w="3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(7,170 )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68580"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-187960</wp:posOffset>
            </wp:positionV>
            <wp:extent cx="6858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-187960</wp:posOffset>
            </wp:positionV>
            <wp:extent cx="68580"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Research and development expense decreased by $7.2 million from $25.0 million for the three months ended June 30, 2022 to $17.8 million for the three months ended June 30, 2023. The decrease in research and development expense was primarily attributable to the following:</w:t>
      </w:r>
    </w:p>
    <w:p>
      <w:pPr>
        <w:spacing w:after="0" w:line="38" w:lineRule="exact"/>
        <w:rPr>
          <w:sz w:val="20"/>
          <w:szCs w:val="20"/>
          <w:color w:val="auto"/>
        </w:rPr>
      </w:pPr>
    </w:p>
    <w:p>
      <w:pPr>
        <w:jc w:val="both"/>
        <w:ind w:left="900" w:right="340" w:hanging="383"/>
        <w:spacing w:after="0" w:line="263"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$6.1 million in decreased external research and development costs, primarily associated with a $5.0 million milestone achieved during the three months ended June 30, 2022 due to GSK upon the initiation of REACH, and decreased costs for FTX-6058 as a result of the clinical hold;</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$0.4 million in decreased laboratory supplies costs;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$0.3 million in decreased employee compensation costs, primarily due to decreased research and development headcount;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$0.3 million in decreased facilities costs; 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29" w:name="page30"/>
    <w:bookmarkEnd w:id="29"/>
    <w:p>
      <w:pPr>
        <w:ind w:left="900" w:hanging="383"/>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$0.1 million in decreased other costs.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general and administrative expenses for the three months ended June 30, 2023 and 2022:</w:t>
      </w:r>
    </w:p>
    <w:p>
      <w:pPr>
        <w:spacing w:after="0" w:line="200" w:lineRule="exact"/>
        <w:rPr>
          <w:sz w:val="20"/>
          <w:szCs w:val="20"/>
          <w:color w:val="auto"/>
        </w:rPr>
      </w:pPr>
    </w:p>
    <w:p>
      <w:pPr>
        <w:spacing w:after="0" w:line="261"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vMerge w:val="restart"/>
          </w:tcPr>
          <w:p>
            <w:pPr>
              <w:jc w:val="right"/>
              <w:ind w:right="34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compensation</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5,710</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5,690</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3,137</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(988 )</w:t>
            </w:r>
          </w:p>
        </w:tc>
        <w:tc>
          <w:tcPr>
            <w:tcW w:w="0" w:type="dxa"/>
            <w:vAlign w:val="bottom"/>
          </w:tcPr>
          <w:p>
            <w:pPr>
              <w:spacing w:after="0"/>
              <w:rPr>
                <w:sz w:val="1"/>
                <w:szCs w:val="1"/>
                <w:color w:val="auto"/>
              </w:rPr>
            </w:pPr>
          </w:p>
        </w:tc>
      </w:tr>
      <w:tr>
        <w:trPr>
          <w:trHeight w:val="249"/>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Facility costs</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10,323</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11,098</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-24765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40" w:firstLine="509"/>
        <w:spacing w:after="0" w:line="308" w:lineRule="auto"/>
        <w:rPr>
          <w:sz w:val="20"/>
          <w:szCs w:val="20"/>
          <w:color w:val="auto"/>
        </w:rPr>
      </w:pPr>
      <w:r>
        <w:rPr>
          <w:rFonts w:ascii="Arial" w:cs="Arial" w:eastAsia="Arial" w:hAnsi="Arial"/>
          <w:sz w:val="17"/>
          <w:szCs w:val="17"/>
          <w:color w:val="auto"/>
        </w:rPr>
        <w:t>General and administrative expenses decreased by $0.8 million from $11.1 million for the three months ended June 30, 2022 to $10.3 million for the three months ended June 30, 2023. The decrease in general and administrative expenses was primarily attributable to the following:</w:t>
      </w:r>
    </w:p>
    <w:p>
      <w:pPr>
        <w:spacing w:after="0" w:line="38" w:lineRule="exact"/>
        <w:rPr>
          <w:sz w:val="20"/>
          <w:szCs w:val="20"/>
          <w:color w:val="auto"/>
        </w:rPr>
      </w:pPr>
    </w:p>
    <w:p>
      <w:pPr>
        <w:ind w:left="900" w:hanging="383"/>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 million in decreased professional services costs, primarily due to decreased consulting, insurance, and legal costs; offset by $0.1 million in increased facility-related costs and $0.1 million in increased other costs.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Other income, net increased by $3.3 million from $0.2 million for the three months ended June 30, 2022 to $3.5 million for the three months ended June 30, 2023. The increase in other income, net was primarily attributable to an increased rate of return on our cash, cash equivalents, and marketable securities and an increase in the Company's average cash and investment balance.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225" w:lineRule="exact"/>
        <w:rPr>
          <w:sz w:val="20"/>
          <w:szCs w:val="20"/>
          <w:color w:val="auto"/>
        </w:rPr>
      </w:pPr>
    </w:p>
    <w:p>
      <w:pPr>
        <w:ind w:right="500" w:firstLine="509"/>
        <w:spacing w:after="0" w:line="269" w:lineRule="auto"/>
        <w:rPr>
          <w:sz w:val="20"/>
          <w:szCs w:val="20"/>
          <w:color w:val="auto"/>
        </w:rPr>
      </w:pPr>
      <w:r>
        <w:rPr>
          <w:rFonts w:ascii="Arial" w:cs="Arial" w:eastAsia="Arial" w:hAnsi="Arial"/>
          <w:sz w:val="18"/>
          <w:szCs w:val="18"/>
          <w:color w:val="auto"/>
        </w:rPr>
        <w:t>The following summarizes our results of operations for the six months ended June 30, 2023 and 2022 along with the changes in those items in dollars:</w:t>
      </w:r>
    </w:p>
    <w:tbl>
      <w:tblPr>
        <w:tblLayout w:type="fixed"/>
        <w:tblInd w:w="1120" w:type="dxa"/>
        <w:tblCellMar>
          <w:top w:w="0" w:type="dxa"/>
          <w:left w:w="0" w:type="dxa"/>
          <w:bottom w:w="0" w:type="dxa"/>
          <w:right w:w="0" w:type="dxa"/>
        </w:tblCellMar>
      </w:tblPr>
      <w:tr>
        <w:trPr>
          <w:trHeight w:val="149"/>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0" w:type="dxa"/>
            <w:vAlign w:val="bottom"/>
            <w:gridSpan w:val="5"/>
          </w:tcPr>
          <w:p>
            <w:pPr>
              <w:jc w:val="right"/>
              <w:ind w:right="900"/>
              <w:spacing w:after="0" w:line="149" w:lineRule="exact"/>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2"/>
                <w:szCs w:val="12"/>
                <w:color w:val="auto"/>
              </w:rPr>
            </w:pPr>
          </w:p>
        </w:tc>
        <w:tc>
          <w:tcPr>
            <w:tcW w:w="98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4,474</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(3,299</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34,564</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42,850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(8,286 )</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21,843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21,857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56,407</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64,707</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(8,300</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51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(55,232 )</w:t>
            </w:r>
          </w:p>
        </w:tc>
        <w:tc>
          <w:tcPr>
            <w:tcW w:w="2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(60,233 )</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6,435</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(48,562 )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(59,998 )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-504825</wp:posOffset>
            </wp:positionV>
            <wp:extent cx="68580" cy="16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-504825</wp:posOffset>
            </wp:positionV>
            <wp:extent cx="68580" cy="16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-504825</wp:posOffset>
            </wp:positionV>
            <wp:extent cx="77470" cy="162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-187960</wp:posOffset>
            </wp:positionV>
            <wp:extent cx="68580" cy="1885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-187960</wp:posOffset>
            </wp:positionV>
            <wp:extent cx="68580" cy="188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77470" cy="18859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Collaboration revenue decreased by $3.3 million from $4.5 million for the six months ended June 30, 2022 to $1.2 million for the six months ended June 30, 2023. We recognize revenue under each of the Acceleron and MyoKardia collaboration agreements based on our pattern of performance related to the respective identified performance obligation, which is the period over which we will perform research services under each of the agreements. For the six months ended June 30, 2023 and 2022, we recognized zero and $1.0 million, respectively, of collaboration revenue under the Acceleron collaboration agreement and $1.2 million and $3.5 million, respectively, of collaboration revenue under the MyoKardia collaboration agreement. The Acceleron collaboration agreement terminated effective October 1, 2022.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six months ended June 30, 2023 and 2022:</w:t>
      </w:r>
    </w:p>
    <w:p>
      <w:pPr>
        <w:spacing w:after="0" w:line="353"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External research and development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19,903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24,793</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Employee compensation</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9,844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11,531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(1,687 )</w:t>
            </w: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supplies</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(1,012 )</w:t>
            </w: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Facility costs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(635 )</w:t>
            </w: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34,564</w:t>
            </w:r>
          </w:p>
        </w:tc>
        <w:tc>
          <w:tcPr>
            <w:tcW w:w="2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42,850</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(8,286 )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-187960</wp:posOffset>
            </wp:positionV>
            <wp:extent cx="68580"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-187960</wp:posOffset>
            </wp:positionV>
            <wp:extent cx="6858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-187960</wp:posOffset>
            </wp:positionV>
            <wp:extent cx="7747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82" w:lineRule="exact"/>
        <w:rPr>
          <w:sz w:val="20"/>
          <w:szCs w:val="20"/>
          <w:color w:val="auto"/>
        </w:rPr>
      </w:pPr>
    </w:p>
    <w:p>
      <w:pPr>
        <w:ind w:right="260" w:firstLine="509"/>
        <w:spacing w:after="0" w:line="308" w:lineRule="auto"/>
        <w:rPr>
          <w:sz w:val="20"/>
          <w:szCs w:val="20"/>
          <w:color w:val="auto"/>
        </w:rPr>
      </w:pPr>
      <w:r>
        <w:rPr>
          <w:rFonts w:ascii="Arial" w:cs="Arial" w:eastAsia="Arial" w:hAnsi="Arial"/>
          <w:sz w:val="17"/>
          <w:szCs w:val="17"/>
          <w:color w:val="auto"/>
        </w:rPr>
        <w:t>Research and development expense decreased by $8.3 million from $42.9 million for the six months ended June 30, 2022 to $34.5 million for the six months ended June 30, 2023. The decrease in research and development expense was primarily attributable to the following:</w:t>
      </w:r>
    </w:p>
    <w:p>
      <w:pPr>
        <w:spacing w:after="0" w:line="38" w:lineRule="exact"/>
        <w:rPr>
          <w:sz w:val="20"/>
          <w:szCs w:val="20"/>
          <w:color w:val="auto"/>
        </w:rPr>
      </w:pPr>
    </w:p>
    <w:p>
      <w:pPr>
        <w:ind w:left="900" w:right="160" w:hanging="383"/>
        <w:spacing w:after="0" w:line="263"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$4.9 million in decreased external research and development costs, primarily associated with a $5.0 million milestone achieved during the second quarter of 2022 due to GSK upon the initiation of REACH, and decreased costs for FTX-6058 as a result of the clinical hold, partially offset by increased costs associated with the advancement of REACH;</w:t>
      </w:r>
    </w:p>
    <w:p>
      <w:pPr>
        <w:spacing w:after="0" w:line="75" w:lineRule="exact"/>
        <w:rPr>
          <w:rFonts w:ascii="Arial" w:cs="Arial" w:eastAsia="Arial" w:hAnsi="Arial"/>
          <w:sz w:val="18"/>
          <w:szCs w:val="18"/>
          <w:color w:val="auto"/>
        </w:rPr>
      </w:pPr>
    </w:p>
    <w:p>
      <w:pPr>
        <w:ind w:left="900" w:right="40" w:hanging="383"/>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$1.7 million in decreased employee compensation costs, including a $0.4 million decrease in stock-based compensation expense, primarily due to decreased research and development headcount;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 million in decreased laboratory supplies costs;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$0.6 million in decreased facilities costs;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$0.1 million in decreased other costs.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general and administrative expenses for the six months ended June 30, 2023 and 2022:</w:t>
      </w:r>
    </w:p>
    <w:p>
      <w:pPr>
        <w:spacing w:after="0" w:line="272"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Employee compensation</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11,516</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Professional services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5,955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8,046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(2,091 )</w:t>
            </w:r>
          </w:p>
        </w:tc>
        <w:tc>
          <w:tcPr>
            <w:tcW w:w="0" w:type="dxa"/>
            <w:vAlign w:val="bottom"/>
          </w:tcPr>
          <w:p>
            <w:pPr>
              <w:spacing w:after="0"/>
              <w:rPr>
                <w:sz w:val="1"/>
                <w:szCs w:val="1"/>
                <w:color w:val="auto"/>
              </w:rPr>
            </w:pPr>
          </w:p>
        </w:tc>
      </w:tr>
      <w:tr>
        <w:trPr>
          <w:trHeight w:val="249"/>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Facility costs</w:t>
            </w: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general and administrative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21,843</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21,857</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77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2" w:lineRule="exact"/>
        <w:rPr>
          <w:sz w:val="20"/>
          <w:szCs w:val="20"/>
          <w:color w:val="auto"/>
        </w:rPr>
      </w:pPr>
    </w:p>
    <w:p>
      <w:pPr>
        <w:ind w:right="20" w:firstLine="509"/>
        <w:spacing w:after="0" w:line="308" w:lineRule="auto"/>
        <w:rPr>
          <w:sz w:val="20"/>
          <w:szCs w:val="20"/>
          <w:color w:val="auto"/>
        </w:rPr>
      </w:pPr>
      <w:r>
        <w:rPr>
          <w:rFonts w:ascii="Arial" w:cs="Arial" w:eastAsia="Arial" w:hAnsi="Arial"/>
          <w:sz w:val="17"/>
          <w:szCs w:val="17"/>
          <w:color w:val="auto"/>
        </w:rPr>
        <w:t>General and administrative expenses decreased by less than $0.1 million from $21.9 million for the six months ended June 30, 2022 to $21.8 million for the six months ended June 30, 2023. The decrease in general and administrative expenses was primarily attributable to the following:</w:t>
      </w:r>
    </w:p>
    <w:p>
      <w:pPr>
        <w:spacing w:after="0" w:line="38" w:lineRule="exact"/>
        <w:rPr>
          <w:sz w:val="20"/>
          <w:szCs w:val="20"/>
          <w:color w:val="auto"/>
        </w:rPr>
      </w:pPr>
    </w:p>
    <w:p>
      <w:pPr>
        <w:ind w:left="900" w:hanging="383"/>
        <w:spacing w:after="0" w:line="263"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$2.1 million in decreased professional services costs, primarily due to decreased consulting, insurance, and legal costs; offset by $1.5 million in increased employee compensation costs, including a $1.3 million increase in stock-based compensation expense, $0.3 million in increased facility-related costs and $0.3 million in increased other costs.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Other income, net increased by $6.4 million from $0.2 million for the six months ended June 30, 2022 to $6.7 million for the six months ended June 30, 2023. The increase in other income, net was primarily attributable to an increased rate of return on our cash, cash equivalents, and marketable securities and an increase in the Company's average cash and investment balance.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100" w:firstLine="509"/>
        <w:spacing w:after="0" w:line="296" w:lineRule="auto"/>
        <w:rPr>
          <w:sz w:val="20"/>
          <w:szCs w:val="20"/>
          <w:color w:val="auto"/>
        </w:rPr>
      </w:pPr>
      <w:r>
        <w:rPr>
          <w:rFonts w:ascii="Arial" w:cs="Arial" w:eastAsia="Arial" w:hAnsi="Arial"/>
          <w:sz w:val="16"/>
          <w:szCs w:val="16"/>
          <w:color w:val="auto"/>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As of June 30, 2023, we have funded our operations primarily with aggregate gross proceeds of $712.5 million from the sale of shares of our capital stock and from upfront payments received under our collaboration and license agreements. As of June 30, 2023, we had cash, cash equivalents, and marketable securities of $278.2 million.</w:t>
      </w:r>
    </w:p>
    <w:p>
      <w:pPr>
        <w:spacing w:after="0" w:line="161" w:lineRule="exact"/>
        <w:rPr>
          <w:sz w:val="20"/>
          <w:szCs w:val="20"/>
          <w:color w:val="auto"/>
        </w:rPr>
      </w:pPr>
    </w:p>
    <w:p>
      <w:pPr>
        <w:ind w:right="220" w:firstLine="509"/>
        <w:spacing w:after="0" w:line="342" w:lineRule="auto"/>
        <w:rPr>
          <w:sz w:val="20"/>
          <w:szCs w:val="20"/>
          <w:color w:val="auto"/>
        </w:rPr>
      </w:pPr>
      <w:r>
        <w:rPr>
          <w:rFonts w:ascii="Arial" w:cs="Arial" w:eastAsia="Arial" w:hAnsi="Arial"/>
          <w:sz w:val="16"/>
          <w:szCs w:val="16"/>
          <w:color w:val="auto"/>
        </w:rPr>
        <w:t>In January 2023, we completed a public offering of our common stock and issued and sold 9,615,384 shares of common stock at a public offering price of $13.00 per share, resulting in net proceeds of $117.3 million after deducting underwriting discounts and commissions and offering expenses.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cash flows for the three months ended June 30, 2023 and 2022:</w:t>
      </w:r>
    </w:p>
    <w:p>
      <w:pPr>
        <w:spacing w:after="0" w:line="272"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69"/>
        </w:trPr>
        <w:tc>
          <w:tcPr>
            <w:tcW w:w="53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r>
      <w:tr>
        <w:trPr>
          <w:trHeight w:val="23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(44,901 )</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(49,472 )</w:t>
            </w: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(74,066 )</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51,054</w:t>
            </w:r>
          </w:p>
        </w:tc>
      </w:tr>
      <w:tr>
        <w:trPr>
          <w:trHeight w:val="24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117,835</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3,159</w:t>
            </w: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w w:val="94"/>
              </w:rPr>
              <w:t>Net (decrease) increase in cash, cash equivalents, and restricted cash</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(1,132 )</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4,741</w:t>
            </w:r>
          </w:p>
        </w:tc>
      </w:tr>
      <w:tr>
        <w:trPr>
          <w:trHeight w:val="20"/>
        </w:trPr>
        <w:tc>
          <w:tcPr>
            <w:tcW w:w="5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-187960</wp:posOffset>
            </wp:positionV>
            <wp:extent cx="85725" cy="1885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Net cash used in operating activities was $44.9 million during the six months ended June 30, 2023 compared to $49.5 million during the six months ended June 30, 2022. The decrease in net cash used in operating activities of $4.6 million was primarily due to decreased external research and development costs, primarily associated with FTX-6058 as a result of the clinical hold.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225"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Net cash used in investing activities was $74.1 million during the six months ended June 30, 2023 compared to net cash provided by investing activities of $51.1 million during the six months ended June 30, 2022. The increase in net cash used in investing activities of $125.1 million was primarily due to net purchases of marketable securities during the six months ended June 30, 2023, as compared to net maturities of marketable securities during the six months ended June 30, 2022.</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Net cash provided by financing activities was $117.8 million during the six months ended June 30, 2023 compared to net cash provided by financing activities of $3.2 million during the six months ended June 30, 2022. Net cash provided by financing activities during the six months ended June 30, 2023 primarily consisted of net proceeds of $117.3 million from the completion of the public offering of our common stock in January 2023. Net cash provided by financing activities during the six months ended June 30, 2022 consisted of net proceeds of $3.2 million from the issuance of common stock under our benefit plans.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continue the research and development of, initiate clinical trials of, and seek marketing approval for, our product candidates. In addition, we expect to incur additional costs to support the growth of our organization. As a result, we expect to incur substantial operating losses and negative operating cash flows for the foreseeable future.</w:t>
      </w:r>
    </w:p>
    <w:p>
      <w:pPr>
        <w:spacing w:after="0" w:line="187"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as of June 30, 2023, will enable us to fund our operating expenses and capital expenditure requirements into mid-2025. However, we have based this estimate on assumptions that may prove to be wrong and we could exhaust our capital resources sooner than we expect.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funding requirements and timing and amount of our operating expenditures will depend largely on:</w:t>
      </w:r>
    </w:p>
    <w:p>
      <w:pPr>
        <w:spacing w:after="0" w:line="117" w:lineRule="exact"/>
        <w:rPr>
          <w:sz w:val="20"/>
          <w:szCs w:val="20"/>
          <w:color w:val="auto"/>
        </w:rPr>
      </w:pPr>
    </w:p>
    <w:p>
      <w:pPr>
        <w:ind w:left="900" w:right="320" w:hanging="383"/>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progress, costs and results of our clinical trials of losmapimod and FTX-6058, including our efforts to resolve the clinical hold on FTX-6058;</w:t>
      </w:r>
    </w:p>
    <w:p>
      <w:pPr>
        <w:spacing w:after="0" w:line="62" w:lineRule="exact"/>
        <w:rPr>
          <w:rFonts w:ascii="Arial" w:cs="Arial" w:eastAsia="Arial" w:hAnsi="Arial"/>
          <w:sz w:val="18"/>
          <w:szCs w:val="18"/>
          <w:color w:val="auto"/>
        </w:rPr>
      </w:pPr>
    </w:p>
    <w:p>
      <w:pPr>
        <w:jc w:val="both"/>
        <w:ind w:left="900" w:right="560" w:hanging="383"/>
        <w:spacing w:after="0" w:line="263"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 including under our recent license agreement with CAMP4;</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900" w:right="320" w:hanging="383"/>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API and manufacture of our product candidates and the terms of such arrangements;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our collaboration with MyoKardia;</w:t>
      </w:r>
    </w:p>
    <w:p>
      <w:pPr>
        <w:spacing w:after="0" w:line="117" w:lineRule="exact"/>
        <w:rPr>
          <w:rFonts w:ascii="Arial" w:cs="Arial" w:eastAsia="Arial" w:hAnsi="Arial"/>
          <w:sz w:val="18"/>
          <w:szCs w:val="18"/>
          <w:color w:val="auto"/>
        </w:rPr>
      </w:pPr>
    </w:p>
    <w:p>
      <w:pPr>
        <w:ind w:left="900" w:right="660" w:hanging="383"/>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900" w:right="160" w:hanging="383"/>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40" w:lineRule="exact"/>
        <w:rPr>
          <w:rFonts w:ascii="Arial" w:cs="Arial" w:eastAsia="Arial" w:hAnsi="Arial"/>
          <w:sz w:val="16"/>
          <w:szCs w:val="16"/>
          <w:color w:val="auto"/>
        </w:rPr>
      </w:pPr>
    </w:p>
    <w:p>
      <w:pPr>
        <w:ind w:left="900" w:right="820" w:hanging="383"/>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84"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6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 arrangements, strategic alliances and marketing, distribution or licensing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strategic alliances or marketing, distribution or licensing arrangements in the future, we may have to relinquish valuable rights to our technologies, future revenue streams or product candidates, or grant licenses on terms that may not be favorable to us. If we are unable to raise additional funds through equity or debt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ind w:right="40"/>
        <w:spacing w:after="0" w:line="277" w:lineRule="auto"/>
        <w:rPr>
          <w:sz w:val="20"/>
          <w:szCs w:val="20"/>
          <w:color w:val="auto"/>
        </w:rPr>
      </w:pPr>
      <w:r>
        <w:rPr>
          <w:rFonts w:ascii="Arial" w:cs="Arial" w:eastAsia="Arial" w:hAnsi="Arial"/>
          <w:sz w:val="18"/>
          <w:szCs w:val="18"/>
          <w:color w:val="auto"/>
        </w:rPr>
        <w:t>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 During the three months ended June 30, 2023, there were no material changes to our critical accounting policies from those described in our Annual Report on Form 10-K filed with the SEC on March 9, 2023.</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Our management, with the participation of our Chief Executive Officer (our principal executive officer and principal financial officer), evaluated the effectiveness of our disclosure controls and procedures as of June 30, 2023.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June 30, 2023, our Chief Executive Officer concluded that, as of such date, our disclosure controls and procedures were effective at the reasonable assurance level.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320" w:firstLine="509"/>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 xml:space="preserve">On April 28, 2023, a class action complaint, </w:t>
      </w:r>
      <w:r>
        <w:rPr>
          <w:rFonts w:ascii="Arial" w:cs="Arial" w:eastAsia="Arial" w:hAnsi="Arial"/>
          <w:sz w:val="17"/>
          <w:szCs w:val="17"/>
          <w:i w:val="1"/>
          <w:iCs w:val="1"/>
          <w:color w:val="auto"/>
        </w:rPr>
        <w:t>Celano v. Fulcrum Therapeutics, Inc., et al</w:t>
      </w:r>
      <w:r>
        <w:rPr>
          <w:rFonts w:ascii="Arial" w:cs="Arial" w:eastAsia="Arial" w:hAnsi="Arial"/>
          <w:sz w:val="17"/>
          <w:szCs w:val="17"/>
          <w:color w:val="auto"/>
        </w:rPr>
        <w:t>., Case No. 1:23-cv-11125-IT, was filed in the United States District Court for the District of New Jersey against our company and current and former officers, or the Securities Action. On May 19, 2023, the Securities Action was transferred to the United States District Court for the District of Massachusetts. The Securities Action alleges violations of Section 10(b) of the Exchange Act and Rule 10b-5 promulgated thereunder against all defendants and control person violations of Section 20(a) against the individuals, related to our February 2023 announcement that the FDA issued a clinical hold regarding the IND application for FTX-6058 for the potential treatment of SCD. The Securities Action alleges that the defendants made misleading statements and omitted to disclose material information related to the clinical hold and seeks, among other things, compensatory damages in connection with an allegedly inflated stock price between March 3, 2022, and March 8, 2023, as well as attorneys’ fees and costs. We intend to defend vigorously against this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i of this Quarterly Report on Form 10-Q for a discussion of some of the forward-looking statements that are qualified by these risk factors. Factors that could cause or contribute to such differences include those factors discussed below.</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170" w:lineRule="exact"/>
        <w:rPr>
          <w:sz w:val="20"/>
          <w:szCs w:val="20"/>
          <w:color w:val="auto"/>
        </w:rPr>
      </w:pPr>
    </w:p>
    <w:p>
      <w:pPr>
        <w:ind w:right="220" w:firstLine="509"/>
        <w:spacing w:after="0" w:line="272" w:lineRule="auto"/>
        <w:rPr>
          <w:sz w:val="20"/>
          <w:szCs w:val="20"/>
          <w:color w:val="auto"/>
        </w:rPr>
      </w:pPr>
      <w:r>
        <w:rPr>
          <w:rFonts w:ascii="Arial" w:cs="Arial" w:eastAsia="Arial" w:hAnsi="Arial"/>
          <w:sz w:val="17"/>
          <w:szCs w:val="17"/>
          <w:color w:val="auto"/>
        </w:rPr>
        <w:t>Since inception, we have incurred significant operating losses. Our net loss was $109.9 million for the year ended December 31, 2022 and $48.6 million for the six months ended June 30, 2023. As of June 30, 2023, we had an accumulated deficit of $460.9 million. To date, we have funded our operations primarily from the sale of shares of our capital stock and from upfront payments received under our collaboration and license agreements.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69" w:lineRule="exact"/>
        <w:rPr>
          <w:sz w:val="20"/>
          <w:szCs w:val="20"/>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our clinical development of losmapimod and seek to resolve the clinical hold on FTX-6058;</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our ongoing preclinical studies;</w:t>
      </w:r>
    </w:p>
    <w:p>
      <w:pPr>
        <w:spacing w:after="0" w:line="117" w:lineRule="exact"/>
        <w:rPr>
          <w:rFonts w:ascii="Arial" w:cs="Arial" w:eastAsia="Arial" w:hAnsi="Arial"/>
          <w:sz w:val="18"/>
          <w:szCs w:val="18"/>
          <w:color w:val="auto"/>
        </w:rPr>
      </w:pPr>
    </w:p>
    <w:p>
      <w:pPr>
        <w:ind w:left="900" w:right="80" w:hanging="383"/>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clinical-stage product candidates through later stage trials, such as REACH, the Phase 3 clinical trial of losmapimod for the treatment of FSHD;</w:t>
      </w:r>
    </w:p>
    <w:p>
      <w:pPr>
        <w:spacing w:after="0" w:line="62" w:lineRule="exact"/>
        <w:rPr>
          <w:rFonts w:ascii="Arial" w:cs="Arial" w:eastAsia="Arial" w:hAnsi="Arial"/>
          <w:sz w:val="18"/>
          <w:szCs w:val="18"/>
          <w:color w:val="auto"/>
        </w:rPr>
      </w:pPr>
    </w:p>
    <w:p>
      <w:pPr>
        <w:ind w:left="900" w:right="520" w:hanging="383"/>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pursue the discovery of drug targets for other genetically-defined rare diseases and the subsequent development of any resulting product candidates, including for DBA under our recent license agreement with CAMP4;</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17" w:lineRule="exact"/>
        <w:rPr>
          <w:rFonts w:ascii="Arial" w:cs="Arial" w:eastAsia="Arial" w:hAnsi="Arial"/>
          <w:sz w:val="18"/>
          <w:szCs w:val="18"/>
          <w:color w:val="auto"/>
        </w:rPr>
      </w:pPr>
    </w:p>
    <w:p>
      <w:pPr>
        <w:ind w:left="900" w:right="280" w:hanging="383"/>
        <w:spacing w:after="0" w:line="308"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regulatory approval;</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or in-license products, product candidates, technologies and/or data referencing rights;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 w:name="page37"/>
    <w:bookmarkEnd w:id="36"/>
    <w:p>
      <w:pPr>
        <w:ind w:left="900" w:right="380" w:hanging="383"/>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any milestone payments to affiliates of GSK, under our right of reference and license agreement with GSK upon the achievement of specified clinical or regulatory milestones, or to CAMP4 under our license agreement with CAMP4;</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17" w:lineRule="exact"/>
        <w:rPr>
          <w:rFonts w:ascii="Arial" w:cs="Arial" w:eastAsia="Arial" w:hAnsi="Arial"/>
          <w:sz w:val="18"/>
          <w:szCs w:val="18"/>
          <w:color w:val="auto"/>
        </w:rPr>
      </w:pPr>
    </w:p>
    <w:p>
      <w:pPr>
        <w:ind w:left="900" w:right="220" w:hanging="383"/>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 our operations as a public company.</w:t>
      </w:r>
    </w:p>
    <w:p>
      <w:pPr>
        <w:spacing w:after="0" w:line="170" w:lineRule="exact"/>
        <w:rPr>
          <w:sz w:val="20"/>
          <w:szCs w:val="20"/>
          <w:color w:val="auto"/>
        </w:rPr>
      </w:pPr>
    </w:p>
    <w:p>
      <w:pPr>
        <w:ind w:right="160" w:firstLine="509"/>
        <w:spacing w:after="0" w:line="291" w:lineRule="auto"/>
        <w:rPr>
          <w:sz w:val="20"/>
          <w:szCs w:val="20"/>
          <w:color w:val="auto"/>
        </w:rPr>
      </w:pPr>
      <w:r>
        <w:rPr>
          <w:rFonts w:ascii="Arial" w:cs="Arial" w:eastAsia="Arial" w:hAnsi="Arial"/>
          <w:sz w:val="16"/>
          <w:szCs w:val="16"/>
          <w:color w:val="auto"/>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58" w:lineRule="exact"/>
        <w:rPr>
          <w:sz w:val="20"/>
          <w:szCs w:val="20"/>
          <w:color w:val="auto"/>
        </w:rPr>
      </w:pPr>
    </w:p>
    <w:p>
      <w:pPr>
        <w:ind w:left="900" w:right="620" w:hanging="383"/>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required by the FDA, the EMA, or other regulatory authorities to perform trials or studies in addition to, or different than, those expected (including as may be required to address the recent clinical hold on FTX-6058);</w:t>
      </w:r>
    </w:p>
    <w:p>
      <w:pPr>
        <w:spacing w:after="0" w:line="62" w:lineRule="exact"/>
        <w:rPr>
          <w:rFonts w:ascii="Arial" w:cs="Arial" w:eastAsia="Arial" w:hAnsi="Arial"/>
          <w:sz w:val="18"/>
          <w:szCs w:val="18"/>
          <w:color w:val="auto"/>
        </w:rPr>
      </w:pPr>
    </w:p>
    <w:p>
      <w:pPr>
        <w:ind w:left="900" w:right="460" w:hanging="383"/>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there are any delays in completing our clinical trials or the development of any of our product candidates, such as the recent clinical hold imposed by the FDA on the FTX-6058 IND; or</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there are any third-party challenges to our intellectual property or we need to defend against any intellectual property-related claim.</w:t>
      </w:r>
    </w:p>
    <w:p>
      <w:pPr>
        <w:spacing w:after="0" w:line="23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62"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We expect to devote substantial financial resources to our ongoing and planned activities, particularly as we continue our ongoing and planned clinical trials of losmapimod and FTX-6058,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Accordingly, we will need to obtain substantial additional funding in connection with our continuing operations. Given current uncertainty in the capital markets and other factors, such funding may not be available on terms favorable to us or at all. If we are unable to raise capital when needed or on acceptable terms, we could be forced to delay, reduce or eliminate our research and development programs or any future commercialization efforts.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jc w:val="both"/>
        <w:ind w:left="900" w:right="60" w:hanging="383"/>
        <w:spacing w:after="0" w:line="34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progress, costs and results of our ongoing clinical trials of losmapimod, including REACH, the Phase 3 clinical trial of losmapimod for the treatment of FSHD, which enrolled its first patient in June 2022, and our ability to resolve the clinical hold on the Phase 1b trial of FTX-6058;</w:t>
      </w:r>
    </w:p>
    <w:p>
      <w:pPr>
        <w:spacing w:after="0" w:line="15" w:lineRule="exact"/>
        <w:rPr>
          <w:rFonts w:ascii="Arial" w:cs="Arial" w:eastAsia="Arial" w:hAnsi="Arial"/>
          <w:sz w:val="16"/>
          <w:szCs w:val="16"/>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additional planned clinical trials;</w:t>
      </w:r>
    </w:p>
    <w:p>
      <w:pPr>
        <w:spacing w:after="0" w:line="117" w:lineRule="exact"/>
        <w:rPr>
          <w:rFonts w:ascii="Arial" w:cs="Arial" w:eastAsia="Arial" w:hAnsi="Arial"/>
          <w:sz w:val="18"/>
          <w:szCs w:val="18"/>
          <w:color w:val="auto"/>
        </w:rPr>
      </w:pPr>
    </w:p>
    <w:p>
      <w:pPr>
        <w:ind w:left="900" w:right="540" w:hanging="383"/>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research, preclinical development, laboratory testing and clinical trials for our current product candidates in additional indications or for any future product candidates that we may pursue;</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900" w:right="220" w:hanging="383"/>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enter into contract manufacturing arrangements for supply of active pharmaceutical ingredient, or API, and manufacture of our product candidates and the terms of such arrangements;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our collaboration with MyoKardia or under our recent license agreement with CAMP4;</w:t>
      </w:r>
    </w:p>
    <w:p>
      <w:pPr>
        <w:spacing w:after="0" w:line="117" w:lineRule="exact"/>
        <w:rPr>
          <w:rFonts w:ascii="Arial" w:cs="Arial" w:eastAsia="Arial" w:hAnsi="Arial"/>
          <w:sz w:val="18"/>
          <w:szCs w:val="18"/>
          <w:color w:val="auto"/>
        </w:rPr>
      </w:pPr>
    </w:p>
    <w:p>
      <w:pPr>
        <w:ind w:left="900" w:right="640" w:hanging="383"/>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additional strategic collaborations, licensing or other arrangements and the financial terms of such arrangements;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7" w:name="page38"/>
    <w:bookmarkEnd w:id="37"/>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117" w:lineRule="exact"/>
        <w:rPr>
          <w:rFonts w:ascii="Arial" w:cs="Arial" w:eastAsia="Arial" w:hAnsi="Arial"/>
          <w:sz w:val="18"/>
          <w:szCs w:val="18"/>
          <w:color w:val="auto"/>
        </w:rPr>
      </w:pPr>
    </w:p>
    <w:p>
      <w:pPr>
        <w:ind w:left="900" w:right="100" w:hanging="383"/>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sales, marketing and distribution, for any of our product candidates for which we may receive marketing approval;</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amount and timing of revenue, if any, received from commercial sales of our product candidates for which we receive marketing approval;</w:t>
      </w:r>
    </w:p>
    <w:p>
      <w:pPr>
        <w:spacing w:after="0" w:line="140" w:lineRule="exact"/>
        <w:rPr>
          <w:rFonts w:ascii="Arial" w:cs="Arial" w:eastAsia="Arial" w:hAnsi="Arial"/>
          <w:sz w:val="16"/>
          <w:szCs w:val="16"/>
          <w:color w:val="auto"/>
        </w:rPr>
      </w:pPr>
    </w:p>
    <w:p>
      <w:pPr>
        <w:ind w:left="900" w:right="760" w:hanging="383"/>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and proprietary rights and defending any intellectual property-related claims;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technologies or data referencing rights.</w:t>
      </w:r>
    </w:p>
    <w:p>
      <w:pPr>
        <w:spacing w:after="0" w:line="225" w:lineRule="exact"/>
        <w:rPr>
          <w:sz w:val="20"/>
          <w:szCs w:val="20"/>
          <w:color w:val="auto"/>
        </w:rPr>
      </w:pPr>
    </w:p>
    <w:p>
      <w:pPr>
        <w:ind w:right="240" w:firstLine="509"/>
        <w:spacing w:after="0" w:line="279" w:lineRule="auto"/>
        <w:rPr>
          <w:sz w:val="20"/>
          <w:szCs w:val="20"/>
          <w:color w:val="auto"/>
        </w:rPr>
      </w:pPr>
      <w:r>
        <w:rPr>
          <w:rFonts w:ascii="Arial" w:cs="Arial" w:eastAsia="Arial" w:hAnsi="Arial"/>
          <w:sz w:val="17"/>
          <w:szCs w:val="17"/>
          <w:color w:val="auto"/>
        </w:rPr>
        <w:t>As of June 30, 2023, we had cash, cash equivalents, and marketable securities of approximately $278.2 million. We believe that our cash, cash equivalents, and marketable securities as of June 30, 2023 will enable us to fund our operating expenses and capital expenditure requirements into mid-2025.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71"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and may become even more difficult to obtain due to rising interest rates and the current downturn in the U.S. capital markets and the biotechnology sector in general.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 We may also choose to further realign our operations to achieve additional operational efficiencies beyond our recently announced strategic realignment.</w:t>
      </w:r>
    </w:p>
    <w:p>
      <w:pPr>
        <w:spacing w:after="0" w:line="28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70"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64"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9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We have in the past relied in part on sales of our common stock through an at-the-market, or ATM, offering program. Increased volatility and decreases in market prices of equity securities generally and of our common stock in particular may have an adverse impact on our willingness and/or ability to continue to sell our common stock through our ATM offering program. Decreases in these sales could affect the cost or availability of equity capital, which could in turn have an adverse effect on our business, including current operations, future growth, revenues, net income and the market prices of our common stock.</w:t>
      </w:r>
    </w:p>
    <w:p>
      <w:pPr>
        <w:spacing w:after="0" w:line="188"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 May 2022, we established a new ATM offering program to sell shares of our common stock having an aggregate offering price of up to $50.0 million from time to time. In January 2023, immediately prior to commencing our underwritten public offering of common stock, we suspended our use of and terminated the prospectus supplement related to the ATM offering program. We may not make any sales of securities pursuant to the ATM offering program unless and until we file a new prospectus supplement. However,</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8" w:name="page39"/>
    <w:bookmarkEnd w:id="38"/>
    <w:p>
      <w:pPr>
        <w:ind w:right="120"/>
        <w:spacing w:after="0" w:line="263" w:lineRule="auto"/>
        <w:rPr>
          <w:sz w:val="20"/>
          <w:szCs w:val="20"/>
          <w:color w:val="auto"/>
        </w:rPr>
      </w:pPr>
      <w:r>
        <w:rPr>
          <w:rFonts w:ascii="Arial" w:cs="Arial" w:eastAsia="Arial" w:hAnsi="Arial"/>
          <w:sz w:val="18"/>
          <w:szCs w:val="18"/>
          <w:color w:val="auto"/>
        </w:rPr>
        <w:t>given the overall volatility in the capital markets, even if a new prospectus supplement is filed, we may not be willing or able to continue to raise equity capital through our ATM offering program. We may, therefore, need to turn to other sources of funding that may have terms that are not favorable to us, or reduce our business operations given capital constraints.</w:t>
      </w:r>
    </w:p>
    <w:p>
      <w:pPr>
        <w:spacing w:after="0" w:line="184"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Alternative financing arrangements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our equity ownership in the subsidiary, which would adversely affect the rights of holders of both our equity securities and, if any, our debt and debt securities.</w:t>
      </w:r>
    </w:p>
    <w:p>
      <w:pPr>
        <w:spacing w:after="0" w:line="164"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Interest on any newly-issued debt securities and/or newly-incurred borrowings would increase our operating costs and reduce our net income, and these impacts may be material. If the issuance of new securities results in diminished rights to holders of our common stock, the market price of our common stock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stockholders to evaluate the success of our business to date and to assess our future viability.</w:t>
      </w:r>
    </w:p>
    <w:p>
      <w:pPr>
        <w:spacing w:after="0" w:line="260"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commenced activities in 2015 and are a clinical-stage biotechnology company. Our operations to date have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stockholders make about our future success or viability may not be as accurate as they could be if we had a longer operating history or a history of successfully developing and commercializing products.</w:t>
      </w:r>
    </w:p>
    <w:p>
      <w:pPr>
        <w:spacing w:after="0" w:line="177"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w:t>
      </w:r>
    </w:p>
    <w:p>
      <w:pPr>
        <w:spacing w:after="0" w:line="29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Our business was negatively impacted by the COVID-19 pandemic and may in the future be impacted by any future pandemics. In addition, the effects of this pandemic may continue to, and any future pandemics may, adversely impact economies worldwide, which could result in adverse effects on our business and operations.</w:t>
      </w:r>
    </w:p>
    <w:p>
      <w:pPr>
        <w:spacing w:after="0" w:line="184"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We experienced enrollment delays in our ReDUX4 clinical trial due to the COVID-19 pandemic as the clinical trial sites for our ReDUX4 clinical trial temporarily postponed trial-related activities. We also saw temporary disruptions in other business activities due to a temporary reduction in workforce presence at our Cambridge research facility. Although our employees have returned to work, there are a number of vaccines available, and many restrictions have been lifted, there is still uncertainty about the overall impact of COVID-19 on our business, as well as its continuing impact on economies worldwide. Future pandemics may arise, and they, like COVID-19, could impact our company, our CMOs and contract research organizations, or CROs, creating disruptions that affect our ability to initiate and complete preclinical studies or clinical trials, disrupt our supply chain for our research and development activities, and disrupt any then planned or ongoing clinical trials for any number of reasons. Any future pandemics could similarly impact patient recruitment or retention for clinical trials, or result in resources being redirected in a way that adversely impacts our ability to progress regulatory approvals and protect our intellectual property. In addition, as with COVID-19 pandemic, we may face impediments to regulatory meetings and approvals due to recommended safety measures intended to limit in-person interactions in any future pandemic.</w:t>
      </w:r>
    </w:p>
    <w:p>
      <w:pPr>
        <w:spacing w:after="0" w:line="168"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The COVID-19 pandemic caused significant disruptions in the financial markets, and it may continue to, and any future pandemic could similarly, cause such disruptions, which could impact our ability to raise additional funds through public offerings and may also impact the volatility of our stock price and trading in our stock. We cannot be certain what the overall impact of any future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right="740"/>
        <w:spacing w:after="0" w:line="277" w:lineRule="auto"/>
        <w:rPr>
          <w:sz w:val="20"/>
          <w:szCs w:val="20"/>
          <w:color w:val="auto"/>
        </w:rPr>
      </w:pPr>
      <w:r>
        <w:rPr>
          <w:rFonts w:ascii="Arial" w:cs="Arial" w:eastAsia="Arial" w:hAnsi="Arial"/>
          <w:sz w:val="18"/>
          <w:szCs w:val="18"/>
          <w:color w:val="auto"/>
        </w:rPr>
        <w:t>pandemic will be on our business. The extent of the impact of COVID-19 and any future pandemic on our business, financial condition, results of operations and prospects will depend on future developments that are uncertain.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225"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For example, under Section 174 of the U.S. Internal Revenue Code of 1986, as amended, or the Code, in taxable years beginning after December 31, 2021, expenses that are incurred for research and development in the United States will be capitalized and amortized, which may have an adverse effect on our cash flow.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27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research and development tax credit carryforwards to offset future taxable income may be subject to certain limitations.</w:t>
      </w:r>
    </w:p>
    <w:p>
      <w:pPr>
        <w:spacing w:after="0" w:line="170"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As of December 31, 2022, we had federal and state net operating loss carryforwards of $275.1 million and $272.6 million, respectively, which begin to expire in 2036. Approximately $251.5 million of the federal net operating losses can be carried forward indefinitely. As of December 31, 2022, we also had federal orphan drug credits of $14.6 million, which begin to expire in 2040. As of December 31, 2022, we also had federal and state research and development tax credit carryforwards of $6.9 million and $4.0 million, respectively, which begin to expire in 2035 and 2030, respectively. These net operating loss and tax credit carryforwards could expire unused and be unavailable to offset future income tax liabilities.</w:t>
      </w:r>
    </w:p>
    <w:p>
      <w:pPr>
        <w:spacing w:after="0" w:line="68"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In general, under Section 382 of the Code,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conducted an analysis under Section 382 of the Code to determine if historical changes in ownership through December 31, 2021 would limit or otherwise restrict our ability to utilize our pre-change net operating losses and research and development tax credit carryforwards to offset future taxable income. As a result of the analysis, we do not believe that there are any significant limitations on our ability to utilize our net operating losses and research and development tax credit carryforwards to offset future taxable income. However, we may experience such ownership changes in the future (which may be outside our control). As a result, if, and to the extent that, we earn net taxable income, our ability to use our pre-change net operating losses and research and development tax credit carryforwards to offset such taxable income may be subject to limitations. Our net operating losses or credits may also be impaired under state law.</w:t>
      </w:r>
    </w:p>
    <w:p>
      <w:pPr>
        <w:spacing w:after="0" w:line="77" w:lineRule="exact"/>
        <w:rPr>
          <w:sz w:val="20"/>
          <w:szCs w:val="20"/>
          <w:color w:val="auto"/>
        </w:rPr>
      </w:pPr>
    </w:p>
    <w:p>
      <w:pPr>
        <w:ind w:firstLine="509"/>
        <w:spacing w:after="0" w:line="342" w:lineRule="auto"/>
        <w:rPr>
          <w:sz w:val="20"/>
          <w:szCs w:val="20"/>
          <w:color w:val="auto"/>
        </w:rPr>
      </w:pPr>
      <w:r>
        <w:rPr>
          <w:rFonts w:ascii="Arial" w:cs="Arial" w:eastAsia="Arial" w:hAnsi="Arial"/>
          <w:sz w:val="16"/>
          <w:szCs w:val="16"/>
          <w:color w:val="auto"/>
        </w:rPr>
        <w:t>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w:t>
      </w:r>
    </w:p>
    <w:p>
      <w:pPr>
        <w:spacing w:after="0" w:line="23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spacing w:after="0" w:line="184"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 March 2023, a number of banks (e.g., Silicon Valley Bank (SVB), Signature Bank and Silvergate Capital Corp.) were placed into receivership, followed by First Republic Bank in May 2023. Although the Federal Deposit Insurance Corporation (FDIC) and others have taken steps to reduce risk to uninsured depositors, borrowers under credit agreements, letters of credit and certain other financial instruments with such banks or any other financial institution that is placed into receivership by the FDIC may be unable to access undrawn amounts thereunder. Even 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affecting the financial services industry or economy in general, such as these recent bank failures. These factors could also include, among others,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and the supervision thereof. In addition, investor concerns regarding the United States or international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ind w:right="40"/>
        <w:spacing w:after="0" w:line="296" w:lineRule="auto"/>
        <w:rPr>
          <w:sz w:val="20"/>
          <w:szCs w:val="20"/>
          <w:color w:val="auto"/>
        </w:rPr>
      </w:pPr>
      <w:r>
        <w:rPr>
          <w:rFonts w:ascii="Arial" w:cs="Arial" w:eastAsia="Arial" w:hAnsi="Arial"/>
          <w:sz w:val="16"/>
          <w:szCs w:val="16"/>
          <w:color w:val="auto"/>
        </w:rPr>
        <w:t>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which could have material adverse effect on our liquidity and on our business, financial condition or results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are early in our development efforts, and we only have two clinical-stage product candidates. If we are unable to commercialize our product candidates or experience significant delays in doing so, our business will be materially harmed.</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are early in our development efforts, and we have advanced only two product candidates into clinical trials, losmapimod for the treatment of FSHD, and FTX-6058 for the treatment of SCD, although the latter program is currently on clinical hold. We have invested substantially all of our efforts and financial resources in our proprietary product engine to identify and validate cellular drug targets that can potentially modulate gene expression to address the root cause of genetically-defined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70" w:lineRule="exact"/>
        <w:rPr>
          <w:sz w:val="20"/>
          <w:szCs w:val="20"/>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w:t>
      </w:r>
    </w:p>
    <w:p>
      <w:pPr>
        <w:spacing w:after="0" w:line="117" w:lineRule="exact"/>
        <w:rPr>
          <w:rFonts w:ascii="Arial" w:cs="Arial" w:eastAsia="Arial" w:hAnsi="Arial"/>
          <w:sz w:val="18"/>
          <w:szCs w:val="18"/>
          <w:color w:val="auto"/>
        </w:rPr>
      </w:pPr>
    </w:p>
    <w:p>
      <w:pPr>
        <w:ind w:left="900" w:hanging="383"/>
        <w:spacing w:after="0" w:line="308"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allowance by the FDA or other regulatory agencies of the INDs, clinical trial applications, or CTAs, or other regulatory filings for losmapimod, FTX-6058 and future product candidates, including our ability to resolve the current clinical hold on FTX-6058 for SCD;</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expanding and maintaining a workforce of experienced scientists and others to continue to develop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applying for and receiving marketing approvals from applicable regulatory authorities;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for, or establishing, commercial manufacturing capabilities;</w:t>
      </w:r>
    </w:p>
    <w:p>
      <w:pPr>
        <w:spacing w:after="0" w:line="117" w:lineRule="exact"/>
        <w:rPr>
          <w:rFonts w:ascii="Arial" w:cs="Arial" w:eastAsia="Arial" w:hAnsi="Arial"/>
          <w:sz w:val="18"/>
          <w:szCs w:val="18"/>
          <w:color w:val="auto"/>
        </w:rPr>
      </w:pPr>
    </w:p>
    <w:p>
      <w:pPr>
        <w:ind w:left="900" w:right="10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successfully launching commercial sales of the products, if and when approved, whether alone or in collaboration with others;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the products, if and when approved, by patients, the medical community and third-party payors;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obtaining and maintaining coverage, adequate pricing and adequate reimbursement from third-party payors, including government payors;</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enforcing, defending and protecting our rights in our intellectual property portfolio;</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infringing, misappropriating or otherwise violating others’ intellectual property or proprietary rights;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receipt of any regulatory approvals.</w:t>
      </w:r>
    </w:p>
    <w:p>
      <w:pPr>
        <w:spacing w:after="0" w:line="225"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our product engine to build a pipeline of product candidates.</w:t>
      </w:r>
    </w:p>
    <w:p>
      <w:pPr>
        <w:spacing w:after="0" w:line="117"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A key element of our strategy is to use our proprietary product engine to identify and validate cellular drug targets that can potentially modulate gene expression to address the root cause of genetically-defined rare diseases, with an initial focus on identifying small molecules specific to the identified cellular target.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with our product engine, including as a result of our collaboration with MyoKardia,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proprietary product engine or any of our research or development programs will not cause significant delays or unanticipated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1" w:name="page42"/>
    <w:bookmarkEnd w:id="41"/>
    <w:p>
      <w:pPr>
        <w:ind w:right="400"/>
        <w:spacing w:after="0" w:line="277" w:lineRule="auto"/>
        <w:rPr>
          <w:sz w:val="20"/>
          <w:szCs w:val="20"/>
          <w:color w:val="auto"/>
        </w:rPr>
      </w:pPr>
      <w:r>
        <w:rPr>
          <w:rFonts w:ascii="Arial" w:cs="Arial" w:eastAsia="Arial" w:hAnsi="Arial"/>
          <w:sz w:val="18"/>
          <w:szCs w:val="18"/>
          <w:color w:val="auto"/>
        </w:rPr>
        <w:t>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27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6" w:lineRule="exact"/>
        <w:rPr>
          <w:sz w:val="20"/>
          <w:szCs w:val="20"/>
          <w:color w:val="auto"/>
        </w:rPr>
      </w:pPr>
    </w:p>
    <w:p>
      <w:pPr>
        <w:jc w:val="both"/>
        <w:ind w:right="220" w:firstLine="509"/>
        <w:spacing w:after="0" w:line="286" w:lineRule="auto"/>
        <w:rPr>
          <w:sz w:val="20"/>
          <w:szCs w:val="20"/>
          <w:color w:val="auto"/>
        </w:rPr>
      </w:pPr>
      <w:r>
        <w:rPr>
          <w:rFonts w:ascii="Arial" w:cs="Arial" w:eastAsia="Arial" w:hAnsi="Arial"/>
          <w:sz w:val="16"/>
          <w:szCs w:val="16"/>
          <w:color w:val="auto"/>
        </w:rPr>
        <w:t>We have two product candidates in clinical development.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completed a pivotal clinical trial of any product candidate.</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Clinical trials may fail to demonstrate that our product candidates are safe for humans and effective for indicated uses. For example, FTX-6058, our clinical trial stage candidate to treat SCD, is an EEDi. EED is a member of the PRC2 complex, which also includes EZH2. There are approved products in the EZH2 class of medications and their approved labeling outlines safety risks, including an increased risk of malignancies. In the event that FTX-6058 has similar safety risks as other PRC2 medications, this could impact its acceptance.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70"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or continue. On February 23, 2023, the FDA imposed a clinical hold on our IND for FTX-6058 in SCD. While we intend to work diligently to resolve the hold as soon as possible, there is no guarantee that FDA will allow the trial to resume in a timely manner or at all.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77"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Clinical testing is expensive, difficult to design and implement, can take many years to complete and is uncertain as to outcome. We cannot guarantee that any clinical trials will be conducted as planned or completed on schedule, or at all. For example, our clinical trial of FTX-6058 is currently on hold and there can be no certainty as to when it will resume, if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76"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As described in Item 1 “Business—Licenses and Collaborations--Right of Reference and License Agreement with GlaxoSmithKline” in our Annual Report on Form 10-K for the year ended December 31, 2022, or the 2022 Annual Report, we have entered into a right of reference and license agreement, as amended, with affiliates of GSK. Although losmapimod was originally evaluated by GSK in nearly 3,600 subjects, GSK did not evaluate losmapimod in FSHD or in any other muscular dystrophy, and most of the subjects in these trials were given a dose that was lower than our planned dosage of 15 mg of losmapimod twice per day. Accordingly, the safety data generated from GSK’s clinical trials of losmapimod may not be predictive or indicative of the results of our clinical trials. Similarly, while we believe the safety data from GSK’s clinical trials may, in part, support the safety database for losmapimod, GSK evaluated a limited number of subjects at a dose of 15 mg twice daily.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2" w:name="page43"/>
    <w:bookmarkEnd w:id="42"/>
    <w:p>
      <w:pPr>
        <w:ind w:right="140" w:firstLine="509"/>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62" w:lineRule="exact"/>
        <w:rPr>
          <w:sz w:val="20"/>
          <w:szCs w:val="20"/>
          <w:color w:val="auto"/>
        </w:rPr>
      </w:pPr>
    </w:p>
    <w:p>
      <w:pPr>
        <w:ind w:left="900" w:right="160" w:hanging="38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ind w:left="900" w:right="740" w:hanging="38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w:t>
      </w:r>
    </w:p>
    <w:p>
      <w:pPr>
        <w:spacing w:after="0" w:line="62" w:lineRule="exact"/>
        <w:rPr>
          <w:rFonts w:ascii="Arial" w:cs="Arial" w:eastAsia="Arial" w:hAnsi="Arial"/>
          <w:sz w:val="18"/>
          <w:szCs w:val="18"/>
          <w:color w:val="auto"/>
        </w:rPr>
      </w:pPr>
    </w:p>
    <w:p>
      <w:pPr>
        <w:ind w:left="900" w:right="320" w:hanging="38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may decide the design of our clinical trials is flawed, for example if our trial protocol does not evaluate treatment effects in trial subjects for a sufficient length of time;</w:t>
      </w:r>
    </w:p>
    <w:p>
      <w:pPr>
        <w:spacing w:after="0" w:line="62" w:lineRule="exact"/>
        <w:rPr>
          <w:rFonts w:ascii="Arial" w:cs="Arial" w:eastAsia="Arial" w:hAnsi="Arial"/>
          <w:sz w:val="18"/>
          <w:szCs w:val="18"/>
          <w:color w:val="auto"/>
        </w:rPr>
      </w:pPr>
    </w:p>
    <w:p>
      <w:pPr>
        <w:ind w:left="900" w:right="340" w:hanging="38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62" w:lineRule="exact"/>
        <w:rPr>
          <w:rFonts w:ascii="Arial" w:cs="Arial" w:eastAsia="Arial" w:hAnsi="Arial"/>
          <w:sz w:val="18"/>
          <w:szCs w:val="18"/>
          <w:color w:val="auto"/>
        </w:rPr>
      </w:pPr>
    </w:p>
    <w:p>
      <w:pPr>
        <w:ind w:left="900" w:right="340" w:hanging="383"/>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15" w:lineRule="exact"/>
        <w:rPr>
          <w:rFonts w:ascii="Arial" w:cs="Arial" w:eastAsia="Arial" w:hAnsi="Arial"/>
          <w:sz w:val="16"/>
          <w:szCs w:val="16"/>
          <w:color w:val="auto"/>
        </w:rPr>
      </w:pPr>
    </w:p>
    <w:p>
      <w:pPr>
        <w:ind w:left="900" w:right="80" w:hanging="383"/>
        <w:spacing w:after="0" w:line="263"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75" w:lineRule="exact"/>
        <w:rPr>
          <w:rFonts w:ascii="Arial" w:cs="Arial" w:eastAsia="Arial" w:hAnsi="Arial"/>
          <w:sz w:val="18"/>
          <w:szCs w:val="18"/>
          <w:color w:val="auto"/>
        </w:rPr>
      </w:pPr>
    </w:p>
    <w:p>
      <w:pPr>
        <w:ind w:left="900" w:right="80" w:hanging="383"/>
        <w:spacing w:after="0" w:line="308"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38" w:lineRule="exact"/>
        <w:rPr>
          <w:rFonts w:ascii="Arial" w:cs="Arial" w:eastAsia="Arial" w:hAnsi="Arial"/>
          <w:sz w:val="17"/>
          <w:szCs w:val="17"/>
          <w:color w:val="auto"/>
        </w:rPr>
      </w:pPr>
    </w:p>
    <w:p>
      <w:pPr>
        <w:ind w:left="900" w:hanging="38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900" w:right="380" w:hanging="383"/>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15" w:lineRule="exact"/>
        <w:rPr>
          <w:rFonts w:ascii="Arial" w:cs="Arial" w:eastAsia="Arial" w:hAnsi="Arial"/>
          <w:sz w:val="16"/>
          <w:szCs w:val="16"/>
          <w:color w:val="auto"/>
        </w:rPr>
      </w:pPr>
    </w:p>
    <w:p>
      <w:pPr>
        <w:ind w:left="900" w:right="200" w:hanging="38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or IRBs may require us to perform additional or unanticipated clinical trials to obtain approval or we may be subject to additional post-marketing testing requirements to maintain regulatory approval;</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17" w:lineRule="exact"/>
        <w:rPr>
          <w:rFonts w:ascii="Arial" w:cs="Arial" w:eastAsia="Arial" w:hAnsi="Arial"/>
          <w:sz w:val="18"/>
          <w:szCs w:val="18"/>
          <w:color w:val="auto"/>
        </w:rPr>
      </w:pPr>
    </w:p>
    <w:p>
      <w:pPr>
        <w:ind w:left="900" w:right="640" w:hanging="38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62" w:lineRule="exact"/>
        <w:rPr>
          <w:rFonts w:ascii="Arial" w:cs="Arial" w:eastAsia="Arial" w:hAnsi="Arial"/>
          <w:sz w:val="18"/>
          <w:szCs w:val="18"/>
          <w:color w:val="auto"/>
        </w:rPr>
      </w:pPr>
    </w:p>
    <w:p>
      <w:pPr>
        <w:ind w:left="900" w:right="340" w:hanging="38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w:t>
      </w:r>
    </w:p>
    <w:p>
      <w:pPr>
        <w:spacing w:after="0" w:line="62" w:lineRule="exact"/>
        <w:rPr>
          <w:rFonts w:ascii="Arial" w:cs="Arial" w:eastAsia="Arial" w:hAnsi="Arial"/>
          <w:sz w:val="18"/>
          <w:szCs w:val="18"/>
          <w:color w:val="auto"/>
        </w:rPr>
      </w:pPr>
    </w:p>
    <w:p>
      <w:pPr>
        <w:ind w:left="900" w:right="220" w:hanging="383"/>
        <w:spacing w:after="0" w:line="263"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unforeseen global instability, including political instability, such as the Russian invasion of Ukraine, or instability from an outbreak of pandemic or contagious disease in or around the countries in which we conduct our clinical trials, could delay the commencement or rate of completion of our clinical trials; and</w:t>
      </w:r>
    </w:p>
    <w:p>
      <w:pPr>
        <w:spacing w:after="0" w:line="75" w:lineRule="exact"/>
        <w:rPr>
          <w:rFonts w:ascii="Arial" w:cs="Arial" w:eastAsia="Arial" w:hAnsi="Arial"/>
          <w:sz w:val="18"/>
          <w:szCs w:val="18"/>
          <w:color w:val="auto"/>
        </w:rPr>
      </w:pPr>
    </w:p>
    <w:p>
      <w:pPr>
        <w:ind w:left="900" w:right="400" w:hanging="383"/>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regulators may withdraw their approval of a product or impose restrictions on its distribution, such as in the form of a risk evaluation and mitigation strategy, or REMS.</w:t>
      </w:r>
    </w:p>
    <w:p>
      <w:pPr>
        <w:spacing w:after="0" w:line="62"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For example, in response to the COVID-19 pandemic, the clinical trial sites for our ReDUX4 trial temporarily postponed trial-related activities, impacting our clinical trial execution plans, and we cannot be certain that we will not face other postponements or similar difficulties in the future. In addition, on February 23, 2023, the FDA imposed a clinical hold on our IND for FTX-6058 in SCD.</w:t>
      </w:r>
    </w:p>
    <w:p>
      <w:pPr>
        <w:spacing w:after="0" w:line="76"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76" w:lineRule="exact"/>
        <w:rPr>
          <w:sz w:val="20"/>
          <w:szCs w:val="20"/>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3" w:name="page44"/>
    <w:bookmarkEnd w:id="43"/>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8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limited clinical experience and, in some cases, using new endpoints or methodologies, the FDA or other regulatory authorities may not consider the endpoints of our clinical trials to predict or provide clinically meaningful results.</w:t>
      </w:r>
    </w:p>
    <w:p>
      <w:pPr>
        <w:spacing w:after="0" w:line="76"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There are currently no therapies approved to treat FSHD, and there may be no therapies approved to treat the underlying causes of diseases that we attempt to address or may address in the future. As a result, the design and conduct of a clinical trial or trials of the product candidates for the treatment of these diseases may take longer, be more costly or be less effective as part of the novelty of development in these diseases. In some cases, we may use new or novel endpoints or methodologies, such as RWS, which has not been proven for registration to our knowledge. The FDA and other regulatory authorities have indicated support for RWS as a primary endpoint with additional and appropriate supportive data from secondary endpoints. However, such regulatory authorities may not consider the endpoints of our clinical trial(s) to provide clinically meaningful results, even where we believe such results are clinically meaningful. For example, while we have met with regulators to discuss the REACH trial design and registration strategy for losmapimod for FSHD, including our proposed endpoints for REACH, regulators may require additional data to support the RWS functional primary endpoint for approval of losmapimod for FSHD.</w:t>
      </w:r>
    </w:p>
    <w:p>
      <w:pPr>
        <w:spacing w:after="0" w:line="73"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Even if the FDA does find our primary endpoint to be sufficiently validated and clinically meaningful, we may not achieve the pre-specified endpoint to a magnitude, duration or degree of statistical significance in any pivotal or other clinical trials we may conduct for our product candidates. Even if we do meet the primary endpoint, our trials may produce results that are unpredictable or inconsistent with the results of the other, more traditional efficacy endpoints in the trials. The FDA also could ascribe substantial weight to other efficacy endpoints when interpreting the clinical trial data, such that even if we achieve statistically significant results on our primary endpoint, the FDA may regard the failure to show a statistically significant effect on our secondary efficacy endpoints as raising questions about the efficacy of the drug.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Identifying and qualifying patients to participate in and complete clinical trials for our product candidates is critical to our success. Successful and timely completion of clinical trials will require that we enroll a sufficient number of patients who remain in the trial until its conclusion. For example, in our Phase 1b trial of FTX-6058 (which is currently on clinical hold), although we enrolled six subjects in the initial cohort, only three subjects remained evaluable as of the initial data cutoff date. Subsequently, we modified the study protocol to monitor subject adherence. However, if such protocols do not improve adherence and improve compliance, once the trial resumes (if at all), we may not be able to generate meaningful data. Furthermore,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genetically-defined rare diseases, we may have difficulty enrolling a sufficient number of eligible patients.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is affected by a variety of other factors, including:</w:t>
      </w:r>
    </w:p>
    <w:p>
      <w:pPr>
        <w:spacing w:after="0" w:line="117" w:lineRule="exact"/>
        <w:rPr>
          <w:sz w:val="20"/>
          <w:szCs w:val="20"/>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the disease under investigation;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eligibility criteria for the trial in question;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trial;</w:t>
      </w:r>
    </w:p>
    <w:p>
      <w:pPr>
        <w:spacing w:after="0" w:line="117" w:lineRule="exact"/>
        <w:rPr>
          <w:rFonts w:ascii="Arial" w:cs="Arial" w:eastAsia="Arial" w:hAnsi="Arial"/>
          <w:sz w:val="18"/>
          <w:szCs w:val="18"/>
          <w:color w:val="auto"/>
        </w:rPr>
      </w:pPr>
    </w:p>
    <w:p>
      <w:pPr>
        <w:ind w:left="900" w:right="380" w:hanging="383"/>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requirements of the trial protocols, including invasive procedures such as muscle biopsies or medical resonance imaging (MRI), which requires the use of specialized equipment;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existing treatments for the indications for which we are conducting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conduct of clinical trials by competitors for product candidates that treat the same indications as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identify specific patient populations for biomarker-defined trial cohort(s);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to, or lack of adequate compensation for, prospective patients.</w:t>
      </w:r>
    </w:p>
    <w:p>
      <w:pPr>
        <w:spacing w:after="0" w:line="11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Our inability to locate and enroll a sufficient number of patients for our clinical trials would result in significant delays, could require us to abandon one or more clinical trials altogether and could delay or prevent our receipt of necessary regulatory approvals.</w:t>
      </w:r>
    </w:p>
    <w:p>
      <w:pPr>
        <w:spacing w:after="0" w:line="62"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Enrollment delays in our clinical trials may result in increased development costs for our product candidates, which would cause the value of our company to decline and limit our ability to obtain additional financing.</w:t>
      </w:r>
    </w:p>
    <w:p>
      <w:pPr>
        <w:spacing w:after="0" w:line="2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serious adverse events or unacceptable side effects are identified during the development of our product candidates, we may need to abandon or limit our development of some of our product candidates.</w:t>
      </w:r>
    </w:p>
    <w:p>
      <w:pPr>
        <w:spacing w:after="0" w:line="6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w:t>
      </w:r>
    </w:p>
    <w:p>
      <w:pPr>
        <w:spacing w:after="0" w:line="7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For example, on February 23, 2023, the FDA placed our IND for FTX-6058 on clinical hold based on hematological malignancies observed in nonclinical toxicology studies. While we intend to address the FDA’s concerns as diligently as possible, including FDA’s request for information about an SCD patient population with an appropriate benefit-risk profile for further clinical development of FTX-6058, and FDA's request for information to define the potential risk in any further studies that may be conducted in healthy volunteers, there is no guarantee that the FDA will allow us to resume clinical development of FTX-6058. Even if the FDA lifts the clinical hold and allows clinical studies of FTX-6058 to resume, we cannot make assurances that patients treated with FTX-6058 will not develop hematological malignancies or other adverse events in the future. We also cannot make assurances that additional observations in preclinical studies of hematological malignancies or other adverse events will not occur. If such additional adverse events were to emerge, further advancement of our clinical studies could be halted or delayed and we may not receive regulatory approval for FTX-6058. Even if we receive regulatory approval for FTX-6058, our labeling may be restricted and/or market acceptance for our product may be diminished, and the commercial potential of our FTX-6058 program may be materially and negatively impacted.</w:t>
      </w:r>
    </w:p>
    <w:p>
      <w:pPr>
        <w:spacing w:after="0" w:line="77"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In pharmaceutical development, many compounds that initially show promise in early-stage or clinical testing are later found to cause side effects that delay or prevent further development of the compound.</w:t>
      </w:r>
    </w:p>
    <w:p>
      <w:pPr>
        <w:spacing w:after="0" w:line="62"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right="100"/>
        <w:spacing w:after="0" w:line="342" w:lineRule="auto"/>
        <w:rPr>
          <w:sz w:val="20"/>
          <w:szCs w:val="20"/>
          <w:color w:val="auto"/>
        </w:rPr>
      </w:pPr>
      <w:r>
        <w:rPr>
          <w:rFonts w:ascii="Arial" w:cs="Arial" w:eastAsia="Arial" w:hAnsi="Arial"/>
          <w:sz w:val="16"/>
          <w:szCs w:val="16"/>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6" w:lineRule="exact"/>
        <w:rPr>
          <w:sz w:val="20"/>
          <w:szCs w:val="20"/>
          <w:color w:val="auto"/>
        </w:rPr>
      </w:pPr>
    </w:p>
    <w:p>
      <w:pPr>
        <w:ind w:right="320" w:firstLine="509"/>
        <w:spacing w:after="0" w:line="257" w:lineRule="auto"/>
        <w:rPr>
          <w:sz w:val="20"/>
          <w:szCs w:val="20"/>
          <w:color w:val="auto"/>
        </w:rPr>
      </w:pPr>
      <w:r>
        <w:rPr>
          <w:rFonts w:ascii="Arial" w:cs="Arial" w:eastAsia="Arial" w:hAnsi="Arial"/>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w:t>
      </w:r>
    </w:p>
    <w:p>
      <w:pPr>
        <w:spacing w:after="0" w:line="80" w:lineRule="exact"/>
        <w:rPr>
          <w:sz w:val="20"/>
          <w:szCs w:val="20"/>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or limitation by regulatory authorities of approvals of such product;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seizure of the product by regulatory authorities;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recall of the product;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marketing of the product or the manufacturing process for any component thereof;</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 by regulatory authorities of additional warnings on the label, such as a “black box” warning or contraindication;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requirement that we implement a REMS or create a medication guide outlining the risks of such side effects for distribution to patients;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commitment to expensive post-marketing studies as a prerequisite of approval by regulatory authorities of such product;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product may become less competitive;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regulatory investigations and government enforcement actions;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legal action against us to hold us liable for harm caused to patients;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harm to our reputation and resulting harm to physician or patient acceptance of our products.</w:t>
      </w:r>
    </w:p>
    <w:p>
      <w:pPr>
        <w:spacing w:after="0" w:line="225"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particular product candidate, if approved, and could significantly harm our business, financial condition, and results of operations.</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27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are conducting clinical trials of losmapimod in patients with FSHD in Europe, the United Kingdom, and Canada and currently plan to conduct additional clinical trials for our product candidates at sites outside the United States, and the FDA may not accept data from trials conducted in such locations.</w:t>
      </w:r>
    </w:p>
    <w:p>
      <w:pPr>
        <w:spacing w:after="0" w:line="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are currently conducting a Phase 3 clinical trial, an open label extension of our Phase 2b clinical trial, and an open label extension of our Phase 2 open label clinical trial of losmapimod in patients with FSHD in Europe, the United Kingdom, and Canada. We may also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including good clinical practices, and FDA’s ability to validate the data.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76"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80" w:lineRule="exact"/>
        <w:rPr>
          <w:sz w:val="20"/>
          <w:szCs w:val="20"/>
          <w:color w:val="auto"/>
        </w:rPr>
      </w:pPr>
    </w:p>
    <w:p>
      <w:pPr>
        <w:ind w:left="900" w:hanging="383"/>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efficacy and potential advantages of our product candidates compared to the advantages and relative risks of alternative treatments;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any similar generic treatments;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offer our products, if approved, for sale at competitive prices;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900" w:right="20" w:hanging="383"/>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and patients’ willingness to pay out of pocket for required co-payments or in the absence of third-party coverage or adequate reimbursement;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restrictions on the use of our products, if approved, together with other medications.</w:t>
      </w:r>
    </w:p>
    <w:p>
      <w:pPr>
        <w:spacing w:after="0" w:line="225" w:lineRule="exact"/>
        <w:rPr>
          <w:sz w:val="20"/>
          <w:szCs w:val="20"/>
          <w:color w:val="auto"/>
        </w:rPr>
      </w:pPr>
    </w:p>
    <w:p>
      <w:pPr>
        <w:ind w:right="140" w:firstLine="509"/>
        <w:spacing w:after="0" w:line="269" w:lineRule="auto"/>
        <w:rPr>
          <w:sz w:val="20"/>
          <w:szCs w:val="20"/>
          <w:color w:val="auto"/>
        </w:rPr>
      </w:pPr>
      <w:r>
        <w:rPr>
          <w:rFonts w:ascii="Arial" w:cs="Arial" w:eastAsia="Arial" w:hAnsi="Arial"/>
          <w:sz w:val="17"/>
          <w:szCs w:val="17"/>
          <w:color w:val="auto"/>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293"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38"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47" w:name="page48"/>
    <w:bookmarkEnd w:id="47"/>
    <w:p>
      <w:pPr>
        <w:ind w:right="100" w:firstLine="509"/>
        <w:spacing w:after="0" w:line="255" w:lineRule="auto"/>
        <w:rPr>
          <w:sz w:val="20"/>
          <w:szCs w:val="20"/>
          <w:color w:val="auto"/>
        </w:rPr>
      </w:pPr>
      <w:r>
        <w:rPr>
          <w:rFonts w:ascii="Arial" w:cs="Arial" w:eastAsia="Arial" w:hAnsi="Arial"/>
          <w:sz w:val="18"/>
          <w:szCs w:val="18"/>
          <w:color w:val="auto"/>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7" w:lineRule="exact"/>
        <w:rPr>
          <w:sz w:val="20"/>
          <w:szCs w:val="20"/>
          <w:color w:val="auto"/>
        </w:rPr>
      </w:pPr>
    </w:p>
    <w:p>
      <w:pPr>
        <w:ind w:left="900" w:right="120" w:hanging="383"/>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marketing, coverage or reimbursement, customer service, medical affairs and other support personnel;</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7" w:lineRule="exact"/>
        <w:rPr>
          <w:rFonts w:ascii="Arial" w:cs="Arial" w:eastAsia="Arial" w:hAnsi="Arial"/>
          <w:sz w:val="18"/>
          <w:szCs w:val="18"/>
          <w:color w:val="auto"/>
        </w:rPr>
      </w:pPr>
    </w:p>
    <w:p>
      <w:pPr>
        <w:ind w:left="900" w:right="300" w:hanging="383"/>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27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70"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For example, we are aware of several product candidates in clinical development that could be competitive with product candidates that we may successfully develop and commercialize. See Item 1 “Business — Competition” in the 2022 Annual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jc w:val="both"/>
        <w:ind w:firstLine="509"/>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70" w:lineRule="exact"/>
        <w:rPr>
          <w:sz w:val="20"/>
          <w:szCs w:val="20"/>
          <w:color w:val="auto"/>
        </w:rPr>
      </w:pPr>
    </w:p>
    <w:p>
      <w:pPr>
        <w:ind w:right="420" w:firstLine="509"/>
        <w:spacing w:after="0" w:line="263"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76"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96" w:lineRule="exact"/>
        <w:rPr>
          <w:sz w:val="20"/>
          <w:szCs w:val="20"/>
          <w:color w:val="auto"/>
        </w:rPr>
      </w:pPr>
    </w:p>
    <w:p>
      <w:pPr>
        <w:ind w:right="60"/>
        <w:spacing w:after="0" w:line="340" w:lineRule="auto"/>
        <w:rPr>
          <w:sz w:val="20"/>
          <w:szCs w:val="20"/>
          <w:color w:val="auto"/>
        </w:rPr>
      </w:pPr>
      <w:r>
        <w:rPr>
          <w:rFonts w:ascii="Arial" w:cs="Arial" w:eastAsia="Arial" w:hAnsi="Arial"/>
          <w:sz w:val="15"/>
          <w:szCs w:val="15"/>
          <w:b w:val="1"/>
          <w:bCs w:val="1"/>
          <w:i w:val="1"/>
          <w:iCs w:val="1"/>
          <w:color w:val="auto"/>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23"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We primarily focus our research and product development on treatments for genetically-defined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w:t>
      </w:r>
    </w:p>
    <w:p>
      <w:pPr>
        <w:spacing w:after="0" w:line="71"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The target patient populations for some of the indications we are evaluating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295"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We rely, and expect to continue to rely, on CMOs to manufacture our product candidates. If we are unable to enter into such arrangements as expected or if such organizations do not meet our supply requirements, development and/or commercialization of our product candidates may be delayed.</w:t>
      </w:r>
    </w:p>
    <w:p>
      <w:pPr>
        <w:spacing w:after="0" w:line="1"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We do not have any manufacturing facilities and rely, and expect to continue to rely, on third parties to manufacture clinical supplies of our product candidates and we expect to rely on third parties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w:t>
      </w:r>
    </w:p>
    <w:p>
      <w:pPr>
        <w:spacing w:after="0" w:line="63"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or we may be forced to manufacture the materials ourselves, for which we may not have the capabilities or resources, or enter into an agreement with a different manufacturer, which we may not be able to do on reasonable terms, if at all. In either scenario, our clinical trial supply could be delayed significantly as we establish alternative supply sources.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9" w:name="page50"/>
    <w:bookmarkEnd w:id="49"/>
    <w:p>
      <w:pPr>
        <w:ind w:right="40" w:firstLine="509"/>
        <w:spacing w:after="0" w:line="269" w:lineRule="auto"/>
        <w:rPr>
          <w:sz w:val="20"/>
          <w:szCs w:val="20"/>
          <w:color w:val="auto"/>
        </w:rPr>
      </w:pPr>
      <w:r>
        <w:rPr>
          <w:rFonts w:ascii="Arial" w:cs="Arial" w:eastAsia="Arial" w:hAnsi="Arial"/>
          <w:sz w:val="17"/>
          <w:szCs w:val="17"/>
          <w:color w:val="auto"/>
        </w:rPr>
        <w:t>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w:t>
      </w:r>
    </w:p>
    <w:p>
      <w:pPr>
        <w:spacing w:after="0" w:line="71"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63"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28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Our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38"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do not have any manufacturing facilities. Although we believe we have obtained sufficient losmapimod tablets from GSK to complete our ongoing clinical trials of losmapimod for the treatment of FSHD, we cannot be sure we have correctly estimated our drug product and API requirements or that such drug product or API will not expire before we want to use it. We have also engaged CMOs to prepare our own API and to manufacture losmapimod tablets. Although we believe we have produced sufficient losmapimod tablets to complete our planned Phase 3 registrational trial, we cannot be sure we have correctly estimated our drug product and API requirements or that such drug product or API will not expire before we want to use it. In addition, although we believe we have obtained sufficient quantities of FTX-6058 from a CMO for the completion of our Phase 1b clinical trial for SCD if we are able to resolve the clinical hold, we cannot be sure we have correctly estimated our drug product requirements, which could delay, prevent or impair our development efforts.</w:t>
      </w:r>
    </w:p>
    <w:p>
      <w:pPr>
        <w:spacing w:after="0" w:line="84"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We expect to rely on third parties for the manufacture of FTX-6058 for any future clinical trials and for the manufacture of any future product candidates for preclinical and clinical testing. We also expect to rely on third-party manufacturers or third-party collaborators for the manufacture of commercial supply of any other product candidates for which we or our collaborators obtain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80" w:lineRule="exact"/>
        <w:rPr>
          <w:sz w:val="20"/>
          <w:szCs w:val="20"/>
          <w:color w:val="auto"/>
        </w:rPr>
      </w:pPr>
    </w:p>
    <w:p>
      <w:pPr>
        <w:ind w:right="20" w:firstLine="509"/>
        <w:spacing w:after="0" w:line="34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6"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49" w:lineRule="exact"/>
        <w:rPr>
          <w:sz w:val="20"/>
          <w:szCs w:val="20"/>
          <w:color w:val="auto"/>
        </w:rPr>
      </w:pPr>
    </w:p>
    <w:p>
      <w:pPr>
        <w:ind w:right="440" w:firstLine="509"/>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0" w:name="page51"/>
    <w:bookmarkEnd w:id="50"/>
    <w:p>
      <w:pPr>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62"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Item 1 “Business — Government Regulation and Product Approval — Pharmaceutical Insurance Coverage and Health Care Reform” in the 2022 Annual Report.</w:t>
      </w:r>
    </w:p>
    <w:p>
      <w:pPr>
        <w:spacing w:after="0" w:line="73"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w:t>
      </w:r>
    </w:p>
    <w:p>
      <w:pPr>
        <w:spacing w:after="0" w:line="78"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17" w:lineRule="exact"/>
        <w:rPr>
          <w:sz w:val="20"/>
          <w:szCs w:val="20"/>
          <w:color w:val="auto"/>
        </w:rPr>
      </w:pPr>
    </w:p>
    <w:p>
      <w:pPr>
        <w:ind w:right="80" w:firstLine="509"/>
        <w:spacing w:after="0" w:line="287"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64"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51" w:name="page52"/>
    <w:bookmarkEnd w:id="51"/>
    <w:p>
      <w:pPr>
        <w:ind w:right="14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 that, if they materialize, could harm our business.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future profitability will depend, in part, on our ability to commercialize our product candidates in markets outside of the United States and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European Union. If we commercialize our product candidates in foreign markets, we will be subject to additional risks and uncertainties, including:</w:t>
      </w:r>
    </w:p>
    <w:p>
      <w:pPr>
        <w:spacing w:after="0" w:line="114" w:lineRule="exact"/>
        <w:rPr>
          <w:sz w:val="20"/>
          <w:szCs w:val="20"/>
          <w:color w:val="auto"/>
        </w:rPr>
      </w:pPr>
    </w:p>
    <w:p>
      <w:pPr>
        <w:ind w:left="900" w:right="320" w:hanging="383"/>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 which could include localized disputes that have a broader regional or global impact (such as the Russian invasion of Ukraine);</w:t>
      </w:r>
    </w:p>
    <w:p>
      <w:pPr>
        <w:spacing w:after="0" w:line="62" w:lineRule="exact"/>
        <w:rPr>
          <w:rFonts w:ascii="Arial" w:cs="Arial" w:eastAsia="Arial" w:hAnsi="Arial"/>
          <w:sz w:val="18"/>
          <w:szCs w:val="18"/>
          <w:color w:val="auto"/>
        </w:rPr>
      </w:pPr>
    </w:p>
    <w:p>
      <w:pPr>
        <w:ind w:left="900" w:right="140" w:hanging="383"/>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many of which vary between countries;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tariffs and trade barriers, as well as other governmental controls and trade restrictions;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 trade protection measures, import or export licensing requirements or other restrictive actions by U.S. or foreign governments;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common;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reduced protection of intellectual property rights in some foreign countries, and related prevalence of generic alternatives to therapeutics;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differing foreign reimbursement landscapes;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uncertain and potentially inadequate reimbursement of our products;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risks related to any of these uncertainties materializes, it could have a material adverse effect on our business.</w:t>
      </w:r>
    </w:p>
    <w:p>
      <w:pPr>
        <w:spacing w:after="0" w:line="33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Clinical trial and product liability lawsuits against us could divert our resources and could cause us to incur substantial liabilities and to limit commercialization of any products that we may develop.</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70" w:lineRule="exact"/>
        <w:rPr>
          <w:sz w:val="20"/>
          <w:szCs w:val="20"/>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costs to defend any related litigation;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ind w:right="100" w:firstLine="509"/>
        <w:spacing w:after="0" w:line="255" w:lineRule="auto"/>
        <w:rPr>
          <w:sz w:val="20"/>
          <w:szCs w:val="20"/>
          <w:color w:val="auto"/>
        </w:rPr>
      </w:pPr>
      <w:r>
        <w:rPr>
          <w:rFonts w:ascii="Arial" w:cs="Arial" w:eastAsia="Arial" w:hAnsi="Arial"/>
          <w:sz w:val="18"/>
          <w:szCs w:val="18"/>
          <w:color w:val="auto"/>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62" w:lineRule="exact"/>
        <w:rPr>
          <w:sz w:val="20"/>
          <w:szCs w:val="20"/>
          <w:color w:val="auto"/>
        </w:rPr>
      </w:pPr>
    </w:p>
    <w:p>
      <w:pPr>
        <w:ind w:right="300" w:firstLine="509"/>
        <w:spacing w:after="0" w:line="257" w:lineRule="auto"/>
        <w:rPr>
          <w:sz w:val="20"/>
          <w:szCs w:val="20"/>
          <w:color w:val="auto"/>
        </w:rPr>
      </w:pPr>
      <w:r>
        <w:rPr>
          <w:rFonts w:ascii="Arial" w:cs="Arial" w:eastAsia="Arial" w:hAnsi="Arial"/>
          <w:sz w:val="18"/>
          <w:szCs w:val="18"/>
          <w:color w:val="auto"/>
        </w:rPr>
        <w:t>We currently rely on third-party contract CROs to conduct our clinical trials. We plan to rely on third-party CROs or third-party research collaboratives to conduct any future clinical trials. We do not plan to independently conduct clinical trials of our other product candidates. We expect to continue to rely on third parties, such as CROs,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80"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Our reliance on these third parties for research and development activities will reduce our control over these activities but will not relieve us of our responsibilities.</w:t>
      </w:r>
    </w:p>
    <w:p>
      <w:pPr>
        <w:spacing w:after="0" w:line="62"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63"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2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p>
    <w:p>
      <w:pPr>
        <w:spacing w:after="0" w:line="76"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have a collaboration and license agreement with MyoKardia (for certain genetically defined cardiomyopathies). See Item 1 “Business—License Agreements and Collaborations” in the 2022 Annual Report. While we have retained all rights to and are developing on our own our current product candidates, 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If we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57"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Collaborations that we enter into, including our collaboration with MyoKardia, may not be successful, and any success will depend heavily on the efforts and activities of such collaborators. Collaborations pose a number of risks, including the following:</w:t>
      </w:r>
    </w:p>
    <w:p>
      <w:pPr>
        <w:spacing w:after="0" w:line="62" w:lineRule="exact"/>
        <w:rPr>
          <w:sz w:val="20"/>
          <w:szCs w:val="20"/>
          <w:color w:val="auto"/>
        </w:rPr>
      </w:pPr>
    </w:p>
    <w:p>
      <w:pPr>
        <w:ind w:left="900" w:right="880" w:hanging="383"/>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17" w:lineRule="exact"/>
        <w:rPr>
          <w:rFonts w:ascii="Arial" w:cs="Arial" w:eastAsia="Arial" w:hAnsi="Arial"/>
          <w:sz w:val="18"/>
          <w:szCs w:val="18"/>
          <w:color w:val="auto"/>
        </w:rPr>
      </w:pPr>
    </w:p>
    <w:p>
      <w:pPr>
        <w:ind w:left="900" w:right="240" w:hanging="383"/>
        <w:spacing w:after="0" w:line="263"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75" w:lineRule="exact"/>
        <w:rPr>
          <w:rFonts w:ascii="Arial" w:cs="Arial" w:eastAsia="Arial" w:hAnsi="Arial"/>
          <w:sz w:val="18"/>
          <w:szCs w:val="18"/>
          <w:color w:val="auto"/>
        </w:rPr>
      </w:pPr>
    </w:p>
    <w:p>
      <w:pPr>
        <w:ind w:left="900" w:right="100" w:hanging="383"/>
        <w:spacing w:after="0" w:line="286"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3" w:name="page54"/>
    <w:bookmarkEnd w:id="53"/>
    <w:p>
      <w:pPr>
        <w:ind w:left="900" w:right="600" w:hanging="383"/>
        <w:spacing w:after="0" w:line="308"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900" w:right="160" w:hanging="383"/>
        <w:spacing w:after="0" w:line="263"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75" w:lineRule="exact"/>
        <w:rPr>
          <w:rFonts w:ascii="Arial" w:cs="Arial" w:eastAsia="Arial" w:hAnsi="Arial"/>
          <w:sz w:val="18"/>
          <w:szCs w:val="18"/>
          <w:color w:val="auto"/>
        </w:rPr>
      </w:pPr>
    </w:p>
    <w:p>
      <w:pPr>
        <w:ind w:left="900" w:right="560" w:hanging="383"/>
        <w:spacing w:after="0" w:line="263"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900" w:hanging="383"/>
        <w:spacing w:after="0" w:line="308" w:lineRule="auto"/>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38" w:lineRule="exact"/>
        <w:rPr>
          <w:rFonts w:ascii="Arial" w:cs="Arial" w:eastAsia="Arial" w:hAnsi="Arial"/>
          <w:sz w:val="17"/>
          <w:szCs w:val="17"/>
          <w:color w:val="auto"/>
        </w:rPr>
      </w:pPr>
    </w:p>
    <w:p>
      <w:pPr>
        <w:ind w:left="900" w:right="160" w:hanging="383"/>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may fail to comply with applicable regulatory requirements regarding the development, manufacture, distribution or marketing of a product candidate or product;</w:t>
      </w:r>
    </w:p>
    <w:p>
      <w:pPr>
        <w:spacing w:after="0" w:line="62"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900" w:right="60" w:hanging="383"/>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8" w:lineRule="exact"/>
        <w:rPr>
          <w:rFonts w:ascii="Arial" w:cs="Arial" w:eastAsia="Arial" w:hAnsi="Arial"/>
          <w:sz w:val="18"/>
          <w:szCs w:val="18"/>
          <w:color w:val="auto"/>
        </w:rPr>
      </w:pPr>
    </w:p>
    <w:p>
      <w:pPr>
        <w:ind w:left="900" w:right="120" w:hanging="383"/>
        <w:spacing w:after="0" w:line="263"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our collaborations;</w:t>
      </w:r>
    </w:p>
    <w:p>
      <w:pPr>
        <w:spacing w:after="0" w:line="117" w:lineRule="exact"/>
        <w:rPr>
          <w:rFonts w:ascii="Arial" w:cs="Arial" w:eastAsia="Arial" w:hAnsi="Arial"/>
          <w:sz w:val="18"/>
          <w:szCs w:val="18"/>
          <w:color w:val="auto"/>
        </w:rPr>
      </w:pPr>
    </w:p>
    <w:p>
      <w:pPr>
        <w:ind w:left="900" w:right="540" w:hanging="383"/>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or proprietary rights of third parties, which may expose us to litigation and potential liability; and</w:t>
      </w:r>
    </w:p>
    <w:p>
      <w:pPr>
        <w:spacing w:after="0" w:line="62" w:lineRule="exact"/>
        <w:rPr>
          <w:rFonts w:ascii="Arial" w:cs="Arial" w:eastAsia="Arial" w:hAnsi="Arial"/>
          <w:sz w:val="18"/>
          <w:szCs w:val="18"/>
          <w:color w:val="auto"/>
        </w:rPr>
      </w:pPr>
    </w:p>
    <w:p>
      <w:pPr>
        <w:ind w:left="900" w:right="120" w:hanging="383"/>
        <w:spacing w:after="0" w:line="263"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(e.g., termination of our collaboration with Acceleron following its acquisition by Merck), and, if terminated, we could be required to raise additional capital to pursue further development or commercialization of the applicable product candidates.</w:t>
      </w:r>
    </w:p>
    <w:p>
      <w:pPr>
        <w:spacing w:after="0" w:line="76"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w:t>
      </w:r>
    </w:p>
    <w:p>
      <w:pPr>
        <w:spacing w:after="0" w:line="84"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Additionally, subject to its contractual obligations to us, if a collaborator of ours is involved in a business combination, the collaborator might deemphasize or terminate the development or commercialization of any product candidate licensed to it by us. For example, in November 2020, subsequent to our entering into the MyoKardia collaboration agreement, MyoKardia was acquired by Bristol-Myers Squibb Company. Bristol-Myers Squibb Company could determine to reprioritize MyoKardia’s development programs such that it ceases to diligently pursue the development of our programs and/or cause the agreement between MyoKardia and us to terminate. If our collaborator terminates its agreement with us, we may find it more difficult to attract new collaborators and our perception in the business and financial communities could be adversely affected.</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not able to establish or maintain collaborations, we may have to alter our development and commercialization plans and our business could be adversely affected.</w:t>
      </w:r>
    </w:p>
    <w:p>
      <w:pPr>
        <w:spacing w:after="0" w:line="62"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For some of our product candidates, we may decide to collaborate with pharmaceutical or biotechnology companies for the development and potential commercialization of those product candidates. For example, in July 2020, we entered into a collaboration and license agreement with MyoKardia to identify and validate potential biological targets for the potential treatment of certain genetically defined cardiomyopathies. We face significant competition in seeking appropriate collaborators, and a number of more established companies may also be pursuing strategies to license or acquire third-party intellectual property rights that we consider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ind w:right="60"/>
        <w:spacing w:after="0" w:line="269" w:lineRule="auto"/>
        <w:rPr>
          <w:sz w:val="20"/>
          <w:szCs w:val="20"/>
          <w:color w:val="auto"/>
        </w:rPr>
      </w:pPr>
      <w:r>
        <w:rPr>
          <w:rFonts w:ascii="Arial" w:cs="Arial" w:eastAsia="Arial" w:hAnsi="Arial"/>
          <w:sz w:val="17"/>
          <w:szCs w:val="17"/>
          <w:color w:val="auto"/>
        </w:rPr>
        <w:t>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77" w:lineRule="exact"/>
        <w:rPr>
          <w:sz w:val="20"/>
          <w:szCs w:val="20"/>
          <w:color w:val="auto"/>
        </w:rPr>
      </w:pPr>
    </w:p>
    <w:p>
      <w:pPr>
        <w:ind w:right="160" w:firstLine="509"/>
        <w:spacing w:after="0" w:line="291" w:lineRule="auto"/>
        <w:rPr>
          <w:sz w:val="20"/>
          <w:szCs w:val="20"/>
          <w:color w:val="auto"/>
        </w:rPr>
      </w:pPr>
      <w:r>
        <w:rPr>
          <w:rFonts w:ascii="Arial" w:cs="Arial" w:eastAsia="Arial" w:hAnsi="Arial"/>
          <w:sz w:val="16"/>
          <w:szCs w:val="16"/>
          <w:color w:val="auto"/>
        </w:rPr>
        <w:t>We may also be restricted under existing or future license agreements from entering into agreements on certain terms with potential collaborators. For example, we are restricted by GSK’s right of first negotiation under our current license agreement with them, and we had restrictions under our collaboration with Acceleron. Under our collaboration with MyoKardia, we are restricted from researching, developing, manufacturing, commercializing, using, or otherwise exploiting any compound or product (a) that is a compound or product under the agreement that is directed against certain targets identified by us in the performance of the research activities for the treatment, prophylaxis, or diagnosis of any indication or (b) for the treatment of any genetically defined cardiomyopathies shown to be related to certain specified genes of interest that are modulated by the targets chosen by MyoKardia under our collaboration, in each case , while we are performing the research activities pursuant to the research plan and for a specified period thereafter.</w:t>
      </w:r>
    </w:p>
    <w:p>
      <w:pPr>
        <w:spacing w:after="0" w:line="58" w:lineRule="exact"/>
        <w:rPr>
          <w:sz w:val="20"/>
          <w:szCs w:val="20"/>
          <w:color w:val="auto"/>
        </w:rPr>
      </w:pPr>
    </w:p>
    <w:p>
      <w:pPr>
        <w:ind w:right="320" w:firstLine="509"/>
        <w:spacing w:after="0" w:line="342" w:lineRule="auto"/>
        <w:rPr>
          <w:sz w:val="20"/>
          <w:szCs w:val="20"/>
          <w:color w:val="auto"/>
        </w:rPr>
      </w:pPr>
      <w:r>
        <w:rPr>
          <w:rFonts w:ascii="Arial" w:cs="Arial" w:eastAsia="Arial" w:hAnsi="Arial"/>
          <w:sz w:val="16"/>
          <w:szCs w:val="16"/>
          <w:color w:val="auto"/>
        </w:rPr>
        <w:t>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16"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4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84"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84"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5" w:name="page56"/>
    <w:bookmarkEnd w:id="55"/>
    <w:p>
      <w:pPr>
        <w:ind w:right="20"/>
        <w:spacing w:after="0" w:line="286" w:lineRule="auto"/>
        <w:rPr>
          <w:sz w:val="20"/>
          <w:szCs w:val="20"/>
          <w:color w:val="auto"/>
        </w:rPr>
      </w:pPr>
      <w:r>
        <w:rPr>
          <w:rFonts w:ascii="Arial" w:cs="Arial" w:eastAsia="Arial" w:hAnsi="Arial"/>
          <w:sz w:val="16"/>
          <w:szCs w:val="16"/>
          <w:color w:val="auto"/>
        </w:rPr>
        <w:t>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 For information relating to our patent portfolio, see Item 1 “Business—Intellectual Property” in the 2022 Annual Report.</w:t>
      </w:r>
    </w:p>
    <w:p>
      <w:pPr>
        <w:spacing w:after="0" w:line="174"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Moreover, we or our licensors may be subject to a third-party preissuance submission of prior art to the United States Patent and Trademark Office, or USPTO,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For example, while we believe that the specific and generic claims contained in our U.S. patent provide protection for the method of using losmapimod for the treatment of FSHD and while we also believe that the specific and generic claims contained in our issued and pending U.S. non-provisional and provisional applications provide protection for the pharmaceutical compositions and methods of use for FTX-6058,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7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have expired and are no longer a barrier to entry for any new uses not covered by our other patents and patent applications.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6" w:name="page57"/>
    <w:bookmarkEnd w:id="56"/>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78" w:lineRule="exact"/>
        <w:rPr>
          <w:sz w:val="20"/>
          <w:szCs w:val="20"/>
          <w:color w:val="auto"/>
        </w:rPr>
      </w:pPr>
    </w:p>
    <w:p>
      <w:pPr>
        <w:ind w:right="160" w:firstLine="509"/>
        <w:spacing w:after="0" w:line="257"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8" w:lineRule="exact"/>
        <w:rPr>
          <w:sz w:val="20"/>
          <w:szCs w:val="20"/>
          <w:color w:val="auto"/>
        </w:rPr>
      </w:pPr>
    </w:p>
    <w:p>
      <w:pPr>
        <w:ind w:right="160" w:firstLine="509"/>
        <w:spacing w:after="0" w:line="271" w:lineRule="auto"/>
        <w:rPr>
          <w:sz w:val="20"/>
          <w:szCs w:val="20"/>
          <w:color w:val="auto"/>
        </w:rPr>
      </w:pPr>
      <w:r>
        <w:rPr>
          <w:rFonts w:ascii="Arial" w:cs="Arial" w:eastAsia="Arial" w:hAnsi="Arial"/>
          <w:sz w:val="17"/>
          <w:szCs w:val="17"/>
          <w:color w:val="auto"/>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78" w:lineRule="exact"/>
        <w:rPr>
          <w:sz w:val="20"/>
          <w:szCs w:val="20"/>
          <w:color w:val="auto"/>
        </w:rPr>
      </w:pPr>
    </w:p>
    <w:p>
      <w:pPr>
        <w:ind w:right="140" w:firstLine="509"/>
        <w:spacing w:after="0" w:line="290" w:lineRule="auto"/>
        <w:rPr>
          <w:sz w:val="20"/>
          <w:szCs w:val="20"/>
          <w:color w:val="auto"/>
        </w:rPr>
      </w:pPr>
      <w:r>
        <w:rPr>
          <w:rFonts w:ascii="Arial" w:cs="Arial" w:eastAsia="Arial" w:hAnsi="Arial"/>
          <w:sz w:val="16"/>
          <w:szCs w:val="16"/>
          <w:color w:val="auto"/>
        </w:rPr>
        <w:t>Under our current license agreements, we may not have the final or sole decision on whether we are able to opt out certain of our in-licensed European patents and patent applications from the recently created Unified Patent Court, or the UPC, for the European Union. While our licensors have decided to opt out of the UPC, we cannot guarantee that our in-licensed European patents and patent applications will be challenged for non-compliance during the opt-out procedure and if successful, brought under the jurisdiction of the UPC, nor can we guarantee that our licensors will decide to opt back into the UPC at a later time.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spacing w:after="0" w:line="2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our business may be materially harmed.</w:t>
      </w:r>
    </w:p>
    <w:p>
      <w:pPr>
        <w:spacing w:after="0" w:line="62"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our product candidates receive FDA approval, we expect to apply for patent term extensions where applicable, but there is no guarantee that the applicable governmental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82"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Further, for our licensed patents, we may not have the right to control prosecution, including filing with the USPTO a petition for patent term extension thus if one of our licensed patents is eligible for patent term extension, we may not be able to control whether a petition to obtain a patent term extension is filed, or obtained, from the USPTO.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7" w:name="page58"/>
    <w:bookmarkEnd w:id="57"/>
    <w:p>
      <w:pPr>
        <w:ind w:right="60" w:firstLine="509"/>
        <w:spacing w:after="0" w:line="255" w:lineRule="auto"/>
        <w:rPr>
          <w:sz w:val="20"/>
          <w:szCs w:val="20"/>
          <w:color w:val="auto"/>
        </w:rPr>
      </w:pPr>
      <w:r>
        <w:rPr>
          <w:rFonts w:ascii="Arial" w:cs="Arial" w:eastAsia="Arial" w:hAnsi="Arial"/>
          <w:sz w:val="18"/>
          <w:szCs w:val="18"/>
          <w:color w:val="auto"/>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an ANDA applicant would not have to provide notice to us with respect to that patent. See Item 1 “Business—Intellectual Property” in the 2022 Annual Report for additional information regarding patent laws and patent protection.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or the USPTO.</w:t>
      </w:r>
    </w:p>
    <w:p>
      <w:pPr>
        <w:spacing w:after="0" w:line="117"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Our European patents and patent applications could be challenged in the UPC. We decided to remove, i.e., opt out, our European patents and patent applications from the jurisdiction of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spacing w:after="0" w:line="2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Changes to patent laws in the United States and other jurisdictions could diminish the value of patents in general, thereby impairing our ability to protect our products.</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4"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8" w:name="page59"/>
    <w:bookmarkEnd w:id="58"/>
    <w:p>
      <w:pPr>
        <w:ind w:right="220"/>
        <w:spacing w:after="0" w:line="277" w:lineRule="auto"/>
        <w:rPr>
          <w:sz w:val="20"/>
          <w:szCs w:val="20"/>
          <w:color w:val="auto"/>
        </w:rPr>
      </w:pPr>
      <w:r>
        <w:rPr>
          <w:rFonts w:ascii="Arial" w:cs="Arial" w:eastAsia="Arial" w:hAnsi="Arial"/>
          <w:sz w:val="18"/>
          <w:szCs w:val="18"/>
          <w:b w:val="1"/>
          <w:bCs w:val="1"/>
          <w:i w:val="1"/>
          <w:iCs w:val="1"/>
          <w:color w:val="auto"/>
        </w:rPr>
        <w:t>Although we or our licensors are not currently involved in any litigation to protect or enforce our patent or other intellectual property rights, we may become involved in such lawsuits, which could be expensive, time-consuming and unsuccessful.</w:t>
      </w:r>
    </w:p>
    <w:p>
      <w:pPr>
        <w:spacing w:after="0" w:line="62" w:lineRule="exact"/>
        <w:rPr>
          <w:sz w:val="20"/>
          <w:szCs w:val="20"/>
          <w:color w:val="auto"/>
        </w:rPr>
      </w:pPr>
    </w:p>
    <w:p>
      <w:pPr>
        <w:ind w:right="20" w:firstLine="509"/>
        <w:spacing w:after="0" w:line="287" w:lineRule="auto"/>
        <w:rPr>
          <w:sz w:val="20"/>
          <w:szCs w:val="20"/>
          <w:color w:val="auto"/>
        </w:rPr>
      </w:pPr>
      <w:r>
        <w:rPr>
          <w:rFonts w:ascii="Arial" w:cs="Arial" w:eastAsia="Arial" w:hAnsi="Arial"/>
          <w:sz w:val="16"/>
          <w:szCs w:val="16"/>
          <w:color w:val="auto"/>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interference proceedings, derivation proceedings, and equivalent proceedings in foreign jurisdictions (</w:t>
      </w:r>
      <w:r>
        <w:rPr>
          <w:rFonts w:ascii="Arial" w:cs="Arial" w:eastAsia="Arial" w:hAnsi="Arial"/>
          <w:sz w:val="16"/>
          <w:szCs w:val="16"/>
          <w:i w:val="1"/>
          <w:iCs w:val="1"/>
          <w:color w:val="auto"/>
        </w:rPr>
        <w:t>e.g.</w:t>
      </w:r>
      <w:r>
        <w:rPr>
          <w:rFonts w:ascii="Arial" w:cs="Arial" w:eastAsia="Arial" w:hAnsi="Arial"/>
          <w:sz w:val="16"/>
          <w:szCs w:val="16"/>
          <w:color w:val="auto"/>
        </w:rPr>
        <w:t>, opposition proceedings). The outcome following legal assertions of invalidity and unenforceability is unpredictable.</w:t>
      </w:r>
    </w:p>
    <w:p>
      <w:pPr>
        <w:spacing w:after="0" w:line="17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95"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78"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38"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8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9" w:name="page60"/>
    <w:bookmarkEnd w:id="59"/>
    <w:p>
      <w:pPr>
        <w:ind w:right="480"/>
        <w:spacing w:after="0" w:line="342" w:lineRule="auto"/>
        <w:rPr>
          <w:sz w:val="20"/>
          <w:szCs w:val="20"/>
          <w:color w:val="auto"/>
        </w:rPr>
      </w:pPr>
      <w:r>
        <w:rPr>
          <w:rFonts w:ascii="Arial" w:cs="Arial" w:eastAsia="Arial" w:hAnsi="Arial"/>
          <w:sz w:val="16"/>
          <w:szCs w:val="16"/>
          <w:color w:val="auto"/>
        </w:rPr>
        <w:t>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24"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66"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6"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2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or other legal proceedings relating to intellectual property could cause us to spend substantial resources and distract our personnel from their normal responsibilities.</w:t>
      </w:r>
    </w:p>
    <w:p>
      <w:pPr>
        <w:spacing w:after="0" w:line="62"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0" w:name="page61"/>
    <w:bookmarkEnd w:id="60"/>
    <w:p>
      <w:pPr>
        <w:ind w:right="500"/>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276"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We are party to license and funding agreements, such as our agreement with GSK and our recent license agreement with CAMP4, and we may enter into additional licensing and funding arrangements with third parties that impose or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17" w:lineRule="exact"/>
        <w:rPr>
          <w:sz w:val="20"/>
          <w:szCs w:val="20"/>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 related issues;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40" w:lineRule="exact"/>
        <w:rPr>
          <w:rFonts w:ascii="Arial" w:cs="Arial" w:eastAsia="Arial" w:hAnsi="Arial"/>
          <w:sz w:val="16"/>
          <w:szCs w:val="16"/>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7" w:lineRule="exact"/>
        <w:rPr>
          <w:rFonts w:ascii="Arial" w:cs="Arial" w:eastAsia="Arial" w:hAnsi="Arial"/>
          <w:sz w:val="18"/>
          <w:szCs w:val="18"/>
          <w:color w:val="auto"/>
        </w:rPr>
      </w:pPr>
    </w:p>
    <w:p>
      <w:pPr>
        <w:ind w:left="900" w:right="240" w:hanging="383"/>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1" w:name="page62"/>
    <w:bookmarkEnd w:id="61"/>
    <w:p>
      <w:pPr>
        <w:ind w:right="60"/>
        <w:spacing w:after="0" w:line="277" w:lineRule="auto"/>
        <w:rPr>
          <w:sz w:val="20"/>
          <w:szCs w:val="20"/>
          <w:color w:val="auto"/>
        </w:rPr>
      </w:pPr>
      <w:r>
        <w:rPr>
          <w:rFonts w:ascii="Arial" w:cs="Arial" w:eastAsia="Arial" w:hAnsi="Arial"/>
          <w:sz w:val="18"/>
          <w:szCs w:val="18"/>
          <w:color w:val="auto"/>
        </w:rPr>
        <w:t>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70"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auto"/>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57"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w:t>
      </w:r>
    </w:p>
    <w:p>
      <w:pPr>
        <w:spacing w:after="0" w:line="181"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88"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61"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2" w:name="page63"/>
    <w:bookmarkEnd w:id="62"/>
    <w:p>
      <w:pPr>
        <w:ind w:right="300"/>
        <w:spacing w:after="0" w:line="277" w:lineRule="auto"/>
        <w:rPr>
          <w:sz w:val="20"/>
          <w:szCs w:val="20"/>
          <w:color w:val="auto"/>
        </w:rPr>
      </w:pPr>
      <w:r>
        <w:rPr>
          <w:rFonts w:ascii="Arial" w:cs="Arial" w:eastAsia="Arial" w:hAnsi="Arial"/>
          <w:sz w:val="18"/>
          <w:szCs w:val="18"/>
          <w:color w:val="auto"/>
        </w:rPr>
        <w:t>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7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auto"/>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41"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w:t>
      </w:r>
    </w:p>
    <w:p>
      <w:pPr>
        <w:spacing w:after="0" w:line="188"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92"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900" w:hanging="383"/>
        <w:spacing w:after="0" w:line="263"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others may be able to make product candidates that are similar to ours but that are not covered by the claims of the patents that we own;</w:t>
      </w:r>
    </w:p>
    <w:p>
      <w:pPr>
        <w:spacing w:after="0" w:line="128" w:lineRule="exact"/>
        <w:rPr>
          <w:rFonts w:ascii="Arial" w:cs="Arial" w:eastAsia="Arial" w:hAnsi="Arial"/>
          <w:sz w:val="17"/>
          <w:szCs w:val="17"/>
          <w:color w:val="auto"/>
        </w:rPr>
      </w:pPr>
    </w:p>
    <w:p>
      <w:pPr>
        <w:ind w:left="900" w:right="120" w:hanging="383"/>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3" w:name="page64"/>
    <w:bookmarkEnd w:id="63"/>
    <w:p>
      <w:pPr>
        <w:ind w:left="900" w:right="100" w:hanging="383"/>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our license partners or current or future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900" w:right="100" w:hanging="383"/>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in-licensed intellectual property rights;</w:t>
      </w:r>
    </w:p>
    <w:p>
      <w:pPr>
        <w:spacing w:after="0" w:line="62" w:lineRule="exact"/>
        <w:rPr>
          <w:rFonts w:ascii="Arial" w:cs="Arial" w:eastAsia="Arial" w:hAnsi="Arial"/>
          <w:sz w:val="18"/>
          <w:szCs w:val="18"/>
          <w:color w:val="auto"/>
        </w:rPr>
      </w:pPr>
    </w:p>
    <w:p>
      <w:pPr>
        <w:ind w:left="900" w:right="60" w:hanging="383"/>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our owned and in-licensed pending patent applications or those we may own or in-license in the future will not lead to issued patents;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28" w:lineRule="exact"/>
        <w:rPr>
          <w:rFonts w:ascii="Arial" w:cs="Arial" w:eastAsia="Arial" w:hAnsi="Arial"/>
          <w:sz w:val="17"/>
          <w:szCs w:val="17"/>
          <w:color w:val="auto"/>
        </w:rPr>
      </w:pPr>
    </w:p>
    <w:p>
      <w:pPr>
        <w:ind w:left="900" w:right="820" w:hanging="383"/>
        <w:spacing w:after="0" w:line="308"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900" w:right="380" w:hanging="383"/>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62"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cannot ensure that our commercial activities or product candidates will not infringe upon the patents of others;</w:t>
      </w:r>
    </w:p>
    <w:p>
      <w:pPr>
        <w:spacing w:after="0" w:line="117" w:lineRule="exact"/>
        <w:rPr>
          <w:rFonts w:ascii="Arial" w:cs="Arial" w:eastAsia="Arial" w:hAnsi="Arial"/>
          <w:sz w:val="18"/>
          <w:szCs w:val="18"/>
          <w:color w:val="auto"/>
        </w:rPr>
      </w:pPr>
    </w:p>
    <w:p>
      <w:pPr>
        <w:ind w:left="900" w:right="420" w:hanging="383"/>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cannot ensure that we will be able to successfully commercialize our product candidates on a substantial scale, if approved, before the relevant patents that we own or license expire;</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900" w:right="400" w:hanging="383"/>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we may not obtain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79"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Marketing approval of drugs in the United States requires the submission of a new drug application, or NDA, to the FDA and we are not permitted to market any drug candidate in the United States until we obtain approval of the NDA.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63"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p>
      <w:pPr>
        <w:ind w:right="80" w:firstLine="509"/>
        <w:spacing w:after="0" w:line="271" w:lineRule="auto"/>
        <w:rPr>
          <w:sz w:val="20"/>
          <w:szCs w:val="20"/>
          <w:color w:val="auto"/>
        </w:rPr>
      </w:pPr>
      <w:r>
        <w:rPr>
          <w:rFonts w:ascii="Arial" w:cs="Arial" w:eastAsia="Arial" w:hAnsi="Arial"/>
          <w:sz w:val="17"/>
          <w:szCs w:val="17"/>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70"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Disruptions at the FDA and other agencies may prolong the time necessary for regulatory submissions to be reviewed and/or new drugs to be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were to occur, it could significantly impact the ability of the FDA to timely review and process our regulatory submissions, which could have a material adverse effect on our business.</w:t>
      </w:r>
    </w:p>
    <w:p>
      <w:pPr>
        <w:spacing w:after="0" w:line="8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During the COVID-19 public health emergency, a number of companies announced receipt of complete response letters due to the FDA’s inability to complete required inspections for their applications. Regulatory authorities outside the United States may adopt similar restrictions or other policy measures in response to a future pandemic or an outbreak of highly infectious or contagious disease, such as the COVID-19 pandemic, and may experience delays in their regulatory activities.</w:t>
      </w:r>
    </w:p>
    <w:p>
      <w:pPr>
        <w:spacing w:after="0" w:line="79"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2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 and, even if we do, that exclusivity may not prevent the FDA or the EMA from approving other competing products.</w:t>
      </w:r>
    </w:p>
    <w:p>
      <w:pPr>
        <w:spacing w:after="0" w:line="62"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Regulatory authorities in some jurisdictions, including the United States and European Union, may designate drugs for relatively small patient populations as orphan drugs. The FDA and EMA have granted orphan drug designation to losmapimod for the treatment of FSHD. We may seek orphan drug designation for our other current and future product candidates.</w:t>
      </w:r>
    </w:p>
    <w:p>
      <w:pPr>
        <w:spacing w:after="0" w:line="76"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Generally, if a product with an orphan drug designation subsequently receives the first marketing approval for the indication for which it has such designation, the product is entitled to a period of market exclusivity, which precludes the FDA or the EMA from approving another marketing authorization application for the same drug for a certain time period. The applicable period is seven years in the United States and ten years in the European Union. The exclusivity period in the European Union can be reduced to six years at the end of the fifth year if it is determined that a drug no longer meets the criteria for orphan drug designation, including if the drug is sufficiently profitable so that market exclusivity is no longer justified. The European Commission introduced a legislative proposal in April 2023 that, if implemented, could reduce the current ten-year marketing exclusivity period in the European Union for certain orphan medicines to nine years (or five years for well-established use orphan medicines).</w:t>
      </w:r>
    </w:p>
    <w:p>
      <w:pPr>
        <w:spacing w:after="0" w:line="69"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62" w:lineRule="exact"/>
        <w:rPr>
          <w:sz w:val="20"/>
          <w:szCs w:val="20"/>
          <w:color w:val="auto"/>
        </w:rPr>
      </w:pPr>
    </w:p>
    <w:p>
      <w:pPr>
        <w:ind w:right="120" w:firstLine="509"/>
        <w:spacing w:after="0" w:line="272" w:lineRule="auto"/>
        <w:rPr>
          <w:sz w:val="20"/>
          <w:szCs w:val="20"/>
          <w:color w:val="auto"/>
        </w:rPr>
      </w:pPr>
      <w:r>
        <w:rPr>
          <w:rFonts w:ascii="Arial" w:cs="Arial" w:eastAsia="Arial" w:hAnsi="Arial"/>
          <w:sz w:val="17"/>
          <w:szCs w:val="17"/>
          <w:color w:val="auto"/>
        </w:rPr>
        <w:t>Even if we obtain orphan drug exclusivity for a product, that exclusivity may not effectively protect the product from competition because competing drugs containing a different active ingredient can be approved for the same condition. In addition, the FDA can subsequently approve the same drug for the same condition if the FDA concludes that the later drug is clinically superior to the first drug to obtain orphan drug exclusivity because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affected.</w:t>
      </w:r>
    </w:p>
    <w:p>
      <w:pPr>
        <w:spacing w:after="0" w:line="28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Special designation by the FDA, such as fast track or breakthrough therapy, may not lead to a faster development or regulatory review or approval process, and it does not increase the likelihood that our product candidates will receive marketing approval.</w:t>
      </w:r>
    </w:p>
    <w:p>
      <w:pPr>
        <w:spacing w:after="0" w:line="38"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FDA granted fast track designation to losmapimod for the treatment of FSHD and to FTX-6058 for the treatment of SCD, and we may seek fast track designation for some of our other product candidates as well as breakthrough therapy designation, including for losmapimod.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with fast track designation, we may not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5" w:name="page66"/>
    <w:bookmarkEnd w:id="65"/>
    <w:p>
      <w:pPr>
        <w:spacing w:after="0" w:line="277" w:lineRule="auto"/>
        <w:rPr>
          <w:sz w:val="20"/>
          <w:szCs w:val="20"/>
          <w:color w:val="auto"/>
        </w:rPr>
      </w:pPr>
      <w:r>
        <w:rPr>
          <w:rFonts w:ascii="Arial" w:cs="Arial" w:eastAsia="Arial" w:hAnsi="Arial"/>
          <w:sz w:val="18"/>
          <w:szCs w:val="18"/>
          <w:color w:val="auto"/>
        </w:rPr>
        <w:t>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62" w:lineRule="exact"/>
        <w:rPr>
          <w:sz w:val="20"/>
          <w:szCs w:val="20"/>
          <w:color w:val="auto"/>
        </w:rPr>
      </w:pPr>
    </w:p>
    <w:p>
      <w:pPr>
        <w:ind w:right="40" w:firstLine="509"/>
        <w:spacing w:after="0" w:line="286" w:lineRule="auto"/>
        <w:rPr>
          <w:sz w:val="20"/>
          <w:szCs w:val="20"/>
          <w:color w:val="auto"/>
        </w:rPr>
      </w:pPr>
      <w:r>
        <w:rPr>
          <w:rFonts w:ascii="Arial" w:cs="Arial" w:eastAsia="Arial" w:hAnsi="Arial"/>
          <w:sz w:val="17"/>
          <w:szCs w:val="17"/>
          <w:color w:val="auto"/>
        </w:rPr>
        <w:t>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w:t>
      </w:r>
    </w:p>
    <w:p>
      <w:pPr>
        <w:spacing w:after="0" w:line="57"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the products no longer meet the conditions for qualification or decide that the time period for FDA review or approval will not be shortened.</w:t>
      </w:r>
    </w:p>
    <w:p>
      <w:pPr>
        <w:spacing w:after="0" w:line="28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auto"/>
        </w:rPr>
        <w:t>Even if the FDA agrees that we may pursue an accelerated approval NDA submission, approval of the NDA is not assured, nor does submission of an accelerated approval NDA ensure that the product candidate will have a faster development or regulatory review process.</w:t>
      </w:r>
    </w:p>
    <w:p>
      <w:pPr>
        <w:spacing w:after="0" w:line="16" w:lineRule="exact"/>
        <w:rPr>
          <w:sz w:val="20"/>
          <w:szCs w:val="20"/>
          <w:color w:val="auto"/>
        </w:rPr>
      </w:pPr>
    </w:p>
    <w:p>
      <w:pPr>
        <w:ind w:right="260" w:firstLine="509"/>
        <w:spacing w:after="0" w:line="301" w:lineRule="auto"/>
        <w:rPr>
          <w:sz w:val="20"/>
          <w:szCs w:val="20"/>
          <w:color w:val="auto"/>
        </w:rPr>
      </w:pPr>
      <w:r>
        <w:rPr>
          <w:rFonts w:ascii="Arial" w:cs="Arial" w:eastAsia="Arial" w:hAnsi="Arial"/>
          <w:sz w:val="16"/>
          <w:szCs w:val="16"/>
          <w:color w:val="auto"/>
        </w:rPr>
        <w:t>We may seek approval, as applicable,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w:t>
      </w:r>
      <w:r>
        <w:rPr>
          <w:rFonts w:ascii="Arial" w:cs="Arial" w:eastAsia="Arial" w:hAnsi="Arial"/>
          <w:sz w:val="16"/>
          <w:szCs w:val="16"/>
          <w:i w:val="1"/>
          <w:iCs w:val="1"/>
          <w:color w:val="auto"/>
        </w:rPr>
        <w:t>i.e.</w:t>
      </w:r>
      <w:r>
        <w:rPr>
          <w:rFonts w:ascii="Arial" w:cs="Arial" w:eastAsia="Arial" w:hAnsi="Arial"/>
          <w:sz w:val="16"/>
          <w:szCs w:val="16"/>
          <w:color w:val="auto"/>
        </w:rPr>
        <w:t>, an intermediate clinical endpoint).</w:t>
      </w:r>
    </w:p>
    <w:p>
      <w:pPr>
        <w:spacing w:after="0" w:line="49"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auto"/>
        </w:rPr>
        <w:t>Prior to seeking such accelerated approval, we will seek feedback from the FDA and otherwise evaluate our ability to seek and receive such accelerated approval.</w:t>
      </w:r>
    </w:p>
    <w:p>
      <w:pPr>
        <w:spacing w:after="0" w:line="6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79" w:lineRule="exact"/>
        <w:rPr>
          <w:sz w:val="20"/>
          <w:szCs w:val="20"/>
          <w:color w:val="auto"/>
        </w:rPr>
      </w:pPr>
    </w:p>
    <w:p>
      <w:pPr>
        <w:ind w:right="100" w:firstLine="509"/>
        <w:spacing w:after="0" w:line="268" w:lineRule="auto"/>
        <w:rPr>
          <w:sz w:val="20"/>
          <w:szCs w:val="20"/>
          <w:color w:val="auto"/>
        </w:rPr>
      </w:pPr>
      <w:r>
        <w:rPr>
          <w:rFonts w:ascii="Arial" w:cs="Arial" w:eastAsia="Arial" w:hAnsi="Arial"/>
          <w:sz w:val="17"/>
          <w:szCs w:val="17"/>
          <w:color w:val="auto"/>
        </w:rPr>
        <w:t>Moreover, as a condition of accelerated approval, the FDA likely would require that we perform adequate and well-controlled post-marketing clinical trials to confirm the product’s clinical benefit. These confirmatory trials must be completed with due diligence. Under the Food and Drug Omnibus Reform Act of 2022, or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generally requires pre-approval of promotional materials for products under consideration for accelerated approval, which could adversely impact the timing of the commercial launch of the product. Thus, even if we seek to utilize the accelerated approval pathway for a product candidate, we may not experience a faster development or regulatory review or approval process for that product. In addition, receiving accelerated approval does not assure that the product’s accelerated approval will ultimately be converted to a traditional approval.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abroad.</w:t>
      </w:r>
    </w:p>
    <w:p>
      <w:pPr>
        <w:spacing w:after="0" w:line="117"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the necessary approvals to commercialize our products in any market.</w:t>
      </w:r>
    </w:p>
    <w:p>
      <w:pPr>
        <w:spacing w:after="0" w:line="60"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Additionally, now that the United Kingdom is no longer part of the European Union, separate applications and procedures will be required to obtain regulatory approval for our products in the United Kingdom and the European Union. Any delay in obtaining, or an inability to obtain, any marketing approvals could prevent us from commercializing any product candidates in the United Kingdom and/or the European Union and restrict our ability to generate revenue and achieve and sustain profitability.</w:t>
      </w:r>
    </w:p>
    <w:p>
      <w:pPr>
        <w:spacing w:after="0" w:line="29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76" w:lineRule="exact"/>
        <w:rPr>
          <w:sz w:val="20"/>
          <w:szCs w:val="20"/>
          <w:color w:val="auto"/>
        </w:rPr>
      </w:pPr>
    </w:p>
    <w:p>
      <w:pPr>
        <w:ind w:right="340" w:firstLine="509"/>
        <w:spacing w:after="0" w:line="296" w:lineRule="auto"/>
        <w:rPr>
          <w:sz w:val="20"/>
          <w:szCs w:val="20"/>
          <w:color w:val="auto"/>
        </w:rPr>
      </w:pPr>
      <w:r>
        <w:rPr>
          <w:rFonts w:ascii="Arial" w:cs="Arial" w:eastAsia="Arial" w:hAnsi="Arial"/>
          <w:sz w:val="16"/>
          <w:szCs w:val="16"/>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53"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84"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have various consequences, including:</w:t>
      </w:r>
    </w:p>
    <w:p>
      <w:pPr>
        <w:spacing w:after="0" w:line="62" w:lineRule="exact"/>
        <w:rPr>
          <w:sz w:val="20"/>
          <w:szCs w:val="20"/>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of or restrictions on such products, manufacturers or manufacturing processes;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and warnings on the labeling or marketing of a product;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of any ongoing clinical trials;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or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involving patients using our products.</w:t>
      </w:r>
    </w:p>
    <w:p>
      <w:pPr>
        <w:spacing w:after="0" w:line="117" w:lineRule="exact"/>
        <w:rPr>
          <w:sz w:val="20"/>
          <w:szCs w:val="20"/>
          <w:color w:val="auto"/>
        </w:rPr>
      </w:pPr>
    </w:p>
    <w:p>
      <w:pPr>
        <w:jc w:val="both"/>
        <w:ind w:right="520" w:firstLine="509"/>
        <w:spacing w:after="0" w:line="311" w:lineRule="auto"/>
        <w:rPr>
          <w:sz w:val="20"/>
          <w:szCs w:val="20"/>
          <w:color w:val="auto"/>
        </w:rPr>
      </w:pPr>
      <w:r>
        <w:rPr>
          <w:rFonts w:ascii="Arial" w:cs="Arial" w:eastAsia="Arial" w:hAnsi="Arial"/>
          <w:sz w:val="16"/>
          <w:szCs w:val="16"/>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or United Kingdom’s requirements regarding the protection of personal information can also lead to significant penalties and sanctions.</w:t>
      </w:r>
    </w:p>
    <w:p>
      <w:pPr>
        <w:spacing w:after="0" w:line="41"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In addition, manufacturers of approved products and those manufacturers’ facilities are required to comply with extensive FDA requirements, including ensuring that quality control and manufacturing procedures conform to cGMPs applicable to drug manufacturers. Additionally, under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We will also be subject to other regulatory requirements, including submissions of safety and other post-marketing information and reports, registration and listing requirements, requirements regarding the distribution of samples to clinicians, and recordkeeping.</w:t>
      </w:r>
    </w:p>
    <w:p>
      <w:pPr>
        <w:spacing w:after="0" w:line="28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79"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See Item 1 “Business—Government Regulation and Product Approvals—Health Care Law and Regulation” in the 2022 Annual Report.</w:t>
      </w:r>
    </w:p>
    <w:p>
      <w:pPr>
        <w:spacing w:after="0" w:line="87"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62"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27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76"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The legislative and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Economic Area, or EEA, including personal health data, is subject to the European Union’s General Data Protection Regulation, or EU GDPR. Following the withdrawal of the United Kingdom from the European Union, or Brexit, the EU GDPR has been incorporated into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United Kingdom’s laws, or UK GDPR, alongside the UK Data Protection Act 2018, and together with the EU GDPR, is referred to as GDPR.</w:t>
      </w:r>
    </w:p>
    <w:p>
      <w:pPr>
        <w:spacing w:after="0" w:line="11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Despite Brexit, the EU and UK GDPR remain largely aligned. Currently, the most impactful point of divergence relates to transfer mechanisms (i.e., the ability for companies in the European Union or the United Kingdom to transfer personal information to third countries, including the United States), because it requires us to implement a variety of different contractual clauses approved by European Union’s or United Kingdom’s regulators, and carry out transfer impact assessments to establish whether the third country can ensure essential equivalency. This complexity and the additional contractual burden increases our overall risk exposure, and may result in us needing to make strategic considerations around where EEA and UK personal data is stored and which service providers we can utilize for the processing of EEA and UK personal data.</w:t>
      </w:r>
    </w:p>
    <w:p>
      <w:pPr>
        <w:spacing w:after="0" w:line="70"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There may be further divergence in the future, including with regard to administrative burdens. The UK Government has also now introduced a Data Protection and Digital Information Bill (“UK Bill”) into the UK legislative process. The aim of the UK Bill is to reform the UK’s data protection regime following Brexit. If passed, the final version of the UK Bill may have the effect of further altering the similarities between the UK and EEA data protection regime. This may lead to additional compliance costs and could increase our overall risk exposure as we may no longer be able to take a unified approach across the European Union and the United Kingdom, and we will need to amend our processes and procedures to align with the new framework.</w:t>
      </w:r>
    </w:p>
    <w:p>
      <w:pPr>
        <w:spacing w:after="0" w:line="53"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Similar data protection laws are either in place or under way in the United States. There are a broad variety of data protection and security laws and regulations that may be applicable to our activities governing the collection, use, disclosure, and protection of health-related and other personal information (including, for example, state data breach notification laws, health information and/or genetic privacy laws and federal and state consumer protection laws including Section 5 of the FTC Act, HIPAA, and the California Consumer Protection Act or CCPA). A wide range of enforcement agencies at both the state and federal levels that can review companies for privacy and data security concerns based on general consumer protection laws. The Federal Trade Commission and state Attorneys General all are aggressive in reviewing privacy and data security protections for consumers. New laws also are being considered at both the state and federal levels. For example, in California, the CCPA, which went into effect in January 2020, has created certain requirements for data use, sharing and transparency, and provides California residents certain rights concerning their personal information, and many other states have introduced or are considering similar legislation. For more information regarding the GDPR, the CCPA and other regulations, see Item 1 “Business –Government Regulation and Product Approvals” in the 2022 Annual Report.</w:t>
      </w:r>
    </w:p>
    <w:p>
      <w:pPr>
        <w:spacing w:after="0" w:line="60"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Given the breadth and depth of changes in privacy, data protection and consumer protection obligations, preparing for and complying with these requirements is rigorous and time intensive and requires significant resources and a review of our technologies, systems and practices, as well as those of any third-party collaborators, service providers, contractors or consultants that store, process or transfer personal data on our behalf. Many of these laws differ from each other in significant ways and may be interpreted and applied in a manner that is inconsistent from one jurisdiction to another, thus complicating compliance efforts. Compliance with the GDPR and other similar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Any failure or perceived failure by us to comply with such laws and regulations could lead to government enforcement actions, private litigation and significant fines and penalties against us and could have a material adverse effect on our business, financial condition or results of operations. There is also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28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16"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Item 1 “Business—Government Regulation and Product Approval—Pharmaceutical Insurance Coverage and Health Care Reform” in the 2022 Annual Report.</w:t>
      </w:r>
    </w:p>
    <w:p>
      <w:pPr>
        <w:spacing w:after="0" w:line="58"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In August 2022 the Inflation Reduction Act of 2022 was passed, which among other things, allows for Centers for Medicare &amp; Medicaid Services to negotiate prices for certain single-source drugs and biologics reimbursed under Medicare Part B and Part D, beginning with select high-cost drugs in 2026. The legislation subjects drug manufacturers to civil monetary penalties and a potential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9" w:name="page70"/>
    <w:bookmarkEnd w:id="69"/>
    <w:p>
      <w:pPr>
        <w:ind w:right="60"/>
        <w:spacing w:after="0" w:line="257" w:lineRule="auto"/>
        <w:rPr>
          <w:sz w:val="20"/>
          <w:szCs w:val="20"/>
          <w:color w:val="auto"/>
        </w:rPr>
      </w:pPr>
      <w:r>
        <w:rPr>
          <w:rFonts w:ascii="Arial" w:cs="Arial" w:eastAsia="Arial" w:hAnsi="Arial"/>
          <w:sz w:val="18"/>
          <w:szCs w:val="18"/>
          <w:color w:val="auto"/>
        </w:rPr>
        <w:t>excise tax for offering a price that is not equal to or less than the price negotiated under the law or for taking price increases that exceed inflation. The legislation also requires manufacturers to pay rebates for drugs in Medicare Part D whose price increases exceed inflation. Further, the legislation caps Medicare beneficiaries’ annual out-of-pocket drug expenses at $2,000. The implementation of the IRA is currently subject to ongoing litigation challenging the constitutionality of the IRA’s Medicare drug price negotiation program. The effect of Inflation Reduction Act of 2022 on our business and the healthcare industry in general is not yet known.</w:t>
      </w:r>
    </w:p>
    <w:p>
      <w:pPr>
        <w:spacing w:after="0" w:line="80"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11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6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88" w:lineRule="exact"/>
        <w:rPr>
          <w:sz w:val="20"/>
          <w:szCs w:val="20"/>
          <w:color w:val="auto"/>
        </w:rPr>
      </w:pPr>
    </w:p>
    <w:p>
      <w:pPr>
        <w:jc w:val="both"/>
        <w:ind w:right="180" w:firstLine="509"/>
        <w:spacing w:after="0" w:line="259" w:lineRule="auto"/>
        <w:rPr>
          <w:sz w:val="20"/>
          <w:szCs w:val="20"/>
          <w:color w:val="auto"/>
        </w:rPr>
      </w:pPr>
      <w:r>
        <w:rPr>
          <w:rFonts w:ascii="Arial" w:cs="Arial" w:eastAsia="Arial" w:hAnsi="Arial"/>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79" w:lineRule="exact"/>
        <w:rPr>
          <w:sz w:val="20"/>
          <w:szCs w:val="20"/>
          <w:color w:val="auto"/>
        </w:rPr>
      </w:pPr>
    </w:p>
    <w:p>
      <w:pPr>
        <w:jc w:val="both"/>
        <w:ind w:right="220" w:firstLine="509"/>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76" w:lineRule="exact"/>
        <w:rPr>
          <w:sz w:val="20"/>
          <w:szCs w:val="20"/>
          <w:color w:val="auto"/>
        </w:rPr>
      </w:pPr>
    </w:p>
    <w:p>
      <w:pPr>
        <w:ind w:right="120" w:firstLine="509"/>
        <w:spacing w:after="0" w:line="275" w:lineRule="auto"/>
        <w:rPr>
          <w:sz w:val="20"/>
          <w:szCs w:val="20"/>
          <w:color w:val="auto"/>
        </w:rPr>
      </w:pPr>
      <w:r>
        <w:rPr>
          <w:rFonts w:ascii="Arial" w:cs="Arial" w:eastAsia="Arial" w:hAnsi="Arial"/>
          <w:sz w:val="17"/>
          <w:szCs w:val="17"/>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ind w:right="60"/>
        <w:spacing w:after="0" w:line="279" w:lineRule="auto"/>
        <w:rPr>
          <w:sz w:val="20"/>
          <w:szCs w:val="20"/>
          <w:color w:val="auto"/>
        </w:rPr>
      </w:pPr>
      <w:r>
        <w:rPr>
          <w:rFonts w:ascii="Arial" w:cs="Arial" w:eastAsia="Arial" w:hAnsi="Arial"/>
          <w:sz w:val="17"/>
          <w:szCs w:val="17"/>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63"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0"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68"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4"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w:t>
      </w:r>
    </w:p>
    <w:p>
      <w:pPr>
        <w:spacing w:after="0" w:line="285" w:lineRule="exact"/>
        <w:rPr>
          <w:sz w:val="20"/>
          <w:szCs w:val="20"/>
          <w:color w:val="auto"/>
        </w:rPr>
      </w:pPr>
    </w:p>
    <w:p>
      <w:pPr>
        <w:ind w:right="24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1" w:lineRule="exact"/>
        <w:rPr>
          <w:sz w:val="20"/>
          <w:szCs w:val="20"/>
          <w:color w:val="auto"/>
        </w:rPr>
      </w:pPr>
    </w:p>
    <w:p>
      <w:pPr>
        <w:ind w:right="100" w:firstLine="509"/>
        <w:spacing w:after="0" w:line="268" w:lineRule="auto"/>
        <w:rPr>
          <w:sz w:val="20"/>
          <w:szCs w:val="20"/>
          <w:color w:val="auto"/>
        </w:rPr>
      </w:pPr>
      <w:r>
        <w:rPr>
          <w:rFonts w:ascii="Arial" w:cs="Arial" w:eastAsia="Arial" w:hAnsi="Arial"/>
          <w:sz w:val="17"/>
          <w:szCs w:val="17"/>
          <w:color w:val="auto"/>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 GDPR.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1" w:name="page72"/>
    <w:bookmarkEnd w:id="71"/>
    <w:p>
      <w:pPr>
        <w:ind w:right="160"/>
        <w:spacing w:after="0" w:line="342" w:lineRule="auto"/>
        <w:rPr>
          <w:sz w:val="20"/>
          <w:szCs w:val="20"/>
          <w:color w:val="auto"/>
        </w:rPr>
      </w:pPr>
      <w:r>
        <w:rPr>
          <w:rFonts w:ascii="Arial" w:cs="Arial" w:eastAsia="Arial" w:hAnsi="Arial"/>
          <w:sz w:val="16"/>
          <w:szCs w:val="16"/>
          <w:b w:val="1"/>
          <w:bCs w:val="1"/>
          <w:i w:val="1"/>
          <w:iCs w:val="1"/>
          <w:color w:val="auto"/>
        </w:rPr>
        <w:t>Our internal computer and information technology systems and infrastructure, or those of our collaborators or other contractors or consultants, may fail or suffer security compromises or breaches, which could result in a material disruption of our product development programs.</w:t>
      </w:r>
    </w:p>
    <w:p>
      <w:pPr>
        <w:spacing w:after="0" w:line="16" w:lineRule="exact"/>
        <w:rPr>
          <w:sz w:val="20"/>
          <w:szCs w:val="20"/>
          <w:color w:val="auto"/>
        </w:rPr>
      </w:pPr>
    </w:p>
    <w:p>
      <w:pPr>
        <w:ind w:right="40" w:firstLine="509"/>
        <w:spacing w:after="0" w:line="285" w:lineRule="auto"/>
        <w:rPr>
          <w:sz w:val="20"/>
          <w:szCs w:val="20"/>
          <w:color w:val="auto"/>
        </w:rPr>
      </w:pPr>
      <w:r>
        <w:rPr>
          <w:rFonts w:ascii="Arial" w:cs="Arial" w:eastAsia="Arial" w:hAnsi="Arial"/>
          <w:sz w:val="16"/>
          <w:szCs w:val="16"/>
          <w:color w:val="auto"/>
        </w:rPr>
        <w:t>Our internal computer and information technology systems and infrastructure and those of our CROs, collaborators, and other contractors or consultants upon which our business relies, are vulnerable to breakdown or damage or interruption or otherwise may sustain damage from computer viruses, unauthorized access, data breaches, phishing attacks, cybercriminals, system malfunction, natural disasters (including hurricanes and earthquakes), terrorism, war and telecommunication and electrical failures. Such systems and infrastructure are also vulnerable to service interruptions or to security compromises or breaches from inadvertent or intentional actions by our employees, CROs or other third-party vendors, contractors, consultants and/or business partners or other third parties, or from cyber-attacks by malicious third parties. Cyber-attacks are increasing in their frequency, sophistication and intensity, and have become increasingly difficult to detect. Cyber-attacks could include wrongful conduct by insider employees or vendors, hostile foreign governments, industrial espionage, wire fraud and other forms of cyber fraud or cyber-attacks, including the deployment of harmful malware, ransomware, denial-of-service attacks, unauthorized access to or deletion of files, phishing attacks and social engineering, business email compromise, and other means to affect service reliability and threaten the confidentiality, integrity and availability of information. Accordingly, if our cybersecurity measures or those of our service providers fail to protect against unauthorized access, attacks, compromise or the mishandling of data by our employees or contractors, then our reputation, customer trust, business, results of operations and financial condition could be adversely affected. Because the techniques used by threat actors who may attempt to penetrate and sabotage our computer systems or those of our collaborators or other contractors or consultants change frequently and may not be recognized until launched against a target, we may be unable to anticipate these techniques.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w:t>
      </w:r>
    </w:p>
    <w:p>
      <w:pPr>
        <w:spacing w:after="0" w:line="63"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compromise or breach were to result in a loss of, damage to, unauthorized access, or misuse of our data, systems, infrastructure or applications, or inappropriate disclosure of confidential or proprietary information, we could incur liability (including in connection with or resulting from litigation or governmental investigations and enforcement actions), our competitive position could be harmed and the further development and commercialization of our product candidates could be delayed and our business could be otherwise adversely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2" w:name="page73"/>
    <w:bookmarkEnd w:id="72"/>
    <w:p>
      <w:pPr>
        <w:ind w:right="60" w:firstLine="509"/>
        <w:spacing w:after="0" w:line="267" w:lineRule="auto"/>
        <w:rPr>
          <w:sz w:val="20"/>
          <w:szCs w:val="20"/>
          <w:color w:val="auto"/>
        </w:rPr>
      </w:pPr>
      <w:r>
        <w:rPr>
          <w:rFonts w:ascii="Arial" w:cs="Arial" w:eastAsia="Arial" w:hAnsi="Arial"/>
          <w:sz w:val="17"/>
          <w:szCs w:val="17"/>
          <w:color w:val="auto"/>
        </w:rPr>
        <w:t>We have had recent executive transitions, including of our chief executive officer, chief financial officer, president of research and development, chief scientific officer, and chief medical officer. We cannot predict the likelihood, timing or effect of future transitions among our executive leadership. The loss of the services of our executive officers or other key employees could impede the achievement of our research, development and commercialization objectives and seriously harm our ability to successfully implement our business strategy. For example, our employees have taken on increased responsibilities in light of this turnover, which could divert attention from key business areas. Additionally, the number of recent departures has created some uncertainty.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Even if we are successful in our efforts to replace our executive leadership, we cannot guarantee that we will not face similar turnover in the future. In addition, we rely on consultants and advisors, including scientific and clinical advisors, to assist us in formulating our research and development and commercialization strategy. In August 2022, we announced a workforce reduction in our research and development function, which may make us a less attractive employer to future candidates.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29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if they choose to act together, have the ability to control or significantly influence all matters submitted to stockholders for approval.</w:t>
      </w:r>
    </w:p>
    <w:p>
      <w:pPr>
        <w:spacing w:after="0" w:line="6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As of July 27, 2023, our executive officers and directors and our stockholders who owned more than 5% of our outstanding common stock in the aggregate beneficially owned shares representing approximately 48.9%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concentration of ownership control may:</w:t>
      </w:r>
    </w:p>
    <w:p>
      <w:pPr>
        <w:spacing w:after="0" w:line="117" w:lineRule="exact"/>
        <w:rPr>
          <w:sz w:val="20"/>
          <w:szCs w:val="20"/>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defer or prevent a change in control;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entrench our management and board of directors; or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 or prevent a merger, consolidation, takeover or other business combination involving us that other stockholders may desire.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3" w:name="page74"/>
    <w:bookmarkEnd w:id="73"/>
    <w:p>
      <w:pPr>
        <w:jc w:val="both"/>
        <w:ind w:right="32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0" w:lineRule="exact"/>
        <w:rPr>
          <w:sz w:val="20"/>
          <w:szCs w:val="20"/>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only one of three classes of directors is elected each year;</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117" w:lineRule="exact"/>
        <w:rPr>
          <w:rFonts w:ascii="Arial" w:cs="Arial" w:eastAsia="Arial" w:hAnsi="Arial"/>
          <w:sz w:val="18"/>
          <w:szCs w:val="18"/>
          <w:color w:val="auto"/>
        </w:rPr>
      </w:pPr>
    </w:p>
    <w:p>
      <w:pPr>
        <w:ind w:left="900" w:right="140" w:hanging="383"/>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900" w:right="480" w:hanging="383"/>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900" w:right="40" w:hanging="383"/>
        <w:spacing w:after="0" w:line="263"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5" w:lineRule="exact"/>
        <w:rPr>
          <w:rFonts w:ascii="Arial" w:cs="Arial" w:eastAsia="Arial" w:hAnsi="Arial"/>
          <w:sz w:val="18"/>
          <w:szCs w:val="18"/>
          <w:color w:val="auto"/>
        </w:rPr>
      </w:pPr>
    </w:p>
    <w:p>
      <w:pPr>
        <w:ind w:left="900" w:right="180" w:hanging="383"/>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specified provisions of our certificate of incorporation or bylaws.</w:t>
      </w:r>
    </w:p>
    <w:p>
      <w:pPr>
        <w:spacing w:after="0" w:line="170"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16" w:lineRule="exact"/>
        <w:rPr>
          <w:sz w:val="20"/>
          <w:szCs w:val="20"/>
          <w:color w:val="auto"/>
        </w:rPr>
      </w:pPr>
    </w:p>
    <w:p>
      <w:pPr>
        <w:ind w:right="200" w:firstLine="509"/>
        <w:spacing w:after="0" w:line="293"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our stockholders.</w:t>
      </w:r>
    </w:p>
    <w:p>
      <w:pPr>
        <w:spacing w:after="0" w:line="129"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9" w:lineRule="exact"/>
        <w:rPr>
          <w:sz w:val="20"/>
          <w:szCs w:val="20"/>
          <w:color w:val="auto"/>
        </w:rPr>
      </w:pPr>
    </w:p>
    <w:p>
      <w:pPr>
        <w:ind w:left="900" w:right="880" w:hanging="383"/>
        <w:spacing w:after="0" w:line="308" w:lineRule="auto"/>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results of or developments in preclinical studies and clinical trials of our product candidates or those of our competitors or potential collaborators, including the recent clinical hold on FTX-6058 (and whether or not we are able to resolve such hold);</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success in commercializing our product candidates, if and when approved;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4" w:name="page75"/>
    <w:bookmarkEnd w:id="74"/>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900" w:right="240" w:hanging="383"/>
        <w:spacing w:after="0" w:line="308"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180" w:firstLine="509"/>
        <w:spacing w:after="0" w:line="273" w:lineRule="auto"/>
        <w:rPr>
          <w:sz w:val="20"/>
          <w:szCs w:val="20"/>
          <w:color w:val="auto"/>
        </w:rPr>
      </w:pPr>
      <w:r>
        <w:rPr>
          <w:rFonts w:ascii="Arial" w:cs="Arial" w:eastAsia="Arial" w:hAnsi="Arial"/>
          <w:sz w:val="17"/>
          <w:szCs w:val="17"/>
          <w:color w:val="auto"/>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28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6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spacing w:after="0" w:line="79"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In addition, we have filed or intend to file universal shelf registration statements (which allows us to offer and sell securities from time to time pursuant to one or more offerings at prices and terms to be determined at the time of sale) subject to an aggregate offering amount stated therein, as well as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We are an “emerging growth company,” or EGC, as defined in the Jumpstart Our Business Startups Act of 2012, or the JOBS Act. We may remain an EGC until December 31, 2024, although if the market value of our common stock that is held by non-affiliates exceeds $700 million as of any June 30 before that time or if we have annual gross revenues of $1.235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84" w:lineRule="exact"/>
        <w:rPr>
          <w:sz w:val="20"/>
          <w:szCs w:val="20"/>
          <w:color w:val="auto"/>
        </w:rPr>
      </w:pPr>
    </w:p>
    <w:p>
      <w:pPr>
        <w:jc w:val="center"/>
        <w:ind w:left="5540" w:right="540" w:hanging="5023"/>
        <w:spacing w:after="0" w:line="527" w:lineRule="auto"/>
        <w:tabs>
          <w:tab w:leader="none" w:pos="905"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in the assessment of our internal control over financial reporting;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5" w:name="page76"/>
    <w:bookmarkEnd w:id="75"/>
    <w:p>
      <w:pPr>
        <w:ind w:left="900" w:right="580" w:hanging="383"/>
        <w:spacing w:after="0" w:line="263"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900" w:hanging="383"/>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17" w:lineRule="exact"/>
        <w:rPr>
          <w:rFonts w:ascii="Arial" w:cs="Arial" w:eastAsia="Arial" w:hAnsi="Arial"/>
          <w:sz w:val="18"/>
          <w:szCs w:val="18"/>
          <w:color w:val="auto"/>
        </w:rPr>
      </w:pPr>
    </w:p>
    <w:p>
      <w:pPr>
        <w:ind w:left="900" w:right="160" w:hanging="383"/>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62"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4"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2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As a public company we have incurred, and particularly after we are no longer an EGC, we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81"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71"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 report by our management on our internal control over financial reporting. However, while we remain an EGC or a smaller reporting company with less than $100 million in revenue, we will not be required to include an attestation report on internal control over financial reporting issued by our independent registered public accounting firm. To achieve compliance with Section 404 within the prescribed period, we conduct a process each year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29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our stockholders’ sole source of gain.</w:t>
      </w:r>
    </w:p>
    <w:p>
      <w:pPr>
        <w:spacing w:after="0" w:line="62"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ind w:right="80"/>
        <w:spacing w:after="0" w:line="375" w:lineRule="auto"/>
        <w:rPr>
          <w:sz w:val="20"/>
          <w:szCs w:val="20"/>
          <w:color w:val="auto"/>
        </w:rPr>
      </w:pPr>
      <w:r>
        <w:rPr>
          <w:rFonts w:ascii="Arial" w:cs="Arial" w:eastAsia="Arial" w:hAnsi="Arial"/>
          <w:sz w:val="15"/>
          <w:szCs w:val="15"/>
          <w:b w:val="1"/>
          <w:bCs w:val="1"/>
          <w:i w:val="1"/>
          <w:iCs w:val="1"/>
          <w:color w:val="auto"/>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1"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w:t>
      </w:r>
    </w:p>
    <w:p>
      <w:pPr>
        <w:spacing w:after="0" w:line="192"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6. Exhibits.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660" w:type="dxa"/>
            <w:vAlign w:val="bottom"/>
            <w:gridSpan w:val="15"/>
            <w:vMerge w:val="restart"/>
          </w:tcPr>
          <w:p>
            <w:pPr>
              <w:ind w:left="1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3440" w:type="dxa"/>
            <w:vAlign w:val="bottom"/>
            <w:tcBorders>
              <w:bottom w:val="single" w:sz="8" w:color="auto"/>
            </w:tcBorders>
          </w:tcPr>
          <w:p>
            <w:pPr>
              <w:spacing w:after="0"/>
              <w:rPr>
                <w:sz w:val="16"/>
                <w:szCs w:val="16"/>
                <w:color w:val="auto"/>
              </w:rPr>
            </w:pPr>
          </w:p>
        </w:tc>
        <w:tc>
          <w:tcPr>
            <w:tcW w:w="6660" w:type="dxa"/>
            <w:vAlign w:val="bottom"/>
            <w:tcBorders>
              <w:bottom w:val="single" w:sz="8" w:color="auto"/>
            </w:tcBorders>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0" w:type="dxa"/>
            <w:vAlign w:val="bottom"/>
          </w:tcPr>
          <w:p>
            <w:pPr>
              <w:ind w:left="120"/>
              <w:spacing w:after="0" w:line="18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5"/>
                <w:szCs w:val="15"/>
                <w:color w:val="auto"/>
              </w:rPr>
            </w:pPr>
          </w:p>
        </w:tc>
        <w:tc>
          <w:tcPr>
            <w:tcW w:w="10060" w:type="dxa"/>
            <w:vAlign w:val="bottom"/>
            <w:tcBorders>
              <w:bottom w:val="single" w:sz="8" w:color="0000FF"/>
            </w:tcBorders>
            <w:gridSpan w:val="15"/>
          </w:tcPr>
          <w:p>
            <w:pPr>
              <w:spacing w:after="0" w:line="182" w:lineRule="exact"/>
              <w:rPr>
                <w:rFonts w:ascii="Arial" w:cs="Arial" w:eastAsia="Arial" w:hAnsi="Arial"/>
                <w:sz w:val="18"/>
                <w:szCs w:val="18"/>
                <w:color w:val="0000FF"/>
                <w:w w:val="91"/>
              </w:rPr>
            </w:pPr>
            <w:hyperlink r:id="rId218">
              <w:r>
                <w:rPr>
                  <w:rFonts w:ascii="Arial" w:cs="Arial" w:eastAsia="Arial" w:hAnsi="Arial"/>
                  <w:sz w:val="18"/>
                  <w:szCs w:val="18"/>
                  <w:color w:val="0000FF"/>
                  <w:w w:val="91"/>
                </w:rPr>
                <w:t>Restated Certificate of Incorporation of the Registrant (incorporated by reference to Exhibit 3.1 to the Registrant’s Current Report on Form</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16"/>
          </w:tcPr>
          <w:p>
            <w:pPr>
              <w:spacing w:after="0" w:line="196" w:lineRule="exact"/>
              <w:rPr>
                <w:rFonts w:ascii="Arial" w:cs="Arial" w:eastAsia="Arial" w:hAnsi="Arial"/>
                <w:sz w:val="18"/>
                <w:szCs w:val="18"/>
                <w:color w:val="0000FF"/>
              </w:rPr>
            </w:pPr>
            <w:hyperlink r:id="rId218">
              <w:r>
                <w:rPr>
                  <w:rFonts w:ascii="Arial" w:cs="Arial" w:eastAsia="Arial" w:hAnsi="Arial"/>
                  <w:sz w:val="18"/>
                  <w:szCs w:val="18"/>
                  <w:color w:val="0000FF"/>
                </w:rPr>
                <w:t>8-K filed with the Securities and Exchange Commission on July 22, 2019).</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12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9740" w:type="dxa"/>
            <w:vAlign w:val="bottom"/>
            <w:tcBorders>
              <w:bottom w:val="single" w:sz="8" w:color="0000FF"/>
            </w:tcBorders>
            <w:gridSpan w:val="9"/>
          </w:tcPr>
          <w:p>
            <w:pPr>
              <w:spacing w:after="0"/>
              <w:rPr>
                <w:rFonts w:ascii="Arial" w:cs="Arial" w:eastAsia="Arial" w:hAnsi="Arial"/>
                <w:sz w:val="18"/>
                <w:szCs w:val="18"/>
                <w:color w:val="0000FF"/>
                <w:w w:val="91"/>
              </w:rPr>
            </w:pPr>
            <w:hyperlink r:id="rId219">
              <w:r>
                <w:rPr>
                  <w:rFonts w:ascii="Arial" w:cs="Arial" w:eastAsia="Arial" w:hAnsi="Arial"/>
                  <w:sz w:val="18"/>
                  <w:szCs w:val="18"/>
                  <w:color w:val="0000FF"/>
                  <w:w w:val="91"/>
                </w:rPr>
                <w:t>Certificate of Amendment of the Restated Certificate of Incorporation of the Registrant (incorporated by reference to Exhibit 3.1 to the</w:t>
              </w:r>
            </w:hyperlink>
          </w:p>
        </w:tc>
        <w:tc>
          <w:tcPr>
            <w:tcW w:w="36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4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219">
              <w:r>
                <w:rPr>
                  <w:rFonts w:ascii="Arial" w:cs="Arial" w:eastAsia="Arial" w:hAnsi="Arial"/>
                  <w:sz w:val="18"/>
                  <w:szCs w:val="18"/>
                  <w:color w:val="0000FF"/>
                  <w:w w:val="90"/>
                </w:rPr>
                <w:t>Registrant’s Current Report on Form 8-K filed with the Securities and Exchange Commission on June 9, 2023).</w:t>
              </w:r>
            </w:hyperlink>
          </w:p>
        </w:tc>
        <w:tc>
          <w:tcPr>
            <w:tcW w:w="20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1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9"/>
                <w:szCs w:val="19"/>
                <w:color w:val="auto"/>
              </w:rPr>
            </w:pPr>
          </w:p>
        </w:tc>
        <w:tc>
          <w:tcPr>
            <w:tcW w:w="10000" w:type="dxa"/>
            <w:vAlign w:val="bottom"/>
            <w:tcBorders>
              <w:bottom w:val="single" w:sz="8" w:color="0000FF"/>
            </w:tcBorders>
            <w:gridSpan w:val="13"/>
          </w:tcPr>
          <w:p>
            <w:pPr>
              <w:spacing w:after="0"/>
              <w:rPr>
                <w:rFonts w:ascii="Arial" w:cs="Arial" w:eastAsia="Arial" w:hAnsi="Arial"/>
                <w:sz w:val="18"/>
                <w:szCs w:val="18"/>
                <w:color w:val="0000FF"/>
                <w:w w:val="91"/>
              </w:rPr>
            </w:pPr>
            <w:hyperlink r:id="rId220">
              <w:r>
                <w:rPr>
                  <w:rFonts w:ascii="Arial" w:cs="Arial" w:eastAsia="Arial" w:hAnsi="Arial"/>
                  <w:sz w:val="18"/>
                  <w:szCs w:val="18"/>
                  <w:color w:val="0000FF"/>
                  <w:w w:val="91"/>
                </w:rPr>
                <w:t>Amended and Restated Bylaws of the Registrant (incorporated by reference to Exhibit 3.2 to the Registrant’s Current Report on Form 8-K</w:t>
              </w:r>
            </w:hyperlink>
          </w:p>
        </w:tc>
        <w:tc>
          <w:tcPr>
            <w:tcW w:w="1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20" w:type="dxa"/>
            <w:vAlign w:val="bottom"/>
            <w:tcBorders>
              <w:bottom w:val="single" w:sz="8" w:color="0000EE"/>
            </w:tcBorders>
            <w:gridSpan w:val="3"/>
          </w:tcPr>
          <w:p>
            <w:pPr>
              <w:spacing w:after="0" w:line="196" w:lineRule="exact"/>
              <w:rPr>
                <w:rFonts w:ascii="Arial" w:cs="Arial" w:eastAsia="Arial" w:hAnsi="Arial"/>
                <w:sz w:val="18"/>
                <w:szCs w:val="18"/>
                <w:color w:val="0000FF"/>
                <w:w w:val="91"/>
              </w:rPr>
            </w:pPr>
            <w:hyperlink r:id="rId220">
              <w:r>
                <w:rPr>
                  <w:rFonts w:ascii="Arial" w:cs="Arial" w:eastAsia="Arial" w:hAnsi="Arial"/>
                  <w:sz w:val="18"/>
                  <w:szCs w:val="18"/>
                  <w:color w:val="0000FF"/>
                  <w:w w:val="91"/>
                </w:rPr>
                <w:t>filed with the Securities and Exchange Commission on July 22, 2019).</w:t>
              </w:r>
            </w:hyperlink>
          </w:p>
        </w:tc>
        <w:tc>
          <w:tcPr>
            <w:tcW w:w="49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12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9"/>
                <w:szCs w:val="19"/>
                <w:color w:val="auto"/>
              </w:rPr>
            </w:pPr>
          </w:p>
        </w:tc>
        <w:tc>
          <w:tcPr>
            <w:tcW w:w="994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1"/>
              </w:rPr>
              <w:t>First Amendment to Collaboration and License Agreement, effective as of April 20, 2023, by and between the Registrant and MyoKardia,</w:t>
            </w:r>
          </w:p>
        </w:tc>
        <w:tc>
          <w:tcPr>
            <w:tcW w:w="160" w:type="dxa"/>
            <w:vAlign w:val="bottom"/>
            <w:gridSpan w:val="5"/>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16"/>
          </w:tcPr>
          <w:p>
            <w:pPr>
              <w:spacing w:after="0" w:line="196" w:lineRule="exact"/>
              <w:rPr>
                <w:sz w:val="20"/>
                <w:szCs w:val="20"/>
                <w:color w:val="auto"/>
              </w:rPr>
            </w:pPr>
            <w:r>
              <w:rPr>
                <w:rFonts w:ascii="Arial" w:cs="Arial" w:eastAsia="Arial" w:hAnsi="Arial"/>
                <w:sz w:val="18"/>
                <w:szCs w:val="18"/>
                <w:color w:val="0000FF"/>
              </w:rPr>
              <w:t>Inc., a wholly-owned subsidiary of Bristol Myers Squibb Company</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1420" w:type="dxa"/>
            <w:vAlign w:val="bottom"/>
            <w:tcBorders>
              <w:right w:val="single" w:sz="8" w:color="0000EE"/>
            </w:tcBorders>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12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19"/>
                <w:szCs w:val="19"/>
                <w:color w:val="auto"/>
              </w:rPr>
            </w:pPr>
          </w:p>
        </w:tc>
        <w:tc>
          <w:tcPr>
            <w:tcW w:w="69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Employment Agreement, dated May 12, 2023, by and between the Registrant and Alex C. Sapir.</w:t>
            </w:r>
          </w:p>
        </w:tc>
        <w:tc>
          <w:tcPr>
            <w:tcW w:w="318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1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9960" w:type="dxa"/>
            <w:vAlign w:val="bottom"/>
            <w:tcBorders>
              <w:bottom w:val="single" w:sz="8" w:color="0000FF"/>
            </w:tcBorders>
            <w:gridSpan w:val="12"/>
          </w:tcPr>
          <w:p>
            <w:pPr>
              <w:spacing w:after="0"/>
              <w:rPr>
                <w:rFonts w:ascii="Arial" w:cs="Arial" w:eastAsia="Arial" w:hAnsi="Arial"/>
                <w:sz w:val="18"/>
                <w:szCs w:val="18"/>
                <w:color w:val="0000FF"/>
                <w:w w:val="90"/>
              </w:rPr>
            </w:pPr>
            <w:hyperlink r:id="rId221">
              <w:r>
                <w:rPr>
                  <w:rFonts w:ascii="Arial" w:cs="Arial" w:eastAsia="Arial" w:hAnsi="Arial"/>
                  <w:sz w:val="18"/>
                  <w:szCs w:val="18"/>
                  <w:color w:val="0000FF"/>
                  <w:w w:val="90"/>
                </w:rPr>
                <w:t>Consulting agreement, dated April 22, 2023, by and between Registrant and Esther Rajavelu (incorporated by reference to Exhibit 10.1 to</w:t>
              </w:r>
            </w:hyperlink>
          </w:p>
        </w:tc>
        <w:tc>
          <w:tcPr>
            <w:tcW w:w="1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2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221">
              <w:r>
                <w:rPr>
                  <w:rFonts w:ascii="Arial" w:cs="Arial" w:eastAsia="Arial" w:hAnsi="Arial"/>
                  <w:sz w:val="18"/>
                  <w:szCs w:val="18"/>
                  <w:color w:val="0000FF"/>
                  <w:w w:val="91"/>
                </w:rPr>
                <w:t>the Quarterly Report on Form 10-Q filed with the Securities and Exchange Commission on May 15, 2023).</w:t>
              </w:r>
            </w:hyperlink>
          </w:p>
        </w:tc>
        <w:tc>
          <w:tcPr>
            <w:tcW w:w="23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00" w:type="dxa"/>
            <w:vAlign w:val="bottom"/>
          </w:tcPr>
          <w:p>
            <w:pPr>
              <w:ind w:left="1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100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2"/>
              </w:rPr>
              <w:t>Certification of Principal Executive Officer and Principal Financial Officer Pursuant to Rules 13a-14(a) and 15d-14(a) under the Securities</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16"/>
          </w:tcPr>
          <w:p>
            <w:pPr>
              <w:spacing w:after="0" w:line="196" w:lineRule="exact"/>
              <w:rPr>
                <w:sz w:val="20"/>
                <w:szCs w:val="20"/>
                <w:color w:val="auto"/>
              </w:rPr>
            </w:pPr>
            <w:r>
              <w:rPr>
                <w:rFonts w:ascii="Arial" w:cs="Arial" w:eastAsia="Arial" w:hAnsi="Arial"/>
                <w:sz w:val="18"/>
                <w:szCs w:val="18"/>
                <w:color w:val="0000FF"/>
              </w:rPr>
              <w:t>Exchange 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tcPr>
          <w:p>
            <w:pPr>
              <w:ind w:left="1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98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2"/>
              </w:rPr>
              <w:t>Certification of Principal Executive Officer and Principal Financial Officer Pursuant to 18 U.S.C. Section 1350, as Adopted Pursuant to</w:t>
            </w:r>
          </w:p>
        </w:tc>
        <w:tc>
          <w:tcPr>
            <w:tcW w:w="30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gridSpan w:val="16"/>
          </w:tcPr>
          <w:p>
            <w:pPr>
              <w:spacing w:after="0" w:line="196" w:lineRule="exact"/>
              <w:rPr>
                <w:sz w:val="20"/>
                <w:szCs w:val="20"/>
                <w:color w:val="auto"/>
              </w:rPr>
            </w:pPr>
            <w:r>
              <w:rPr>
                <w:rFonts w:ascii="Arial" w:cs="Arial" w:eastAsia="Arial" w:hAnsi="Arial"/>
                <w:sz w:val="18"/>
                <w:szCs w:val="18"/>
                <w:color w:val="0000FF"/>
              </w:rPr>
              <w:t>Section 906 of the Sarbanes-Oxley Act of 2002.</w:t>
            </w:r>
          </w:p>
        </w:tc>
        <w:tc>
          <w:tcPr>
            <w:tcW w:w="0" w:type="dxa"/>
            <w:vAlign w:val="bottom"/>
          </w:tcPr>
          <w:p>
            <w:pPr>
              <w:spacing w:after="0"/>
              <w:rPr>
                <w:sz w:val="1"/>
                <w:szCs w:val="1"/>
                <w:color w:val="auto"/>
              </w:rPr>
            </w:pPr>
          </w:p>
        </w:tc>
      </w:tr>
      <w:tr>
        <w:trPr>
          <w:trHeight w:val="263"/>
        </w:trPr>
        <w:tc>
          <w:tcPr>
            <w:tcW w:w="100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2"/>
                <w:szCs w:val="22"/>
                <w:color w:val="auto"/>
              </w:rPr>
            </w:pPr>
          </w:p>
        </w:tc>
        <w:tc>
          <w:tcPr>
            <w:tcW w:w="344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Inline XBRL Instance Document</w:t>
            </w:r>
          </w:p>
        </w:tc>
        <w:tc>
          <w:tcPr>
            <w:tcW w:w="666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00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0"/>
                <w:szCs w:val="20"/>
                <w:color w:val="auto"/>
              </w:rPr>
            </w:pPr>
          </w:p>
        </w:tc>
        <w:tc>
          <w:tcPr>
            <w:tcW w:w="1010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1"/>
                <w:szCs w:val="21"/>
                <w:color w:val="auto"/>
              </w:rPr>
            </w:pPr>
          </w:p>
        </w:tc>
        <w:tc>
          <w:tcPr>
            <w:tcW w:w="1010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1"/>
                <w:szCs w:val="21"/>
                <w:color w:val="auto"/>
              </w:rPr>
            </w:pPr>
          </w:p>
        </w:tc>
        <w:tc>
          <w:tcPr>
            <w:tcW w:w="1010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1"/>
                <w:szCs w:val="21"/>
                <w:color w:val="auto"/>
              </w:rPr>
            </w:pPr>
          </w:p>
        </w:tc>
        <w:tc>
          <w:tcPr>
            <w:tcW w:w="1010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43"/>
        </w:trPr>
        <w:tc>
          <w:tcPr>
            <w:tcW w:w="100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1"/>
                <w:szCs w:val="21"/>
                <w:color w:val="auto"/>
              </w:rPr>
            </w:pPr>
          </w:p>
        </w:tc>
        <w:tc>
          <w:tcPr>
            <w:tcW w:w="1010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right="220" w:firstLine="21"/>
        <w:spacing w:after="0" w:line="430" w:lineRule="auto"/>
        <w:tabs>
          <w:tab w:leader="none" w:pos="1131" w:val="left"/>
        </w:tabs>
        <w:numPr>
          <w:ilvl w:val="2"/>
          <w:numId w:val="4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 * Filed herewith.</w:t>
      </w:r>
    </w:p>
    <w:p>
      <w:pPr>
        <w:spacing w:after="0" w:line="1" w:lineRule="exact"/>
        <w:rPr>
          <w:rFonts w:ascii="Arial" w:cs="Arial" w:eastAsia="Arial" w:hAnsi="Arial"/>
          <w:sz w:val="18"/>
          <w:szCs w:val="18"/>
          <w:color w:val="auto"/>
        </w:rPr>
      </w:pPr>
    </w:p>
    <w:p>
      <w:pPr>
        <w:ind w:left="140" w:hanging="132"/>
        <w:spacing w:after="0"/>
        <w:tabs>
          <w:tab w:leader="none" w:pos="1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95123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2">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right="80" w:firstLine="8"/>
        <w:spacing w:after="0" w:line="250" w:lineRule="auto"/>
        <w:tabs>
          <w:tab w:leader="none" w:pos="1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because the registrant has determined that they are both not material and is the type of information that the registrant treats as private or confidential.</w:t>
      </w: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FULCRUM THERAPEUTICS, INC.</w:t>
      </w:r>
    </w:p>
    <w:p>
      <w:pPr>
        <w:spacing w:after="0" w:line="279" w:lineRule="exact"/>
        <w:rPr>
          <w:sz w:val="20"/>
          <w:szCs w:val="20"/>
          <w:color w:val="auto"/>
        </w:rPr>
      </w:pPr>
    </w:p>
    <w:p>
      <w:pPr>
        <w:ind w:left="20"/>
        <w:spacing w:after="0"/>
        <w:tabs>
          <w:tab w:leader="none" w:pos="5280" w:val="left"/>
          <w:tab w:leader="none" w:pos="784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23495</wp:posOffset>
            </wp:positionV>
            <wp:extent cx="35490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30"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Alex C. Sapir</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President and Chief Executive Officer (Principal Executive Officer and</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337" w:right="599" w:bottom="1440" w:gutter="0" w:footer="0" w:header="0"/>
        </w:sectPr>
      </w:pPr>
    </w:p>
    <w:bookmarkStart w:id="79" w:name="page80"/>
    <w:bookmarkEnd w:id="7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ind w:left="10260"/>
        <w:spacing w:after="0"/>
        <w:rPr>
          <w:sz w:val="20"/>
          <w:szCs w:val="20"/>
          <w:color w:val="auto"/>
        </w:rPr>
      </w:pPr>
      <w:r>
        <w:rPr>
          <w:rFonts w:ascii="Arial" w:cs="Arial" w:eastAsia="Arial" w:hAnsi="Arial"/>
          <w:sz w:val="17"/>
          <w:szCs w:val="17"/>
          <w:b w:val="1"/>
          <w:bCs w:val="1"/>
          <w:color w:val="auto"/>
        </w:rPr>
        <w:t>Exhibit 10.1</w:t>
      </w:r>
    </w:p>
    <w:p>
      <w:pPr>
        <w:spacing w:after="0" w:line="50"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color w:val="auto"/>
        </w:rPr>
        <w:t>CERTAIN INFORMATION CONTAINED IN THIS DOCUMENT, MARKED BY [***], HAS BEEN OMITTED BECAUSE IT IS BOTH (I) NOT MATERIAL AND (II) IS THE TYPE THAT THE REGISTRANT TREATS AS PRIVATE OR CONFIDENTIAL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w:t>
      </w:r>
    </w:p>
    <w:p>
      <w:pPr>
        <w:spacing w:after="0" w:line="341" w:lineRule="exact"/>
        <w:rPr>
          <w:sz w:val="20"/>
          <w:szCs w:val="20"/>
          <w:color w:val="auto"/>
        </w:rPr>
      </w:pPr>
    </w:p>
    <w:p>
      <w:pPr>
        <w:jc w:val="both"/>
        <w:ind w:right="40" w:firstLine="749"/>
        <w:spacing w:after="0" w:line="239" w:lineRule="auto"/>
        <w:rPr>
          <w:sz w:val="20"/>
          <w:szCs w:val="20"/>
          <w:color w:val="auto"/>
        </w:rPr>
      </w:pPr>
      <w:r>
        <w:rPr>
          <w:rFonts w:ascii="Arial" w:cs="Arial" w:eastAsia="Arial" w:hAnsi="Arial"/>
          <w:sz w:val="22"/>
          <w:szCs w:val="22"/>
          <w:color w:val="auto"/>
        </w:rPr>
        <w:t xml:space="preserve">This Amendment (this </w:t>
      </w:r>
      <w:r>
        <w:rPr>
          <w:rFonts w:ascii="Arial" w:cs="Arial" w:eastAsia="Arial" w:hAnsi="Arial"/>
          <w:sz w:val="22"/>
          <w:szCs w:val="22"/>
          <w:b w:val="1"/>
          <w:bCs w:val="1"/>
          <w:color w:val="auto"/>
        </w:rPr>
        <w:t>“Amendment”</w:t>
      </w:r>
      <w:r>
        <w:rPr>
          <w:rFonts w:ascii="Arial" w:cs="Arial" w:eastAsia="Arial" w:hAnsi="Arial"/>
          <w:sz w:val="22"/>
          <w:szCs w:val="22"/>
          <w:color w:val="auto"/>
        </w:rPr>
        <w:t>) is effective as of the date signed by the last party to sign below (the “</w:t>
      </w:r>
      <w:r>
        <w:rPr>
          <w:rFonts w:ascii="Arial" w:cs="Arial" w:eastAsia="Arial" w:hAnsi="Arial"/>
          <w:sz w:val="22"/>
          <w:szCs w:val="22"/>
          <w:b w:val="1"/>
          <w:bCs w:val="1"/>
          <w:color w:val="auto"/>
        </w:rPr>
        <w:t>Amendment Effective Date”</w:t>
      </w:r>
      <w:r>
        <w:rPr>
          <w:rFonts w:ascii="Arial" w:cs="Arial" w:eastAsia="Arial" w:hAnsi="Arial"/>
          <w:sz w:val="22"/>
          <w:szCs w:val="22"/>
          <w:color w:val="auto"/>
        </w:rPr>
        <w:t xml:space="preserve">) and is made and entered into by and among </w:t>
      </w:r>
      <w:r>
        <w:rPr>
          <w:rFonts w:ascii="Arial" w:cs="Arial" w:eastAsia="Arial" w:hAnsi="Arial"/>
          <w:sz w:val="22"/>
          <w:szCs w:val="22"/>
          <w:b w:val="1"/>
          <w:bCs w:val="1"/>
          <w:color w:val="auto"/>
        </w:rPr>
        <w:t>Fulcrum Therapeutics, Inc.</w:t>
      </w:r>
      <w:r>
        <w:rPr>
          <w:rFonts w:ascii="Arial" w:cs="Arial" w:eastAsia="Arial" w:hAnsi="Arial"/>
          <w:sz w:val="22"/>
          <w:szCs w:val="22"/>
          <w:color w:val="auto"/>
        </w:rPr>
        <w:t xml:space="preserve"> (“</w:t>
      </w:r>
      <w:r>
        <w:rPr>
          <w:rFonts w:ascii="Arial" w:cs="Arial" w:eastAsia="Arial" w:hAnsi="Arial"/>
          <w:sz w:val="22"/>
          <w:szCs w:val="22"/>
          <w:b w:val="1"/>
          <w:bCs w:val="1"/>
          <w:color w:val="auto"/>
        </w:rPr>
        <w:t>Fulcrum</w:t>
      </w:r>
      <w:r>
        <w:rPr>
          <w:rFonts w:ascii="Arial" w:cs="Arial" w:eastAsia="Arial" w:hAnsi="Arial"/>
          <w:sz w:val="22"/>
          <w:szCs w:val="22"/>
          <w:color w:val="auto"/>
        </w:rPr>
        <w:t xml:space="preserve">”) and </w:t>
      </w:r>
      <w:r>
        <w:rPr>
          <w:rFonts w:ascii="Arial" w:cs="Arial" w:eastAsia="Arial" w:hAnsi="Arial"/>
          <w:sz w:val="22"/>
          <w:szCs w:val="22"/>
          <w:b w:val="1"/>
          <w:bCs w:val="1"/>
          <w:color w:val="auto"/>
        </w:rPr>
        <w:t xml:space="preserve">MyoKardia, Inc. </w:t>
      </w:r>
      <w:r>
        <w:rPr>
          <w:rFonts w:ascii="Arial" w:cs="Arial" w:eastAsia="Arial" w:hAnsi="Arial"/>
          <w:sz w:val="22"/>
          <w:szCs w:val="22"/>
          <w:color w:val="auto"/>
        </w:rPr>
        <w:t>(</w:t>
      </w:r>
      <w:r>
        <w:rPr>
          <w:rFonts w:ascii="Arial" w:cs="Arial" w:eastAsia="Arial" w:hAnsi="Arial"/>
          <w:sz w:val="22"/>
          <w:szCs w:val="22"/>
          <w:b w:val="1"/>
          <w:bCs w:val="1"/>
          <w:color w:val="auto"/>
        </w:rPr>
        <w:t>“MyoKardia”</w:t>
      </w:r>
      <w:r>
        <w:rPr>
          <w:rFonts w:ascii="Arial" w:cs="Arial" w:eastAsia="Arial" w:hAnsi="Arial"/>
          <w:sz w:val="22"/>
          <w:szCs w:val="22"/>
          <w:color w:val="auto"/>
        </w:rPr>
        <w:t>). Fulcrum and MyoKardia may each be referred to herein as a “</w:t>
      </w:r>
      <w:r>
        <w:rPr>
          <w:rFonts w:ascii="Arial" w:cs="Arial" w:eastAsia="Arial" w:hAnsi="Arial"/>
          <w:sz w:val="22"/>
          <w:szCs w:val="22"/>
          <w:b w:val="1"/>
          <w:bCs w:val="1"/>
          <w:color w:val="auto"/>
        </w:rPr>
        <w:t>Party</w:t>
      </w:r>
      <w:r>
        <w:rPr>
          <w:rFonts w:ascii="Arial" w:cs="Arial" w:eastAsia="Arial" w:hAnsi="Arial"/>
          <w:sz w:val="22"/>
          <w:szCs w:val="22"/>
          <w:color w:val="auto"/>
        </w:rPr>
        <w:t>” or collectively as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46" w:lineRule="exact"/>
        <w:rPr>
          <w:sz w:val="20"/>
          <w:szCs w:val="20"/>
          <w:color w:val="auto"/>
        </w:rPr>
      </w:pPr>
    </w:p>
    <w:p>
      <w:pPr>
        <w:jc w:val="both"/>
        <w:ind w:right="40" w:firstLine="749"/>
        <w:spacing w:after="0" w:line="250" w:lineRule="auto"/>
        <w:rPr>
          <w:sz w:val="20"/>
          <w:szCs w:val="20"/>
          <w:color w:val="auto"/>
        </w:rPr>
      </w:pPr>
      <w:r>
        <w:rPr>
          <w:rFonts w:ascii="Arial" w:cs="Arial" w:eastAsia="Arial" w:hAnsi="Arial"/>
          <w:sz w:val="22"/>
          <w:szCs w:val="22"/>
          <w:color w:val="auto"/>
        </w:rPr>
        <w:t xml:space="preserve">WHEREAS, Fulcrum and MyoKardia entered into a Collaboration Agreement and License Agreement having an effective date of July 20, 2020 (the </w:t>
      </w:r>
      <w:r>
        <w:rPr>
          <w:rFonts w:ascii="Arial" w:cs="Arial" w:eastAsia="Arial" w:hAnsi="Arial"/>
          <w:sz w:val="22"/>
          <w:szCs w:val="22"/>
          <w:b w:val="1"/>
          <w:bCs w:val="1"/>
          <w:color w:val="auto"/>
        </w:rPr>
        <w:t>“Agreement”</w:t>
      </w:r>
      <w:r>
        <w:rPr>
          <w:rFonts w:ascii="Arial" w:cs="Arial" w:eastAsia="Arial" w:hAnsi="Arial"/>
          <w:sz w:val="22"/>
          <w:szCs w:val="22"/>
          <w:color w:val="auto"/>
        </w:rPr>
        <w:t>); and</w:t>
      </w:r>
    </w:p>
    <w:p>
      <w:pPr>
        <w:spacing w:after="0" w:line="148" w:lineRule="exact"/>
        <w:rPr>
          <w:sz w:val="20"/>
          <w:szCs w:val="20"/>
          <w:color w:val="auto"/>
        </w:rPr>
      </w:pPr>
    </w:p>
    <w:p>
      <w:pPr>
        <w:ind w:right="540" w:firstLine="391"/>
        <w:spacing w:after="0" w:line="276" w:lineRule="auto"/>
        <w:rPr>
          <w:sz w:val="20"/>
          <w:szCs w:val="20"/>
          <w:color w:val="auto"/>
        </w:rPr>
      </w:pPr>
      <w:r>
        <w:rPr>
          <w:rFonts w:ascii="Arial" w:cs="Arial" w:eastAsia="Arial" w:hAnsi="Arial"/>
          <w:sz w:val="22"/>
          <w:szCs w:val="22"/>
          <w:color w:val="auto"/>
        </w:rPr>
        <w:t>WHEREAS, Fulcrum and MyoKardia want to amend the Agreement to increase the Research Budget and to amend the Research Plan to allow for additional work to be done by Fulcrum under the Research Plan.</w:t>
      </w:r>
    </w:p>
    <w:p>
      <w:pPr>
        <w:spacing w:after="0" w:line="101" w:lineRule="exact"/>
        <w:rPr>
          <w:sz w:val="20"/>
          <w:szCs w:val="20"/>
          <w:color w:val="auto"/>
        </w:rPr>
      </w:pPr>
    </w:p>
    <w:p>
      <w:pPr>
        <w:ind w:left="20" w:firstLine="749"/>
        <w:spacing w:after="0" w:line="334" w:lineRule="auto"/>
        <w:rPr>
          <w:sz w:val="20"/>
          <w:szCs w:val="20"/>
          <w:color w:val="auto"/>
        </w:rPr>
      </w:pPr>
      <w:r>
        <w:rPr>
          <w:rFonts w:ascii="Arial" w:cs="Arial" w:eastAsia="Arial" w:hAnsi="Arial"/>
          <w:sz w:val="19"/>
          <w:szCs w:val="19"/>
          <w:b w:val="1"/>
          <w:bCs w:val="1"/>
          <w:color w:val="auto"/>
        </w:rPr>
        <w:t xml:space="preserve">NOW, THEREFORE, </w:t>
      </w:r>
      <w:r>
        <w:rPr>
          <w:rFonts w:ascii="Arial" w:cs="Arial" w:eastAsia="Arial" w:hAnsi="Arial"/>
          <w:sz w:val="19"/>
          <w:szCs w:val="19"/>
          <w:color w:val="auto"/>
        </w:rPr>
        <w:t>in consideration of the foregoing premises and for good and valuable consideration, the receipt</w:t>
      </w:r>
      <w:r>
        <w:rPr>
          <w:rFonts w:ascii="Arial" w:cs="Arial" w:eastAsia="Arial" w:hAnsi="Arial"/>
          <w:sz w:val="19"/>
          <w:szCs w:val="19"/>
          <w:b w:val="1"/>
          <w:bCs w:val="1"/>
          <w:color w:val="auto"/>
        </w:rPr>
        <w:t xml:space="preserve"> </w:t>
      </w:r>
      <w:r>
        <w:rPr>
          <w:rFonts w:ascii="Arial" w:cs="Arial" w:eastAsia="Arial" w:hAnsi="Arial"/>
          <w:sz w:val="19"/>
          <w:szCs w:val="19"/>
          <w:color w:val="auto"/>
        </w:rPr>
        <w:t>and sufficiency of which are hereby acknowledged, the Parties, intending to be legally bound, hereby agree as follows:</w:t>
      </w:r>
    </w:p>
    <w:p>
      <w:pPr>
        <w:spacing w:after="0" w:line="100" w:lineRule="exact"/>
        <w:rPr>
          <w:sz w:val="20"/>
          <w:szCs w:val="20"/>
          <w:color w:val="auto"/>
        </w:rPr>
      </w:pPr>
    </w:p>
    <w:p>
      <w:pPr>
        <w:ind w:left="20" w:hanging="12"/>
        <w:spacing w:after="0" w:line="250" w:lineRule="auto"/>
        <w:tabs>
          <w:tab w:leader="none" w:pos="487" w:val="left"/>
        </w:tabs>
        <w:numPr>
          <w:ilvl w:val="0"/>
          <w:numId w:val="49"/>
        </w:numPr>
        <w:rPr>
          <w:rFonts w:ascii="Arial" w:cs="Arial" w:eastAsia="Arial" w:hAnsi="Arial"/>
          <w:sz w:val="22"/>
          <w:szCs w:val="22"/>
          <w:color w:val="auto"/>
        </w:rPr>
      </w:pPr>
      <w:r>
        <w:rPr>
          <w:rFonts w:ascii="Arial" w:cs="Arial" w:eastAsia="Arial" w:hAnsi="Arial"/>
          <w:sz w:val="22"/>
          <w:szCs w:val="22"/>
          <w:color w:val="auto"/>
        </w:rPr>
        <w:t>The terms in this Amendment with initial letters capitalized, whether used in the singular or the plural, shall have the meaning set forth herein, or if not defined herein, as set forth in the Agreement.</w:t>
      </w:r>
    </w:p>
    <w:p>
      <w:pPr>
        <w:spacing w:after="0" w:line="161" w:lineRule="exact"/>
        <w:rPr>
          <w:rFonts w:ascii="Arial" w:cs="Arial" w:eastAsia="Arial" w:hAnsi="Arial"/>
          <w:sz w:val="22"/>
          <w:szCs w:val="22"/>
          <w:color w:val="auto"/>
        </w:rPr>
      </w:pPr>
    </w:p>
    <w:p>
      <w:pPr>
        <w:ind w:left="460" w:hanging="452"/>
        <w:spacing w:after="0"/>
        <w:tabs>
          <w:tab w:leader="none" w:pos="460" w:val="left"/>
        </w:tabs>
        <w:numPr>
          <w:ilvl w:val="0"/>
          <w:numId w:val="49"/>
        </w:numPr>
        <w:rPr>
          <w:rFonts w:ascii="Arial" w:cs="Arial" w:eastAsia="Arial" w:hAnsi="Arial"/>
          <w:sz w:val="22"/>
          <w:szCs w:val="22"/>
          <w:color w:val="auto"/>
        </w:rPr>
      </w:pPr>
      <w:r>
        <w:rPr>
          <w:rFonts w:ascii="Arial" w:cs="Arial" w:eastAsia="Arial" w:hAnsi="Arial"/>
          <w:sz w:val="22"/>
          <w:szCs w:val="22"/>
          <w:color w:val="auto"/>
        </w:rPr>
        <w:t>Section 1.157 of the Agreement is hereby deleted in its entirety and replace with the following:</w:t>
      </w:r>
    </w:p>
    <w:p>
      <w:pPr>
        <w:spacing w:after="0" w:line="193" w:lineRule="exact"/>
        <w:rPr>
          <w:sz w:val="20"/>
          <w:szCs w:val="20"/>
          <w:color w:val="auto"/>
        </w:rPr>
      </w:pPr>
    </w:p>
    <w:p>
      <w:pPr>
        <w:ind w:left="760" w:firstLine="749"/>
        <w:spacing w:after="0" w:line="274" w:lineRule="auto"/>
        <w:rPr>
          <w:sz w:val="20"/>
          <w:szCs w:val="20"/>
          <w:color w:val="auto"/>
        </w:rPr>
      </w:pPr>
      <w:r>
        <w:rPr>
          <w:rFonts w:ascii="Arial" w:cs="Arial" w:eastAsia="Arial" w:hAnsi="Arial"/>
          <w:sz w:val="21"/>
          <w:szCs w:val="21"/>
          <w:color w:val="auto"/>
        </w:rPr>
        <w:t>“1.157 “Research Budget” means [</w:t>
      </w:r>
      <w:r>
        <w:rPr>
          <w:rFonts w:ascii="Arial" w:cs="Arial" w:eastAsia="Arial" w:hAnsi="Arial"/>
          <w:sz w:val="16"/>
          <w:szCs w:val="16"/>
          <w:color w:val="auto"/>
        </w:rPr>
        <w:t>***</w:t>
      </w:r>
      <w:r>
        <w:rPr>
          <w:rFonts w:ascii="Arial" w:cs="Arial" w:eastAsia="Arial" w:hAnsi="Arial"/>
          <w:sz w:val="21"/>
          <w:szCs w:val="21"/>
          <w:color w:val="auto"/>
        </w:rPr>
        <w:t>], with reasonable, documented overages capped at [</w:t>
      </w:r>
      <w:r>
        <w:rPr>
          <w:rFonts w:ascii="Arial" w:cs="Arial" w:eastAsia="Arial" w:hAnsi="Arial"/>
          <w:sz w:val="16"/>
          <w:szCs w:val="16"/>
          <w:color w:val="auto"/>
        </w:rPr>
        <w:t>***</w:t>
      </w:r>
      <w:r>
        <w:rPr>
          <w:rFonts w:ascii="Arial" w:cs="Arial" w:eastAsia="Arial" w:hAnsi="Arial"/>
          <w:sz w:val="21"/>
          <w:szCs w:val="21"/>
          <w:color w:val="auto"/>
        </w:rPr>
        <w:t>], as such amount may be increased in connection with any amendment to the Research Plan approved by the JSC.”</w:t>
      </w:r>
    </w:p>
    <w:p>
      <w:pPr>
        <w:spacing w:after="0" w:line="137"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following sentence is added to the end of Section 3.8 (Research Funding):</w:t>
      </w:r>
    </w:p>
    <w:p>
      <w:pPr>
        <w:spacing w:after="0" w:line="193" w:lineRule="exact"/>
        <w:rPr>
          <w:sz w:val="20"/>
          <w:szCs w:val="20"/>
          <w:color w:val="auto"/>
        </w:rPr>
      </w:pPr>
    </w:p>
    <w:p>
      <w:pPr>
        <w:jc w:val="both"/>
        <w:ind w:left="760"/>
        <w:spacing w:after="0" w:line="236" w:lineRule="auto"/>
        <w:rPr>
          <w:sz w:val="20"/>
          <w:szCs w:val="20"/>
          <w:color w:val="auto"/>
        </w:rPr>
      </w:pPr>
      <w:r>
        <w:rPr>
          <w:rFonts w:ascii="Arial" w:cs="Arial" w:eastAsia="Arial" w:hAnsi="Arial"/>
          <w:sz w:val="22"/>
          <w:szCs w:val="22"/>
          <w:color w:val="auto"/>
        </w:rPr>
        <w:t>“Notwithstanding the foregoing in this Section 3.8 or anything else to the contrary in this Agreement, for each of the second, third and fourth Calendar Quarters of 2023, the Covered Research Expenses incurred by Fulcrum in such Calendar Quarter that MyoKardia will reimburse Fulcrum for shall not exceed [</w:t>
      </w:r>
      <w:r>
        <w:rPr>
          <w:rFonts w:ascii="Arial" w:cs="Arial" w:eastAsia="Arial" w:hAnsi="Arial"/>
          <w:sz w:val="17"/>
          <w:szCs w:val="17"/>
          <w:color w:val="auto"/>
        </w:rPr>
        <w:t>***</w:t>
      </w:r>
      <w:r>
        <w:rPr>
          <w:rFonts w:ascii="Arial" w:cs="Arial" w:eastAsia="Arial" w:hAnsi="Arial"/>
          <w:sz w:val="22"/>
          <w:szCs w:val="22"/>
          <w:color w:val="auto"/>
        </w:rPr>
        <w:t>] and the total Covered Research Expenses reimbursed under this Agreement shall not exceed [</w:t>
      </w:r>
      <w:r>
        <w:rPr>
          <w:rFonts w:ascii="Arial" w:cs="Arial" w:eastAsia="Arial" w:hAnsi="Arial"/>
          <w:sz w:val="17"/>
          <w:szCs w:val="17"/>
          <w:color w:val="auto"/>
        </w:rPr>
        <w:t>***</w:t>
      </w:r>
      <w:r>
        <w:rPr>
          <w:rFonts w:ascii="Arial" w:cs="Arial" w:eastAsia="Arial" w:hAnsi="Arial"/>
          <w:sz w:val="22"/>
          <w:szCs w:val="22"/>
          <w:color w:val="auto"/>
        </w:rPr>
        <w:t>] unless this Agreement is amended by the Parties in writing to increase such amount.”</w:t>
      </w:r>
    </w:p>
    <w:p>
      <w:pPr>
        <w:spacing w:after="0" w:line="174" w:lineRule="exact"/>
        <w:rPr>
          <w:sz w:val="20"/>
          <w:szCs w:val="20"/>
          <w:color w:val="auto"/>
        </w:rPr>
      </w:pPr>
    </w:p>
    <w:p>
      <w:pPr>
        <w:ind w:left="20" w:hanging="12"/>
        <w:spacing w:after="0" w:line="250" w:lineRule="auto"/>
        <w:tabs>
          <w:tab w:leader="none" w:pos="463" w:val="left"/>
        </w:tabs>
        <w:numPr>
          <w:ilvl w:val="0"/>
          <w:numId w:val="51"/>
        </w:numPr>
        <w:rPr>
          <w:rFonts w:ascii="Arial" w:cs="Arial" w:eastAsia="Arial" w:hAnsi="Arial"/>
          <w:sz w:val="22"/>
          <w:szCs w:val="22"/>
          <w:color w:val="auto"/>
        </w:rPr>
      </w:pPr>
      <w:r>
        <w:rPr>
          <w:rFonts w:ascii="Arial" w:cs="Arial" w:eastAsia="Arial" w:hAnsi="Arial"/>
          <w:sz w:val="22"/>
          <w:szCs w:val="22"/>
          <w:color w:val="auto"/>
        </w:rPr>
        <w:t>Schedule 3.1 (Research Plan) of the Agreement is hereby amended to add the following Research Activities to the Research Plan:</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ind w:left="440" w:hanging="432"/>
        <w:spacing w:after="0"/>
        <w:tabs>
          <w:tab w:leader="none" w:pos="4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Except as expressly set forth herein, all provisions of the Agreement shall remain unchanged and in full force and effect.</w:t>
      </w:r>
    </w:p>
    <w:p>
      <w:pPr>
        <w:spacing w:after="0" w:line="227" w:lineRule="exact"/>
        <w:rPr>
          <w:rFonts w:ascii="Arial" w:cs="Arial" w:eastAsia="Arial" w:hAnsi="Arial"/>
          <w:sz w:val="19"/>
          <w:szCs w:val="19"/>
          <w:color w:val="auto"/>
        </w:rPr>
      </w:pPr>
    </w:p>
    <w:p>
      <w:pPr>
        <w:ind w:left="20" w:hanging="12"/>
        <w:spacing w:after="0" w:line="250" w:lineRule="auto"/>
        <w:tabs>
          <w:tab w:leader="none" w:pos="477"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This Amendment will be governed by and interpreted in accordance with the substantive laws of the State of Delaware, without regard to conflict of law principles thereof.</w:t>
      </w:r>
    </w:p>
    <w:p>
      <w:pPr>
        <w:spacing w:after="0" w:line="161" w:lineRule="exact"/>
        <w:rPr>
          <w:rFonts w:ascii="Arial" w:cs="Arial" w:eastAsia="Arial" w:hAnsi="Arial"/>
          <w:sz w:val="22"/>
          <w:szCs w:val="22"/>
          <w:color w:val="auto"/>
        </w:rPr>
      </w:pPr>
    </w:p>
    <w:p>
      <w:pPr>
        <w:jc w:val="both"/>
        <w:ind w:left="20" w:hanging="12"/>
        <w:spacing w:after="0" w:line="236" w:lineRule="auto"/>
        <w:tabs>
          <w:tab w:leader="none" w:pos="470"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This Amendment may be executed in two (2) or more counterparts, each of which shall be deemed an original, but all of which together shall constitute one (1) and the same instrument. This Amendment may be executed by facsimile or electronic (e.g., .pdf) signatures and such signatures shall be deemed to bind each party hereto as if they were original signatures. Any executed counterpart of this Amendment may be delivered by fax machine or by email of scanned or pdf copies of such executed counterpart.</w:t>
      </w:r>
    </w:p>
    <w:p>
      <w:pPr>
        <w:spacing w:after="0" w:line="168" w:lineRule="exact"/>
        <w:rPr>
          <w:sz w:val="20"/>
          <w:szCs w:val="20"/>
          <w:color w:val="auto"/>
        </w:rPr>
      </w:pPr>
    </w:p>
    <w:p>
      <w:pPr>
        <w:ind w:firstLine="747"/>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Amendment to be executed by their duly authorized</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representatives on the date(s) set forth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40" w:type="dxa"/>
            <w:vAlign w:val="bottom"/>
            <w:gridSpan w:val="5"/>
          </w:tcPr>
          <w:p>
            <w:pPr>
              <w:spacing w:after="0"/>
              <w:rPr>
                <w:sz w:val="20"/>
                <w:szCs w:val="20"/>
                <w:color w:val="auto"/>
              </w:rPr>
            </w:pPr>
            <w:r>
              <w:rPr>
                <w:rFonts w:ascii="Arial" w:cs="Arial" w:eastAsia="Arial" w:hAnsi="Arial"/>
                <w:sz w:val="22"/>
                <w:szCs w:val="22"/>
                <w:b w:val="1"/>
                <w:bCs w:val="1"/>
                <w:color w:val="auto"/>
              </w:rPr>
              <w:t>MYOKARDIA, INC.</w:t>
            </w:r>
          </w:p>
        </w:tc>
        <w:tc>
          <w:tcPr>
            <w:tcW w:w="7400" w:type="dxa"/>
            <w:vAlign w:val="bottom"/>
          </w:tcPr>
          <w:p>
            <w:pPr>
              <w:ind w:left="620"/>
              <w:spacing w:after="0"/>
              <w:rPr>
                <w:sz w:val="20"/>
                <w:szCs w:val="20"/>
                <w:color w:val="auto"/>
              </w:rPr>
            </w:pPr>
            <w:r>
              <w:rPr>
                <w:rFonts w:ascii="Arial" w:cs="Arial" w:eastAsia="Arial" w:hAnsi="Arial"/>
                <w:sz w:val="22"/>
                <w:szCs w:val="22"/>
                <w:b w:val="1"/>
                <w:bCs w:val="1"/>
                <w:color w:val="auto"/>
              </w:rPr>
              <w:t>FULCRUM THERAPEUTICS, INC.</w:t>
            </w:r>
          </w:p>
        </w:tc>
      </w:tr>
      <w:tr>
        <w:trPr>
          <w:trHeight w:val="435"/>
        </w:trPr>
        <w:tc>
          <w:tcPr>
            <w:tcW w:w="380" w:type="dxa"/>
            <w:vAlign w:val="bottom"/>
          </w:tcPr>
          <w:p>
            <w:pPr>
              <w:spacing w:after="0"/>
              <w:rPr>
                <w:sz w:val="20"/>
                <w:szCs w:val="20"/>
                <w:color w:val="auto"/>
              </w:rPr>
            </w:pPr>
            <w:r>
              <w:rPr>
                <w:rFonts w:ascii="Arial" w:cs="Arial" w:eastAsia="Arial" w:hAnsi="Arial"/>
                <w:sz w:val="22"/>
                <w:szCs w:val="22"/>
                <w:color w:val="auto"/>
              </w:rPr>
              <w:t>By:</w:t>
            </w:r>
          </w:p>
        </w:tc>
        <w:tc>
          <w:tcPr>
            <w:tcW w:w="3460" w:type="dxa"/>
            <w:vAlign w:val="bottom"/>
            <w:tcBorders>
              <w:bottom w:val="single" w:sz="8" w:color="auto"/>
            </w:tcBorders>
            <w:gridSpan w:val="4"/>
          </w:tcPr>
          <w:p>
            <w:pPr>
              <w:spacing w:after="0"/>
              <w:rPr>
                <w:sz w:val="24"/>
                <w:szCs w:val="24"/>
                <w:color w:val="auto"/>
              </w:rPr>
            </w:pPr>
          </w:p>
        </w:tc>
        <w:tc>
          <w:tcPr>
            <w:tcW w:w="7400" w:type="dxa"/>
            <w:vAlign w:val="bottom"/>
          </w:tcPr>
          <w:p>
            <w:pPr>
              <w:ind w:left="580"/>
              <w:spacing w:after="0"/>
              <w:rPr>
                <w:sz w:val="20"/>
                <w:szCs w:val="20"/>
                <w:color w:val="auto"/>
              </w:rPr>
            </w:pPr>
            <w:r>
              <w:rPr>
                <w:rFonts w:ascii="Arial" w:cs="Arial" w:eastAsia="Arial" w:hAnsi="Arial"/>
                <w:sz w:val="22"/>
                <w:szCs w:val="22"/>
                <w:color w:val="auto"/>
              </w:rPr>
              <w:t>By:</w:t>
            </w:r>
          </w:p>
        </w:tc>
      </w:tr>
      <w:tr>
        <w:trPr>
          <w:trHeight w:val="223"/>
        </w:trPr>
        <w:tc>
          <w:tcPr>
            <w:tcW w:w="640" w:type="dxa"/>
            <w:vAlign w:val="bottom"/>
            <w:gridSpan w:val="3"/>
          </w:tcPr>
          <w:p>
            <w:pPr>
              <w:spacing w:after="0" w:line="223" w:lineRule="exact"/>
              <w:rPr>
                <w:sz w:val="20"/>
                <w:szCs w:val="20"/>
                <w:color w:val="auto"/>
              </w:rPr>
            </w:pPr>
            <w:r>
              <w:rPr>
                <w:rFonts w:ascii="Arial" w:cs="Arial" w:eastAsia="Arial" w:hAnsi="Arial"/>
                <w:sz w:val="22"/>
                <w:szCs w:val="22"/>
                <w:color w:val="auto"/>
                <w:w w:val="95"/>
              </w:rPr>
              <w:t>Name:</w:t>
            </w:r>
          </w:p>
        </w:tc>
        <w:tc>
          <w:tcPr>
            <w:tcW w:w="3200" w:type="dxa"/>
            <w:vAlign w:val="bottom"/>
            <w:tcBorders>
              <w:bottom w:val="single" w:sz="8" w:color="auto"/>
            </w:tcBorders>
            <w:gridSpan w:val="2"/>
          </w:tcPr>
          <w:p>
            <w:pPr>
              <w:spacing w:after="0"/>
              <w:rPr>
                <w:sz w:val="19"/>
                <w:szCs w:val="19"/>
                <w:color w:val="auto"/>
              </w:rPr>
            </w:pPr>
          </w:p>
        </w:tc>
        <w:tc>
          <w:tcPr>
            <w:tcW w:w="7400" w:type="dxa"/>
            <w:vAlign w:val="bottom"/>
          </w:tcPr>
          <w:p>
            <w:pPr>
              <w:ind w:left="580"/>
              <w:spacing w:after="0" w:line="223" w:lineRule="exact"/>
              <w:rPr>
                <w:sz w:val="20"/>
                <w:szCs w:val="20"/>
                <w:color w:val="auto"/>
              </w:rPr>
            </w:pPr>
            <w:r>
              <w:rPr>
                <w:rFonts w:ascii="Arial" w:cs="Arial" w:eastAsia="Arial" w:hAnsi="Arial"/>
                <w:sz w:val="22"/>
                <w:szCs w:val="22"/>
                <w:color w:val="auto"/>
              </w:rPr>
              <w:t>Name:</w:t>
            </w:r>
          </w:p>
        </w:tc>
      </w:tr>
      <w:tr>
        <w:trPr>
          <w:trHeight w:val="223"/>
        </w:trPr>
        <w:tc>
          <w:tcPr>
            <w:tcW w:w="3840" w:type="dxa"/>
            <w:vAlign w:val="bottom"/>
            <w:gridSpan w:val="5"/>
          </w:tcPr>
          <w:p>
            <w:pPr>
              <w:spacing w:after="0" w:line="223" w:lineRule="exact"/>
              <w:rPr>
                <w:sz w:val="20"/>
                <w:szCs w:val="20"/>
                <w:color w:val="auto"/>
              </w:rPr>
            </w:pPr>
            <w:r>
              <w:rPr>
                <w:rFonts w:ascii="Arial" w:cs="Arial" w:eastAsia="Arial" w:hAnsi="Arial"/>
                <w:sz w:val="22"/>
                <w:szCs w:val="22"/>
                <w:color w:val="auto"/>
              </w:rPr>
              <w:t>Title:</w:t>
            </w:r>
          </w:p>
        </w:tc>
        <w:tc>
          <w:tcPr>
            <w:tcW w:w="7400" w:type="dxa"/>
            <w:vAlign w:val="bottom"/>
          </w:tcPr>
          <w:p>
            <w:pPr>
              <w:ind w:left="560"/>
              <w:spacing w:after="0" w:line="223" w:lineRule="exact"/>
              <w:rPr>
                <w:sz w:val="20"/>
                <w:szCs w:val="20"/>
                <w:color w:val="auto"/>
              </w:rPr>
            </w:pPr>
            <w:r>
              <w:rPr>
                <w:rFonts w:ascii="Arial" w:cs="Arial" w:eastAsia="Arial" w:hAnsi="Arial"/>
                <w:sz w:val="22"/>
                <w:szCs w:val="22"/>
                <w:color w:val="auto"/>
              </w:rPr>
              <w:t>Title:</w:t>
            </w:r>
          </w:p>
        </w:tc>
      </w:tr>
      <w:tr>
        <w:trPr>
          <w:trHeight w:val="20"/>
        </w:trPr>
        <w:tc>
          <w:tcPr>
            <w:tcW w:w="520" w:type="dxa"/>
            <w:vAlign w:val="bottom"/>
            <w:tcBorders>
              <w:right w:val="single" w:sz="8" w:color="auto"/>
            </w:tcBorders>
            <w:gridSpan w:val="2"/>
          </w:tcPr>
          <w:p>
            <w:pPr>
              <w:spacing w:after="0" w:line="20" w:lineRule="exact"/>
              <w:rPr>
                <w:sz w:val="1"/>
                <w:szCs w:val="1"/>
                <w:color w:val="auto"/>
              </w:rPr>
            </w:pPr>
          </w:p>
        </w:tc>
        <w:tc>
          <w:tcPr>
            <w:tcW w:w="33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466"/>
        </w:trPr>
        <w:tc>
          <w:tcPr>
            <w:tcW w:w="3840" w:type="dxa"/>
            <w:vAlign w:val="bottom"/>
            <w:gridSpan w:val="5"/>
          </w:tcPr>
          <w:p>
            <w:pPr>
              <w:spacing w:after="0"/>
              <w:rPr>
                <w:sz w:val="20"/>
                <w:szCs w:val="20"/>
                <w:color w:val="auto"/>
              </w:rPr>
            </w:pPr>
            <w:r>
              <w:rPr>
                <w:rFonts w:ascii="Arial" w:cs="Arial" w:eastAsia="Arial" w:hAnsi="Arial"/>
                <w:sz w:val="22"/>
                <w:szCs w:val="22"/>
                <w:color w:val="auto"/>
              </w:rPr>
              <w:t>Date:</w:t>
            </w:r>
          </w:p>
        </w:tc>
        <w:tc>
          <w:tcPr>
            <w:tcW w:w="7400" w:type="dxa"/>
            <w:vAlign w:val="bottom"/>
          </w:tcPr>
          <w:p>
            <w:pPr>
              <w:ind w:left="640"/>
              <w:spacing w:after="0"/>
              <w:rPr>
                <w:sz w:val="20"/>
                <w:szCs w:val="20"/>
                <w:color w:val="auto"/>
              </w:rPr>
            </w:pPr>
            <w:r>
              <w:rPr>
                <w:rFonts w:ascii="Arial" w:cs="Arial" w:eastAsia="Arial" w:hAnsi="Arial"/>
                <w:sz w:val="22"/>
                <w:szCs w:val="22"/>
                <w:color w:val="auto"/>
              </w:rPr>
              <w:t>Date:</w:t>
            </w:r>
          </w:p>
        </w:tc>
      </w:tr>
      <w:tr>
        <w:trPr>
          <w:trHeight w:val="238"/>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1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400" w:type="dxa"/>
            <w:vAlign w:val="bottom"/>
          </w:tcPr>
          <w:p>
            <w:pPr>
              <w:ind w:left="1740"/>
              <w:spacing w:after="0"/>
              <w:rPr>
                <w:sz w:val="20"/>
                <w:szCs w:val="20"/>
                <w:color w:val="auto"/>
              </w:rPr>
            </w:pPr>
            <w:r>
              <w:rPr>
                <w:rFonts w:ascii="Arial" w:cs="Arial" w:eastAsia="Arial" w:hAnsi="Arial"/>
                <w:sz w:val="19"/>
                <w:szCs w:val="19"/>
                <w:color w:val="auto"/>
              </w:rPr>
              <w:t>2</w:t>
            </w:r>
          </w:p>
        </w:tc>
      </w:tr>
      <w:tr>
        <w:trPr>
          <w:trHeight w:val="329"/>
        </w:trPr>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2" w:name="page83"/>
    <w:bookmarkEnd w:id="8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3" w:name="page84"/>
    <w:bookmarkEnd w:id="83"/>
    <w:p>
      <w:pPr>
        <w:jc w:val="right"/>
        <w:spacing w:after="0"/>
        <w:rPr>
          <w:sz w:val="20"/>
          <w:szCs w:val="20"/>
          <w:color w:val="auto"/>
        </w:rPr>
      </w:pPr>
      <w:r>
        <w:rPr>
          <w:rFonts w:ascii="Arial" w:cs="Arial" w:eastAsia="Arial" w:hAnsi="Arial"/>
          <w:sz w:val="19"/>
          <w:szCs w:val="19"/>
          <w:b w:val="1"/>
          <w:bCs w:val="1"/>
          <w:color w:val="auto"/>
        </w:rPr>
        <w:t>Exhibit 10.2</w:t>
      </w:r>
    </w:p>
    <w:p>
      <w:pPr>
        <w:spacing w:after="0" w:line="12"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FULCRUM THERAPEUTICS, INC.</w:t>
      </w:r>
    </w:p>
    <w:p>
      <w:pPr>
        <w:ind w:left="3420"/>
        <w:spacing w:after="0"/>
        <w:rPr>
          <w:sz w:val="20"/>
          <w:szCs w:val="20"/>
          <w:color w:val="auto"/>
        </w:rPr>
      </w:pPr>
      <w:r>
        <w:rPr>
          <w:rFonts w:ascii="Arial" w:cs="Arial" w:eastAsia="Arial" w:hAnsi="Arial"/>
          <w:sz w:val="22"/>
          <w:szCs w:val="22"/>
          <w:b w:val="1"/>
          <w:bCs w:val="1"/>
          <w:color w:val="auto"/>
        </w:rPr>
        <w:t>EXECUTIVE EMPLOYMENT AGREEMENT</w:t>
      </w:r>
    </w:p>
    <w:p>
      <w:pPr>
        <w:spacing w:after="0" w:line="229" w:lineRule="exact"/>
        <w:rPr>
          <w:sz w:val="20"/>
          <w:szCs w:val="20"/>
          <w:color w:val="auto"/>
        </w:rPr>
      </w:pPr>
    </w:p>
    <w:p>
      <w:pPr>
        <w:jc w:val="both"/>
        <w:ind w:left="120" w:right="280" w:firstLine="747"/>
        <w:spacing w:after="0"/>
        <w:rPr>
          <w:sz w:val="20"/>
          <w:szCs w:val="20"/>
          <w:color w:val="auto"/>
        </w:rPr>
      </w:pPr>
      <w:r>
        <w:rPr>
          <w:rFonts w:ascii="Arial" w:cs="Arial" w:eastAsia="Arial" w:hAnsi="Arial"/>
          <w:sz w:val="22"/>
          <w:szCs w:val="22"/>
          <w:color w:val="auto"/>
        </w:rPr>
        <w:t>THIS EXECUTIVE EMPLOYMENT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is made as of May 12, 2023 (the “</w:t>
      </w:r>
      <w:r>
        <w:rPr>
          <w:rFonts w:ascii="Arial" w:cs="Arial" w:eastAsia="Arial" w:hAnsi="Arial"/>
          <w:sz w:val="22"/>
          <w:szCs w:val="22"/>
          <w:u w:val="single" w:color="auto"/>
          <w:color w:val="auto"/>
        </w:rPr>
        <w:t>Effective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Date</w:t>
      </w:r>
      <w:r>
        <w:rPr>
          <w:rFonts w:ascii="Arial" w:cs="Arial" w:eastAsia="Arial" w:hAnsi="Arial"/>
          <w:sz w:val="22"/>
          <w:szCs w:val="22"/>
          <w:color w:val="auto"/>
        </w:rPr>
        <w:t>”) by and between Fulcrum Therapeutics, Inc. (the “</w:t>
      </w:r>
      <w:r>
        <w:rPr>
          <w:rFonts w:ascii="Arial" w:cs="Arial" w:eastAsia="Arial" w:hAnsi="Arial"/>
          <w:sz w:val="22"/>
          <w:szCs w:val="22"/>
          <w:u w:val="single" w:color="auto"/>
          <w:color w:val="auto"/>
        </w:rPr>
        <w:t>Company</w:t>
      </w:r>
      <w:r>
        <w:rPr>
          <w:rFonts w:ascii="Arial" w:cs="Arial" w:eastAsia="Arial" w:hAnsi="Arial"/>
          <w:sz w:val="22"/>
          <w:szCs w:val="22"/>
          <w:color w:val="auto"/>
        </w:rPr>
        <w:t>”) and Alex Sapir (the “</w:t>
      </w:r>
      <w:r>
        <w:rPr>
          <w:rFonts w:ascii="Arial" w:cs="Arial" w:eastAsia="Arial" w:hAnsi="Arial"/>
          <w:sz w:val="22"/>
          <w:szCs w:val="22"/>
          <w:u w:val="single" w:color="auto"/>
          <w:color w:val="auto"/>
        </w:rPr>
        <w:t>Executive</w:t>
      </w:r>
      <w:r>
        <w:rPr>
          <w:rFonts w:ascii="Arial" w:cs="Arial" w:eastAsia="Arial" w:hAnsi="Arial"/>
          <w:sz w:val="22"/>
          <w:szCs w:val="22"/>
          <w:color w:val="auto"/>
        </w:rPr>
        <w:t>”) (the Company and the Executive each a “</w:t>
      </w:r>
      <w:r>
        <w:rPr>
          <w:rFonts w:ascii="Arial" w:cs="Arial" w:eastAsia="Arial" w:hAnsi="Arial"/>
          <w:sz w:val="22"/>
          <w:szCs w:val="22"/>
          <w:u w:val="single" w:color="auto"/>
          <w:color w:val="auto"/>
        </w:rPr>
        <w:t>Party</w:t>
      </w:r>
      <w:r>
        <w:rPr>
          <w:rFonts w:ascii="Arial" w:cs="Arial" w:eastAsia="Arial" w:hAnsi="Arial"/>
          <w:sz w:val="22"/>
          <w:szCs w:val="22"/>
          <w:color w:val="auto"/>
        </w:rPr>
        <w:t>” and together the “</w:t>
      </w:r>
      <w:r>
        <w:rPr>
          <w:rFonts w:ascii="Arial" w:cs="Arial" w:eastAsia="Arial" w:hAnsi="Arial"/>
          <w:sz w:val="22"/>
          <w:szCs w:val="22"/>
          <w:u w:val="single" w:color="auto"/>
          <w:color w:val="auto"/>
        </w:rPr>
        <w:t>Parties</w:t>
      </w:r>
      <w:r>
        <w:rPr>
          <w:rFonts w:ascii="Arial" w:cs="Arial" w:eastAsia="Arial" w:hAnsi="Arial"/>
          <w:sz w:val="22"/>
          <w:szCs w:val="22"/>
          <w:color w:val="auto"/>
        </w:rPr>
        <w:t>”).</w:t>
      </w:r>
    </w:p>
    <w:p>
      <w:pPr>
        <w:spacing w:after="0" w:line="213"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RECITALS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WHEREAS, the Company desires to employ the Executive as its President and Chief Executive Officer; and</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WHEREAS, the Executive has agreed to accept such employment on the terms and conditions set forth in this Agreement.</w:t>
      </w:r>
    </w:p>
    <w:p>
      <w:pPr>
        <w:spacing w:after="0" w:line="241" w:lineRule="exact"/>
        <w:rPr>
          <w:sz w:val="20"/>
          <w:szCs w:val="20"/>
          <w:color w:val="auto"/>
        </w:rPr>
      </w:pPr>
    </w:p>
    <w:p>
      <w:pPr>
        <w:ind w:right="480"/>
        <w:spacing w:after="0" w:line="250" w:lineRule="auto"/>
        <w:rPr>
          <w:sz w:val="20"/>
          <w:szCs w:val="20"/>
          <w:color w:val="auto"/>
        </w:rPr>
      </w:pPr>
      <w:r>
        <w:rPr>
          <w:rFonts w:ascii="Arial" w:cs="Arial" w:eastAsia="Arial" w:hAnsi="Arial"/>
          <w:sz w:val="22"/>
          <w:szCs w:val="22"/>
          <w:color w:val="auto"/>
        </w:rPr>
        <w:t>NOW, THEREFORE, in consideration of the foregoing and of the respective covenants and agreements of the Parties herein contained, the Parties hereto agree as follows:</w:t>
      </w:r>
    </w:p>
    <w:p>
      <w:pPr>
        <w:spacing w:after="0" w:line="175" w:lineRule="exact"/>
        <w:rPr>
          <w:sz w:val="20"/>
          <w:szCs w:val="20"/>
          <w:color w:val="auto"/>
        </w:rPr>
      </w:pPr>
    </w:p>
    <w:p>
      <w:pPr>
        <w:ind w:left="120" w:right="240" w:firstLine="749"/>
        <w:spacing w:after="0" w:line="245" w:lineRule="auto"/>
        <w:rPr>
          <w:sz w:val="20"/>
          <w:szCs w:val="20"/>
          <w:color w:val="auto"/>
        </w:rPr>
      </w:pPr>
      <w:r>
        <w:rPr>
          <w:rFonts w:ascii="Arial" w:cs="Arial" w:eastAsia="Arial" w:hAnsi="Arial"/>
          <w:sz w:val="21"/>
          <w:szCs w:val="21"/>
          <w:color w:val="auto"/>
        </w:rPr>
        <w:t>1.</w:t>
      </w:r>
      <w:r>
        <w:rPr>
          <w:rFonts w:ascii="Arial" w:cs="Arial" w:eastAsia="Arial" w:hAnsi="Arial"/>
          <w:sz w:val="21"/>
          <w:szCs w:val="21"/>
          <w:i w:val="1"/>
          <w:iCs w:val="1"/>
          <w:color w:val="auto"/>
        </w:rPr>
        <w:t>Start Date; Term of Employment</w:t>
      </w:r>
      <w:r>
        <w:rPr>
          <w:rFonts w:ascii="Arial" w:cs="Arial" w:eastAsia="Arial" w:hAnsi="Arial"/>
          <w:sz w:val="21"/>
          <w:szCs w:val="21"/>
          <w:color w:val="auto"/>
        </w:rPr>
        <w:t>. The Executive’s employment under this Agreement will commence on May 12, 2023 (the “</w:t>
      </w:r>
      <w:r>
        <w:rPr>
          <w:rFonts w:ascii="Arial" w:cs="Arial" w:eastAsia="Arial" w:hAnsi="Arial"/>
          <w:sz w:val="21"/>
          <w:szCs w:val="21"/>
          <w:u w:val="single" w:color="auto"/>
          <w:color w:val="auto"/>
        </w:rPr>
        <w:t>Start Date</w:t>
      </w:r>
      <w:r>
        <w:rPr>
          <w:rFonts w:ascii="Arial" w:cs="Arial" w:eastAsia="Arial" w:hAnsi="Arial"/>
          <w:sz w:val="21"/>
          <w:szCs w:val="21"/>
          <w:color w:val="auto"/>
        </w:rPr>
        <w:t>”) and will continue until terminated by either Party. The effective date of any termination of the Executive’s employment hereunder is hereinafter referred to as the “</w:t>
      </w:r>
      <w:r>
        <w:rPr>
          <w:rFonts w:ascii="Arial" w:cs="Arial" w:eastAsia="Arial" w:hAnsi="Arial"/>
          <w:sz w:val="21"/>
          <w:szCs w:val="21"/>
          <w:u w:val="single" w:color="auto"/>
          <w:color w:val="auto"/>
        </w:rPr>
        <w:t>Termination Date</w:t>
      </w:r>
      <w:r>
        <w:rPr>
          <w:rFonts w:ascii="Arial" w:cs="Arial" w:eastAsia="Arial" w:hAnsi="Arial"/>
          <w:sz w:val="21"/>
          <w:szCs w:val="21"/>
          <w:color w:val="auto"/>
        </w:rPr>
        <w:t>”, and the period of time between the Start Date and the Termination Date is hereinafter referred to as the “</w:t>
      </w:r>
      <w:r>
        <w:rPr>
          <w:rFonts w:ascii="Arial" w:cs="Arial" w:eastAsia="Arial" w:hAnsi="Arial"/>
          <w:sz w:val="21"/>
          <w:szCs w:val="21"/>
          <w:u w:val="single" w:color="auto"/>
          <w:color w:val="auto"/>
        </w:rPr>
        <w:t>Term of Employment</w:t>
      </w:r>
      <w:r>
        <w:rPr>
          <w:rFonts w:ascii="Arial" w:cs="Arial" w:eastAsia="Arial" w:hAnsi="Arial"/>
          <w:sz w:val="21"/>
          <w:szCs w:val="21"/>
          <w:color w:val="auto"/>
        </w:rPr>
        <w:t>”. Effective upon any Termination Date, this Agreement will automatically terminate and will be of no further force or effect, except as otherwise provided in Section 14 hereof, and the Executive shall immediately resign, in writing, from all positions then held by the Executive with the Company and its affiliates, unless otherwise expressly agreed to by the Company and the Executive. For the avoidance of doubt, the Executive’s employment is at-will, and either the Executive or the Company may terminate the Executive’s employment hereunder any time, for any or no reason, without advance notice (except for any notice expressly required under Section 6 below).</w:t>
      </w:r>
    </w:p>
    <w:p>
      <w:pPr>
        <w:spacing w:after="0" w:line="181" w:lineRule="exact"/>
        <w:rPr>
          <w:sz w:val="20"/>
          <w:szCs w:val="20"/>
          <w:color w:val="auto"/>
        </w:rPr>
      </w:pPr>
    </w:p>
    <w:p>
      <w:pPr>
        <w:ind w:left="860"/>
        <w:spacing w:after="0"/>
        <w:rPr>
          <w:sz w:val="20"/>
          <w:szCs w:val="20"/>
          <w:color w:val="auto"/>
        </w:rPr>
      </w:pPr>
      <w:r>
        <w:rPr>
          <w:rFonts w:ascii="Arial" w:cs="Arial" w:eastAsia="Arial" w:hAnsi="Arial"/>
          <w:sz w:val="22"/>
          <w:szCs w:val="22"/>
          <w:color w:val="auto"/>
        </w:rPr>
        <w:t>2.</w:t>
      </w:r>
      <w:r>
        <w:rPr>
          <w:rFonts w:ascii="Arial" w:cs="Arial" w:eastAsia="Arial" w:hAnsi="Arial"/>
          <w:sz w:val="22"/>
          <w:szCs w:val="22"/>
          <w:i w:val="1"/>
          <w:iCs w:val="1"/>
          <w:color w:val="auto"/>
        </w:rPr>
        <w:t>Position; Location.</w:t>
      </w:r>
    </w:p>
    <w:p>
      <w:pPr>
        <w:spacing w:after="0" w:line="233" w:lineRule="exact"/>
        <w:rPr>
          <w:sz w:val="20"/>
          <w:szCs w:val="20"/>
          <w:color w:val="auto"/>
        </w:rPr>
      </w:pPr>
    </w:p>
    <w:p>
      <w:pPr>
        <w:ind w:left="120" w:right="580" w:firstLine="749"/>
        <w:spacing w:after="0" w:line="252" w:lineRule="auto"/>
        <w:rPr>
          <w:sz w:val="20"/>
          <w:szCs w:val="20"/>
          <w:color w:val="auto"/>
        </w:rPr>
      </w:pPr>
      <w:r>
        <w:rPr>
          <w:rFonts w:ascii="Arial" w:cs="Arial" w:eastAsia="Arial" w:hAnsi="Arial"/>
          <w:sz w:val="21"/>
          <w:szCs w:val="21"/>
          <w:color w:val="auto"/>
        </w:rPr>
        <w:t>a.</w:t>
      </w:r>
      <w:r>
        <w:rPr>
          <w:rFonts w:ascii="Arial" w:cs="Arial" w:eastAsia="Arial" w:hAnsi="Arial"/>
          <w:sz w:val="21"/>
          <w:szCs w:val="21"/>
          <w:i w:val="1"/>
          <w:iCs w:val="1"/>
          <w:color w:val="auto"/>
        </w:rPr>
        <w:t>Initial Position as Special Advisor to the Interim Chief Executive Officer.</w:t>
      </w:r>
      <w:r>
        <w:rPr>
          <w:rFonts w:ascii="Arial" w:cs="Arial" w:eastAsia="Arial" w:hAnsi="Arial"/>
          <w:sz w:val="21"/>
          <w:szCs w:val="21"/>
          <w:color w:val="auto"/>
        </w:rPr>
        <w:t xml:space="preserve"> As of the Start Date and continuing to June 30, 2023, at 11:59 pm, Executive shall serve as a Special Advisor (“ </w:t>
      </w:r>
      <w:r>
        <w:rPr>
          <w:rFonts w:ascii="Arial" w:cs="Arial" w:eastAsia="Arial" w:hAnsi="Arial"/>
          <w:sz w:val="21"/>
          <w:szCs w:val="21"/>
          <w:u w:val="single" w:color="auto"/>
          <w:color w:val="auto"/>
        </w:rPr>
        <w:t>Special Advisor</w:t>
      </w:r>
      <w:r>
        <w:rPr>
          <w:rFonts w:ascii="Arial" w:cs="Arial" w:eastAsia="Arial" w:hAnsi="Arial"/>
          <w:sz w:val="21"/>
          <w:szCs w:val="21"/>
          <w:color w:val="auto"/>
        </w:rPr>
        <w:t>”) to the Interim Chief Executive Officer of the Company. As a Special Advisor, Executive shall work on a less than full-time basis and will perform those duties assigned to Executive by the Interim Chief Executive Officer.</w:t>
      </w:r>
    </w:p>
    <w:p>
      <w:pPr>
        <w:spacing w:after="0" w:line="201" w:lineRule="exact"/>
        <w:rPr>
          <w:sz w:val="20"/>
          <w:szCs w:val="20"/>
          <w:color w:val="auto"/>
        </w:rPr>
      </w:pPr>
    </w:p>
    <w:p>
      <w:pPr>
        <w:ind w:left="120" w:right="260" w:firstLine="749"/>
        <w:spacing w:after="0" w:line="282" w:lineRule="auto"/>
        <w:rPr>
          <w:sz w:val="20"/>
          <w:szCs w:val="20"/>
          <w:color w:val="auto"/>
        </w:rPr>
      </w:pPr>
      <w:r>
        <w:rPr>
          <w:rFonts w:ascii="Arial" w:cs="Arial" w:eastAsia="Arial" w:hAnsi="Arial"/>
          <w:sz w:val="19"/>
          <w:szCs w:val="19"/>
          <w:color w:val="auto"/>
        </w:rPr>
        <w:t>b.</w:t>
      </w:r>
      <w:r>
        <w:rPr>
          <w:rFonts w:ascii="Arial" w:cs="Arial" w:eastAsia="Arial" w:hAnsi="Arial"/>
          <w:sz w:val="19"/>
          <w:szCs w:val="19"/>
          <w:i w:val="1"/>
          <w:iCs w:val="1"/>
          <w:color w:val="auto"/>
        </w:rPr>
        <w:t>President and Chief Executive Officer</w:t>
      </w:r>
      <w:r>
        <w:rPr>
          <w:rFonts w:ascii="Arial" w:cs="Arial" w:eastAsia="Arial" w:hAnsi="Arial"/>
          <w:sz w:val="19"/>
          <w:szCs w:val="19"/>
          <w:color w:val="auto"/>
        </w:rPr>
        <w:t>. Beginning on July 1, 2023 (“</w:t>
      </w:r>
      <w:r>
        <w:rPr>
          <w:rFonts w:ascii="Arial" w:cs="Arial" w:eastAsia="Arial" w:hAnsi="Arial"/>
          <w:sz w:val="19"/>
          <w:szCs w:val="19"/>
          <w:u w:val="single" w:color="auto"/>
          <w:color w:val="auto"/>
        </w:rPr>
        <w:t>CEO Start Date</w:t>
      </w:r>
      <w:r>
        <w:rPr>
          <w:rFonts w:ascii="Arial" w:cs="Arial" w:eastAsia="Arial" w:hAnsi="Arial"/>
          <w:sz w:val="19"/>
          <w:szCs w:val="19"/>
          <w:color w:val="auto"/>
        </w:rPr>
        <w:t>”) and continuing for the duration of the Term of Employment, Executive shall serve as the President and Chief Executive Officer of the Company (the “</w:t>
      </w:r>
      <w:r>
        <w:rPr>
          <w:rFonts w:ascii="Arial" w:cs="Arial" w:eastAsia="Arial" w:hAnsi="Arial"/>
          <w:sz w:val="19"/>
          <w:szCs w:val="19"/>
          <w:u w:val="single" w:color="auto"/>
          <w:color w:val="auto"/>
        </w:rPr>
        <w:t>CEO</w:t>
      </w:r>
      <w:r>
        <w:rPr>
          <w:rFonts w:ascii="Arial" w:cs="Arial" w:eastAsia="Arial" w:hAnsi="Arial"/>
          <w:sz w:val="19"/>
          <w:szCs w:val="19"/>
          <w:color w:val="auto"/>
        </w:rPr>
        <w:t>”) and shall serve on the Company’s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subject to the Executive’s reelection thereto from time to time by the Company’s stockholders. The Board agrees that the governance committee will ensure that Executive is nominated to serve on the Board at all times during Executive’s employment as CEO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4" w:name="page85"/>
    <w:bookmarkEnd w:id="84"/>
    <w:p>
      <w:pPr>
        <w:ind w:left="10200"/>
        <w:spacing w:after="0"/>
        <w:rPr>
          <w:sz w:val="20"/>
          <w:szCs w:val="20"/>
          <w:color w:val="auto"/>
        </w:rPr>
      </w:pPr>
      <w:r>
        <w:rPr>
          <w:rFonts w:ascii="Arial" w:cs="Arial" w:eastAsia="Arial" w:hAnsi="Arial"/>
          <w:sz w:val="16"/>
          <w:szCs w:val="16"/>
          <w:b w:val="1"/>
          <w:bCs w:val="1"/>
          <w:color w:val="auto"/>
        </w:rPr>
        <w:t>Exhibit 10.2</w:t>
      </w:r>
    </w:p>
    <w:p>
      <w:pPr>
        <w:spacing w:after="0" w:line="47" w:lineRule="exact"/>
        <w:rPr>
          <w:sz w:val="20"/>
          <w:szCs w:val="20"/>
          <w:color w:val="auto"/>
        </w:rPr>
      </w:pPr>
    </w:p>
    <w:p>
      <w:pPr>
        <w:ind w:right="520" w:firstLine="749"/>
        <w:spacing w:after="0" w:line="233" w:lineRule="auto"/>
        <w:rPr>
          <w:sz w:val="20"/>
          <w:szCs w:val="20"/>
          <w:color w:val="auto"/>
        </w:rPr>
      </w:pPr>
      <w:r>
        <w:rPr>
          <w:rFonts w:ascii="Arial" w:cs="Arial" w:eastAsia="Arial" w:hAnsi="Arial"/>
          <w:sz w:val="22"/>
          <w:szCs w:val="22"/>
          <w:color w:val="auto"/>
        </w:rPr>
        <w:t>c.</w:t>
      </w:r>
      <w:r>
        <w:rPr>
          <w:rFonts w:ascii="Arial" w:cs="Arial" w:eastAsia="Arial" w:hAnsi="Arial"/>
          <w:sz w:val="22"/>
          <w:szCs w:val="22"/>
          <w:i w:val="1"/>
          <w:iCs w:val="1"/>
          <w:color w:val="auto"/>
        </w:rPr>
        <w:t>Location</w:t>
      </w:r>
      <w:r>
        <w:rPr>
          <w:rFonts w:ascii="Arial" w:cs="Arial" w:eastAsia="Arial" w:hAnsi="Arial"/>
          <w:sz w:val="22"/>
          <w:szCs w:val="22"/>
          <w:color w:val="auto"/>
        </w:rPr>
        <w:t>. Executive will spend on average at least approximately 50% of his work time either in the Company’s office in Cambridge, Massachusetts, or in business travel as reasonably required by the Executive’s job duties, and shall otherwise work remotely from Executive’s home office in Executive’s principal state of residence in the State of North Carolina, or such other state; provided that Executive agrees not to relocate outside of the State of North Carolina without prior written notice to the Board.</w:t>
      </w:r>
    </w:p>
    <w:p>
      <w:pPr>
        <w:spacing w:after="0" w:line="185" w:lineRule="exact"/>
        <w:rPr>
          <w:sz w:val="20"/>
          <w:szCs w:val="20"/>
          <w:color w:val="auto"/>
        </w:rPr>
      </w:pPr>
    </w:p>
    <w:p>
      <w:pPr>
        <w:ind w:right="280" w:firstLine="749"/>
        <w:spacing w:after="0" w:line="271" w:lineRule="auto"/>
        <w:rPr>
          <w:sz w:val="20"/>
          <w:szCs w:val="20"/>
          <w:color w:val="auto"/>
        </w:rPr>
      </w:pPr>
      <w:r>
        <w:rPr>
          <w:rFonts w:ascii="Arial" w:cs="Arial" w:eastAsia="Arial" w:hAnsi="Arial"/>
          <w:sz w:val="19"/>
          <w:szCs w:val="19"/>
          <w:color w:val="auto"/>
        </w:rPr>
        <w:t>3.</w:t>
      </w:r>
      <w:r>
        <w:rPr>
          <w:rFonts w:ascii="Arial" w:cs="Arial" w:eastAsia="Arial" w:hAnsi="Arial"/>
          <w:sz w:val="19"/>
          <w:szCs w:val="19"/>
          <w:i w:val="1"/>
          <w:iCs w:val="1"/>
          <w:color w:val="auto"/>
        </w:rPr>
        <w:t>Duties</w:t>
      </w:r>
      <w:r>
        <w:rPr>
          <w:rFonts w:ascii="Arial" w:cs="Arial" w:eastAsia="Arial" w:hAnsi="Arial"/>
          <w:sz w:val="19"/>
          <w:szCs w:val="19"/>
          <w:color w:val="auto"/>
        </w:rPr>
        <w:t>. During the Term of Employment, the Executive shall be responsible for the performance of those duties, and shall have such authorities and responsibilities, as are consistent with the Executive’s positions as Special Advisor and then CEO, as applicable, and such other duties, authorities and responsibilities not inconsistent with the Executive’s positions as may be assigned to the Executive by the Board from time to time. The Executive shall report to the Board and shall perform and discharge faithfully, diligently, and to the best of the Executive’s ability, the Executive’s duties and responsibilities hereunder. Subject to Executive’s part-time employment status prior to the CEO Start Date, the Executive shall devote substantially all of the Executive’s business time, loyalty, attention and efforts to the business and affairs of the Company and its affiliates; provided that the foregoing will not prevent the Executive from serving on the board of directors of one public company unaffiliated with the Company and/or providing academic instruction at an educational institution, so long as the Executive receives the Board’s prior express approval of any such activity, which approval shall not be unreasonably withheld, and such activities do not, individually or in the aggregate, create a potential conflict of interest or otherwise interfere with the Executive’s duties, obligations or restrictions hereunder. The Executive agrees to abide by the rules, regulations, instructions, personnel practices and policies of the Company and any changes therein that may be adopted from time to time by the Company.</w:t>
      </w:r>
    </w:p>
    <w:p>
      <w:pPr>
        <w:spacing w:after="0" w:line="200" w:lineRule="exact"/>
        <w:rPr>
          <w:sz w:val="20"/>
          <w:szCs w:val="20"/>
          <w:color w:val="auto"/>
        </w:rPr>
      </w:pPr>
    </w:p>
    <w:p>
      <w:pPr>
        <w:spacing w:after="0" w:line="211" w:lineRule="exact"/>
        <w:rPr>
          <w:sz w:val="20"/>
          <w:szCs w:val="20"/>
          <w:color w:val="auto"/>
        </w:rPr>
      </w:pPr>
    </w:p>
    <w:p>
      <w:pPr>
        <w:ind w:right="500" w:firstLine="749"/>
        <w:spacing w:after="0" w:line="274" w:lineRule="auto"/>
        <w:rPr>
          <w:sz w:val="20"/>
          <w:szCs w:val="20"/>
          <w:color w:val="auto"/>
        </w:rPr>
      </w:pPr>
      <w:r>
        <w:rPr>
          <w:rFonts w:ascii="Arial" w:cs="Arial" w:eastAsia="Arial" w:hAnsi="Arial"/>
          <w:sz w:val="21"/>
          <w:szCs w:val="21"/>
          <w:color w:val="auto"/>
        </w:rPr>
        <w:t>4.</w:t>
      </w:r>
      <w:r>
        <w:rPr>
          <w:rFonts w:ascii="Arial" w:cs="Arial" w:eastAsia="Arial" w:hAnsi="Arial"/>
          <w:sz w:val="21"/>
          <w:szCs w:val="21"/>
          <w:i w:val="1"/>
          <w:iCs w:val="1"/>
          <w:color w:val="auto"/>
        </w:rPr>
        <w:t>Compensation</w:t>
      </w:r>
      <w:r>
        <w:rPr>
          <w:rFonts w:ascii="Arial" w:cs="Arial" w:eastAsia="Arial" w:hAnsi="Arial"/>
          <w:sz w:val="21"/>
          <w:szCs w:val="21"/>
          <w:color w:val="auto"/>
        </w:rPr>
        <w:t>. As full compensation for all services rendered by the Executive to the Company and any affiliate thereof, during the Term of Employment, the Company will provide to the Executive the following:</w:t>
      </w:r>
    </w:p>
    <w:p>
      <w:pPr>
        <w:spacing w:after="0" w:line="151" w:lineRule="exact"/>
        <w:rPr>
          <w:sz w:val="20"/>
          <w:szCs w:val="20"/>
          <w:color w:val="auto"/>
        </w:rPr>
      </w:pPr>
    </w:p>
    <w:p>
      <w:pPr>
        <w:ind w:right="200" w:firstLine="749"/>
        <w:spacing w:after="0" w:line="277" w:lineRule="auto"/>
        <w:rPr>
          <w:sz w:val="20"/>
          <w:szCs w:val="20"/>
          <w:color w:val="auto"/>
        </w:rPr>
      </w:pPr>
      <w:r>
        <w:rPr>
          <w:rFonts w:ascii="Arial" w:cs="Arial" w:eastAsia="Arial" w:hAnsi="Arial"/>
          <w:sz w:val="19"/>
          <w:szCs w:val="19"/>
          <w:color w:val="auto"/>
        </w:rPr>
        <w:t>(a)</w:t>
      </w:r>
      <w:r>
        <w:rPr>
          <w:rFonts w:ascii="Arial" w:cs="Arial" w:eastAsia="Arial" w:hAnsi="Arial"/>
          <w:sz w:val="19"/>
          <w:szCs w:val="19"/>
          <w:i w:val="1"/>
          <w:iCs w:val="1"/>
          <w:color w:val="auto"/>
        </w:rPr>
        <w:t>Base Salary</w:t>
      </w:r>
      <w:r>
        <w:rPr>
          <w:rFonts w:ascii="Arial" w:cs="Arial" w:eastAsia="Arial" w:hAnsi="Arial"/>
          <w:sz w:val="19"/>
          <w:szCs w:val="19"/>
          <w:color w:val="auto"/>
        </w:rPr>
        <w:t>. Effective as of the CEO Start Date, the Executive shall receive a base salary at the annualized rate of $650,000, less all applicable withholdings and deductions (the “</w:t>
      </w:r>
      <w:r>
        <w:rPr>
          <w:rFonts w:ascii="Arial" w:cs="Arial" w:eastAsia="Arial" w:hAnsi="Arial"/>
          <w:sz w:val="19"/>
          <w:szCs w:val="19"/>
          <w:u w:val="single" w:color="auto"/>
          <w:color w:val="auto"/>
        </w:rPr>
        <w:t>Base Salary</w:t>
      </w:r>
      <w:r>
        <w:rPr>
          <w:rFonts w:ascii="Arial" w:cs="Arial" w:eastAsia="Arial" w:hAnsi="Arial"/>
          <w:sz w:val="19"/>
          <w:szCs w:val="19"/>
          <w:color w:val="auto"/>
        </w:rPr>
        <w:t>”). The Executive’s Base Salary shall be paid in equal installments in accordance with the Company’s regularly established payroll procedures. The Executive’s Base Salary will be reviewed on an annual or more frequent basis by the Board and is subject to change, in the sole and absolute discretion of the Board. Between the Start Date and the CEO Start Date, Executive shall receive a salary at the monthly rate of $27,000, less all applicable withholdings and deductions (“</w:t>
      </w:r>
      <w:r>
        <w:rPr>
          <w:rFonts w:ascii="Arial" w:cs="Arial" w:eastAsia="Arial" w:hAnsi="Arial"/>
          <w:sz w:val="19"/>
          <w:szCs w:val="19"/>
          <w:u w:val="single" w:color="auto"/>
          <w:color w:val="auto"/>
        </w:rPr>
        <w:t>Special Advisor Salary</w:t>
      </w:r>
      <w:r>
        <w:rPr>
          <w:rFonts w:ascii="Arial" w:cs="Arial" w:eastAsia="Arial" w:hAnsi="Arial"/>
          <w:sz w:val="19"/>
          <w:szCs w:val="19"/>
          <w:color w:val="auto"/>
        </w:rPr>
        <w:t>”), which shall be paid in equal installments in accordance with the Company’s regularly established payroll procedures.</w:t>
      </w:r>
    </w:p>
    <w:p>
      <w:pPr>
        <w:spacing w:after="0" w:line="165" w:lineRule="exact"/>
        <w:rPr>
          <w:sz w:val="20"/>
          <w:szCs w:val="20"/>
          <w:color w:val="auto"/>
        </w:rPr>
      </w:pPr>
    </w:p>
    <w:p>
      <w:pPr>
        <w:ind w:right="520" w:firstLine="749"/>
        <w:spacing w:after="0" w:line="277" w:lineRule="auto"/>
        <w:rPr>
          <w:sz w:val="20"/>
          <w:szCs w:val="20"/>
          <w:color w:val="auto"/>
        </w:rPr>
      </w:pPr>
      <w:r>
        <w:rPr>
          <w:rFonts w:ascii="Arial" w:cs="Arial" w:eastAsia="Arial" w:hAnsi="Arial"/>
          <w:sz w:val="19"/>
          <w:szCs w:val="19"/>
          <w:color w:val="auto"/>
        </w:rPr>
        <w:t>(b)</w:t>
      </w:r>
      <w:r>
        <w:rPr>
          <w:rFonts w:ascii="Arial" w:cs="Arial" w:eastAsia="Arial" w:hAnsi="Arial"/>
          <w:sz w:val="19"/>
          <w:szCs w:val="19"/>
          <w:i w:val="1"/>
          <w:iCs w:val="1"/>
          <w:color w:val="auto"/>
        </w:rPr>
        <w:t>Annual Discretionary Bonus</w:t>
      </w:r>
      <w:r>
        <w:rPr>
          <w:rFonts w:ascii="Arial" w:cs="Arial" w:eastAsia="Arial" w:hAnsi="Arial"/>
          <w:sz w:val="19"/>
          <w:szCs w:val="19"/>
          <w:color w:val="auto"/>
        </w:rPr>
        <w:t>. Effective as of the CEO Start Date, for each calendar year during the Term of Employment (prorated for the calendar year which contains the CEO Start Date), the Executive will be eligible to earn an annual discretionary performance bonus (the “</w:t>
      </w:r>
      <w:r>
        <w:rPr>
          <w:rFonts w:ascii="Arial" w:cs="Arial" w:eastAsia="Arial" w:hAnsi="Arial"/>
          <w:sz w:val="19"/>
          <w:szCs w:val="19"/>
          <w:u w:val="single" w:color="auto"/>
          <w:color w:val="auto"/>
        </w:rPr>
        <w:t>Annual Discretionary Bonus</w:t>
      </w:r>
      <w:r>
        <w:rPr>
          <w:rFonts w:ascii="Arial" w:cs="Arial" w:eastAsia="Arial" w:hAnsi="Arial"/>
          <w:sz w:val="19"/>
          <w:szCs w:val="19"/>
          <w:color w:val="auto"/>
        </w:rPr>
        <w:t>”) in an initial amount of up to 50% of the Executive’s Base Salary (the “</w:t>
      </w:r>
      <w:r>
        <w:rPr>
          <w:rFonts w:ascii="Arial" w:cs="Arial" w:eastAsia="Arial" w:hAnsi="Arial"/>
          <w:sz w:val="19"/>
          <w:szCs w:val="19"/>
          <w:u w:val="single" w:color="auto"/>
          <w:color w:val="auto"/>
        </w:rPr>
        <w:t>Target Bonus</w:t>
      </w:r>
      <w:r>
        <w:rPr>
          <w:rFonts w:ascii="Arial" w:cs="Arial" w:eastAsia="Arial" w:hAnsi="Arial"/>
          <w:sz w:val="19"/>
          <w:szCs w:val="19"/>
          <w:color w:val="auto"/>
        </w:rPr>
        <w:t>”), based upon the Board’s assessment of the Executive’s performance and the Company’s attainment of targeted goals as set by the Board, after discussions with and input from Executive. To the extent the Executive’s Base Salary and/or target bonus percentage of Base Salary is changed during the year to which the performance bonus relates, the Target Bonus shall be calculated based on Base Salary actually paid 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28575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21" w:right="339" w:bottom="1440" w:gutter="0" w:footer="0" w:header="0"/>
        </w:sectPr>
      </w:pPr>
    </w:p>
    <w:bookmarkStart w:id="85" w:name="page86"/>
    <w:bookmarkEnd w:id="85"/>
    <w:p>
      <w:pPr>
        <w:ind w:left="10200"/>
        <w:spacing w:after="0"/>
        <w:rPr>
          <w:sz w:val="20"/>
          <w:szCs w:val="20"/>
          <w:color w:val="auto"/>
        </w:rPr>
      </w:pPr>
      <w:r>
        <w:rPr>
          <w:rFonts w:ascii="Arial" w:cs="Arial" w:eastAsia="Arial" w:hAnsi="Arial"/>
          <w:sz w:val="16"/>
          <w:szCs w:val="16"/>
          <w:b w:val="1"/>
          <w:bCs w:val="1"/>
          <w:color w:val="auto"/>
        </w:rPr>
        <w:t>Exhibit 10.2</w:t>
      </w:r>
    </w:p>
    <w:p>
      <w:pPr>
        <w:spacing w:after="0" w:line="47" w:lineRule="exact"/>
        <w:rPr>
          <w:sz w:val="20"/>
          <w:szCs w:val="20"/>
          <w:color w:val="auto"/>
        </w:rPr>
      </w:pPr>
    </w:p>
    <w:p>
      <w:pPr>
        <w:ind w:right="300"/>
        <w:spacing w:after="0" w:line="270" w:lineRule="auto"/>
        <w:rPr>
          <w:sz w:val="20"/>
          <w:szCs w:val="20"/>
          <w:color w:val="auto"/>
        </w:rPr>
      </w:pPr>
      <w:r>
        <w:rPr>
          <w:rFonts w:ascii="Arial" w:cs="Arial" w:eastAsia="Arial" w:hAnsi="Arial"/>
          <w:sz w:val="19"/>
          <w:szCs w:val="19"/>
          <w:color w:val="auto"/>
        </w:rPr>
        <w:t>such year (and not solely on the Executive’s Base Salary at the end of such year) and shall apply the initial target bonus percentage of Base Salary and the revised target bonus percentage of Base Salary based on the portion of the year during which each was in effect. The Board may determine to pay any earned Annual Discretionary Bonus in the form of cash, vested equity award(s), or a combination of cash and equity, in its sole and absolute discretion. Following the close of each calendar year, the Board will determine whether the Executive has achieved an Annual Discretionary Bonus for such year, and the amount of any such Annual Discretionary Bonus, based on the set criteria (which, for the avoidance of doubt, may be less than the Target Bonus). The Annual Discretionary Bonus, if earned, will be paid by no later than March 15 of the calendar year after the year to which it relates. No amount of the Annual Discretionary Bonus is guaranteed, and the Executive must remain employed by the Company in good standing through the date of payment of an Annual Discretionary Bonus in order to earn and receive such bonus, except as may be specifically set forth in Section 7 below. The Executive’s bonus eligibility, and the terms and conditions of the bonus (including the Target Bonus amount), will be reviewed on an annual or more frequent basis by the Board and are subject to change in the discretion of the Board.</w:t>
      </w:r>
    </w:p>
    <w:p>
      <w:pPr>
        <w:spacing w:after="0" w:line="164" w:lineRule="exact"/>
        <w:rPr>
          <w:sz w:val="20"/>
          <w:szCs w:val="20"/>
          <w:color w:val="auto"/>
        </w:rPr>
      </w:pPr>
    </w:p>
    <w:p>
      <w:pPr>
        <w:ind w:right="220" w:firstLine="749"/>
        <w:spacing w:after="0" w:line="271" w:lineRule="auto"/>
        <w:rPr>
          <w:sz w:val="20"/>
          <w:szCs w:val="20"/>
          <w:color w:val="auto"/>
        </w:rPr>
      </w:pPr>
      <w:r>
        <w:rPr>
          <w:rFonts w:ascii="Arial" w:cs="Arial" w:eastAsia="Arial" w:hAnsi="Arial"/>
          <w:sz w:val="19"/>
          <w:szCs w:val="19"/>
          <w:color w:val="auto"/>
        </w:rPr>
        <w:t>(c)</w:t>
      </w:r>
      <w:r>
        <w:rPr>
          <w:rFonts w:ascii="Arial" w:cs="Arial" w:eastAsia="Arial" w:hAnsi="Arial"/>
          <w:sz w:val="19"/>
          <w:szCs w:val="19"/>
          <w:i w:val="1"/>
          <w:iCs w:val="1"/>
          <w:color w:val="auto"/>
        </w:rPr>
        <w:t>Initial Stock Option Award</w:t>
      </w:r>
      <w:r>
        <w:rPr>
          <w:rFonts w:ascii="Arial" w:cs="Arial" w:eastAsia="Arial" w:hAnsi="Arial"/>
          <w:sz w:val="19"/>
          <w:szCs w:val="19"/>
          <w:color w:val="auto"/>
        </w:rPr>
        <w:t>. On the Start Date, the Company will grant to the Executive, subject to the Executive’s continued employment with the Company through the grant date, a one- time award consisting of nonqualified options to purchase 2,430,400 shares of the Company’s common stock (the “</w:t>
      </w:r>
      <w:r>
        <w:rPr>
          <w:rFonts w:ascii="Arial" w:cs="Arial" w:eastAsia="Arial" w:hAnsi="Arial"/>
          <w:sz w:val="19"/>
          <w:szCs w:val="19"/>
          <w:u w:val="single" w:color="auto"/>
          <w:color w:val="auto"/>
        </w:rPr>
        <w:t>Shares</w:t>
      </w:r>
      <w:r>
        <w:rPr>
          <w:rFonts w:ascii="Arial" w:cs="Arial" w:eastAsia="Arial" w:hAnsi="Arial"/>
          <w:sz w:val="19"/>
          <w:szCs w:val="19"/>
          <w:color w:val="auto"/>
        </w:rPr>
        <w:t>”) at a per-Share exercise price equal to the grant date fair market value of one Share (the “</w:t>
      </w:r>
      <w:r>
        <w:rPr>
          <w:rFonts w:ascii="Arial" w:cs="Arial" w:eastAsia="Arial" w:hAnsi="Arial"/>
          <w:sz w:val="19"/>
          <w:szCs w:val="19"/>
          <w:u w:val="single" w:color="auto"/>
          <w:color w:val="auto"/>
        </w:rPr>
        <w:t>Initial Option Award</w:t>
      </w:r>
      <w:r>
        <w:rPr>
          <w:rFonts w:ascii="Arial" w:cs="Arial" w:eastAsia="Arial" w:hAnsi="Arial"/>
          <w:sz w:val="19"/>
          <w:szCs w:val="19"/>
          <w:color w:val="auto"/>
        </w:rPr>
        <w:t>”), subject to all of the terms and conditions of the Company’s incentive equity plan and/or inducement plan, as applicable, an individual stock option award agreement consistent with the terms set forth herein, and any ancillary agreements with the Company that the Executive may be required to enter into as a condition of such grant (collectively, the “</w:t>
      </w:r>
      <w:r>
        <w:rPr>
          <w:rFonts w:ascii="Arial" w:cs="Arial" w:eastAsia="Arial" w:hAnsi="Arial"/>
          <w:sz w:val="19"/>
          <w:szCs w:val="19"/>
          <w:u w:val="single" w:color="auto"/>
          <w:color w:val="auto"/>
        </w:rPr>
        <w:t>Equity Documents</w:t>
      </w:r>
      <w:r>
        <w:rPr>
          <w:rFonts w:ascii="Arial" w:cs="Arial" w:eastAsia="Arial" w:hAnsi="Arial"/>
          <w:sz w:val="19"/>
          <w:szCs w:val="19"/>
          <w:color w:val="auto"/>
        </w:rPr>
        <w:t>”), which will provide, among other things, that the Initial Option Award will: (1) vest and become exercisable over 4 years as follows: (i) as to 25% of the Shares underlying the Initial Option Award on the first anniversary of the Start Date and (ii) as to an additional 6.25% of the Shares underlying the Initial Option Award on the last day of each of the next 12 successive calendar quarters, provided in each case that the Executive remains employed by the Company and in compliance with the Equity Documents through each such vesting date; (2) have an option term of 10 years, and (3) permit a minimum of one year post-separation from service to exercise any portion of the Initial Option Award which is then vested and exercisable (and that has not otherwise become forfeited under the terms of the Equity Documents). Subject to the terms set forth in the preceding sentence and the accelerated vesting provision in Section 7 below, in the event of any conflict between any terms of this Agreement and any terms of the Equity Documents, the terms of the Equity Documents will prevail.</w:t>
      </w:r>
    </w:p>
    <w:p>
      <w:pPr>
        <w:spacing w:after="0" w:line="200" w:lineRule="exact"/>
        <w:rPr>
          <w:sz w:val="20"/>
          <w:szCs w:val="20"/>
          <w:color w:val="auto"/>
        </w:rPr>
      </w:pPr>
    </w:p>
    <w:p>
      <w:pPr>
        <w:spacing w:after="0" w:line="203" w:lineRule="exact"/>
        <w:rPr>
          <w:sz w:val="20"/>
          <w:szCs w:val="20"/>
          <w:color w:val="auto"/>
        </w:rPr>
      </w:pPr>
    </w:p>
    <w:p>
      <w:pPr>
        <w:ind w:right="580" w:firstLine="749"/>
        <w:spacing w:after="0"/>
        <w:rPr>
          <w:sz w:val="20"/>
          <w:szCs w:val="20"/>
          <w:color w:val="auto"/>
        </w:rPr>
      </w:pPr>
      <w:r>
        <w:rPr>
          <w:rFonts w:ascii="Arial" w:cs="Arial" w:eastAsia="Arial" w:hAnsi="Arial"/>
          <w:sz w:val="22"/>
          <w:szCs w:val="22"/>
          <w:color w:val="auto"/>
        </w:rPr>
        <w:t>(d)</w:t>
      </w:r>
      <w:r>
        <w:rPr>
          <w:rFonts w:ascii="Arial" w:cs="Arial" w:eastAsia="Arial" w:hAnsi="Arial"/>
          <w:sz w:val="22"/>
          <w:szCs w:val="22"/>
          <w:i w:val="1"/>
          <w:iCs w:val="1"/>
          <w:color w:val="auto"/>
        </w:rPr>
        <w:t>Additional Discretionary Equity Awards</w:t>
      </w:r>
      <w:r>
        <w:rPr>
          <w:rFonts w:ascii="Arial" w:cs="Arial" w:eastAsia="Arial" w:hAnsi="Arial"/>
          <w:sz w:val="22"/>
          <w:szCs w:val="22"/>
          <w:color w:val="auto"/>
        </w:rPr>
        <w:t>. During the Term of Employment, the Executive will be eligible to receive additional incentive equity awards, if any, at such times and on such terms and conditions as the Board shall, in its sole discretion, determine.</w:t>
      </w:r>
    </w:p>
    <w:p>
      <w:pPr>
        <w:spacing w:after="0" w:line="186" w:lineRule="exact"/>
        <w:rPr>
          <w:sz w:val="20"/>
          <w:szCs w:val="20"/>
          <w:color w:val="auto"/>
        </w:rPr>
      </w:pPr>
    </w:p>
    <w:p>
      <w:pPr>
        <w:ind w:right="880" w:firstLine="749"/>
        <w:spacing w:after="0" w:line="274" w:lineRule="auto"/>
        <w:rPr>
          <w:sz w:val="20"/>
          <w:szCs w:val="20"/>
          <w:color w:val="auto"/>
        </w:rPr>
      </w:pPr>
      <w:r>
        <w:rPr>
          <w:rFonts w:ascii="Arial" w:cs="Arial" w:eastAsia="Arial" w:hAnsi="Arial"/>
          <w:sz w:val="21"/>
          <w:szCs w:val="21"/>
          <w:color w:val="auto"/>
        </w:rPr>
        <w:t>(e)</w:t>
      </w:r>
      <w:r>
        <w:rPr>
          <w:rFonts w:ascii="Arial" w:cs="Arial" w:eastAsia="Arial" w:hAnsi="Arial"/>
          <w:sz w:val="21"/>
          <w:szCs w:val="21"/>
          <w:i w:val="1"/>
          <w:iCs w:val="1"/>
          <w:color w:val="auto"/>
        </w:rPr>
        <w:t>Paid Time Off</w:t>
      </w:r>
      <w:r>
        <w:rPr>
          <w:rFonts w:ascii="Arial" w:cs="Arial" w:eastAsia="Arial" w:hAnsi="Arial"/>
          <w:sz w:val="21"/>
          <w:szCs w:val="21"/>
          <w:color w:val="auto"/>
        </w:rPr>
        <w:t>. During the Term of Employment beginning with the CEO Start Date, the Executive shall be entitled to paid time off, vacation time plus sick time, consistent with the Company’s policies.</w:t>
      </w:r>
    </w:p>
    <w:p>
      <w:pPr>
        <w:spacing w:after="0" w:line="164" w:lineRule="exact"/>
        <w:rPr>
          <w:sz w:val="20"/>
          <w:szCs w:val="20"/>
          <w:color w:val="auto"/>
        </w:rPr>
      </w:pPr>
    </w:p>
    <w:p>
      <w:pPr>
        <w:ind w:right="660" w:firstLine="749"/>
        <w:spacing w:after="0" w:line="250" w:lineRule="auto"/>
        <w:rPr>
          <w:sz w:val="20"/>
          <w:szCs w:val="20"/>
          <w:color w:val="auto"/>
        </w:rPr>
      </w:pPr>
      <w:r>
        <w:rPr>
          <w:rFonts w:ascii="Arial" w:cs="Arial" w:eastAsia="Arial" w:hAnsi="Arial"/>
          <w:sz w:val="22"/>
          <w:szCs w:val="22"/>
          <w:color w:val="auto"/>
        </w:rPr>
        <w:t>(f)</w:t>
      </w:r>
      <w:r>
        <w:rPr>
          <w:rFonts w:ascii="Arial" w:cs="Arial" w:eastAsia="Arial" w:hAnsi="Arial"/>
          <w:sz w:val="22"/>
          <w:szCs w:val="22"/>
          <w:i w:val="1"/>
          <w:iCs w:val="1"/>
          <w:color w:val="auto"/>
        </w:rPr>
        <w:t>Business Expenses</w:t>
      </w:r>
      <w:r>
        <w:rPr>
          <w:rFonts w:ascii="Arial" w:cs="Arial" w:eastAsia="Arial" w:hAnsi="Arial"/>
          <w:sz w:val="22"/>
          <w:szCs w:val="22"/>
          <w:color w:val="auto"/>
        </w:rPr>
        <w:t>. Upon presentation of such substantiation and documentation as the Company may specify from time to time, the Executive will be reimbursed in accordance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43180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21" w:right="339" w:bottom="1440" w:gutter="0" w:footer="0" w:header="0"/>
        </w:sectPr>
      </w:pPr>
    </w:p>
    <w:bookmarkStart w:id="86" w:name="page87"/>
    <w:bookmarkEnd w:id="86"/>
    <w:p>
      <w:pPr>
        <w:ind w:left="10200"/>
        <w:spacing w:after="0"/>
        <w:rPr>
          <w:sz w:val="20"/>
          <w:szCs w:val="20"/>
          <w:color w:val="auto"/>
        </w:rPr>
      </w:pPr>
      <w:r>
        <w:rPr>
          <w:rFonts w:ascii="Arial" w:cs="Arial" w:eastAsia="Arial" w:hAnsi="Arial"/>
          <w:sz w:val="16"/>
          <w:szCs w:val="16"/>
          <w:b w:val="1"/>
          <w:bCs w:val="1"/>
          <w:color w:val="auto"/>
        </w:rPr>
        <w:t>Exhibit 10.2</w:t>
      </w:r>
    </w:p>
    <w:p>
      <w:pPr>
        <w:spacing w:after="0" w:line="47" w:lineRule="exact"/>
        <w:rPr>
          <w:sz w:val="20"/>
          <w:szCs w:val="20"/>
          <w:color w:val="auto"/>
        </w:rPr>
      </w:pPr>
    </w:p>
    <w:p>
      <w:pPr>
        <w:ind w:right="780"/>
        <w:spacing w:after="0" w:line="236" w:lineRule="auto"/>
        <w:rPr>
          <w:sz w:val="20"/>
          <w:szCs w:val="20"/>
          <w:color w:val="auto"/>
        </w:rPr>
      </w:pPr>
      <w:r>
        <w:rPr>
          <w:rFonts w:ascii="Arial" w:cs="Arial" w:eastAsia="Arial" w:hAnsi="Arial"/>
          <w:sz w:val="22"/>
          <w:szCs w:val="22"/>
          <w:color w:val="auto"/>
        </w:rPr>
        <w:t>with the Company’s expense reimbursement policy as in effect from time to time for all eligible out-of- pocket business expenses incurred and paid by the Executive during the Term of Employment.</w:t>
      </w:r>
    </w:p>
    <w:p>
      <w:pPr>
        <w:spacing w:after="0" w:line="187" w:lineRule="exact"/>
        <w:rPr>
          <w:sz w:val="20"/>
          <w:szCs w:val="20"/>
          <w:color w:val="auto"/>
        </w:rPr>
      </w:pPr>
    </w:p>
    <w:p>
      <w:pPr>
        <w:ind w:right="240" w:firstLine="749"/>
        <w:spacing w:after="0" w:line="271" w:lineRule="auto"/>
        <w:rPr>
          <w:sz w:val="20"/>
          <w:szCs w:val="20"/>
          <w:color w:val="auto"/>
        </w:rPr>
      </w:pPr>
      <w:r>
        <w:rPr>
          <w:rFonts w:ascii="Arial" w:cs="Arial" w:eastAsia="Arial" w:hAnsi="Arial"/>
          <w:sz w:val="19"/>
          <w:szCs w:val="19"/>
          <w:color w:val="auto"/>
        </w:rPr>
        <w:t>(g)</w:t>
      </w:r>
      <w:r>
        <w:rPr>
          <w:rFonts w:ascii="Arial" w:cs="Arial" w:eastAsia="Arial" w:hAnsi="Arial"/>
          <w:sz w:val="19"/>
          <w:szCs w:val="19"/>
          <w:i w:val="1"/>
          <w:iCs w:val="1"/>
          <w:color w:val="auto"/>
        </w:rPr>
        <w:t>Housing and Travel Allowance</w:t>
      </w:r>
      <w:r>
        <w:rPr>
          <w:rFonts w:ascii="Arial" w:cs="Arial" w:eastAsia="Arial" w:hAnsi="Arial"/>
          <w:sz w:val="19"/>
          <w:szCs w:val="19"/>
          <w:color w:val="auto"/>
        </w:rPr>
        <w:t>. The Company will provide the Executive with an additional cash allowance of up to $100,000 annually (pro-rated for any partial calendar year) to be applied by the Executive solely towards the rental cost of a personal apartment in the Greater Boston metropolitan region and to transportation expenses for Executive’s regular commuting trips to the Company’s offices in Cambridge, Massachusetts, in each case solely to the extent such costs or expenses are incurred during the Term of Employment (the “</w:t>
      </w:r>
      <w:r>
        <w:rPr>
          <w:rFonts w:ascii="Arial" w:cs="Arial" w:eastAsia="Arial" w:hAnsi="Arial"/>
          <w:sz w:val="19"/>
          <w:szCs w:val="19"/>
          <w:u w:val="single" w:color="auto"/>
          <w:color w:val="auto"/>
        </w:rPr>
        <w:t>Housing and Travel Allowance</w:t>
      </w:r>
      <w:r>
        <w:rPr>
          <w:rFonts w:ascii="Arial" w:cs="Arial" w:eastAsia="Arial" w:hAnsi="Arial"/>
          <w:sz w:val="19"/>
          <w:szCs w:val="19"/>
          <w:color w:val="auto"/>
        </w:rPr>
        <w:t>”), which will be paid to the Executive on a monthly basis in arrears, subject to presentation by the Executive of such substantiation and documentation as the Company may specify from time to time. To the extent that such Housing and Travel Allowance will constitute taxable income to the Executive for a given calendar year, the Company will also provide the Executive with an additional cash gross-up amount (the “</w:t>
      </w:r>
      <w:r>
        <w:rPr>
          <w:rFonts w:ascii="Arial" w:cs="Arial" w:eastAsia="Arial" w:hAnsi="Arial"/>
          <w:sz w:val="19"/>
          <w:szCs w:val="19"/>
          <w:u w:val="single" w:color="auto"/>
          <w:color w:val="auto"/>
        </w:rPr>
        <w:t>Housing Gross-Up Payment</w:t>
      </w:r>
      <w:r>
        <w:rPr>
          <w:rFonts w:ascii="Arial" w:cs="Arial" w:eastAsia="Arial" w:hAnsi="Arial"/>
          <w:sz w:val="19"/>
          <w:szCs w:val="19"/>
          <w:color w:val="auto"/>
        </w:rPr>
        <w:t>”) equal to the estimated amount of such taxable income (estimated at the highest federal and state tax rates applicable to a person living in the Commonwealth of Massachusetts), which will be paid to the Executive on or before December 31 of such year, regardless of whether Executive is employed through such payment date (but provided that Executive was employed by the Company for at least one day during such year). Annually the Board will review and determine in its sole discretion after good faith consultation with the Executive appropriate adjustments, if any, to the amount of the Housing and Travel Allowance for each subsequent year.</w:t>
      </w:r>
    </w:p>
    <w:p>
      <w:pPr>
        <w:spacing w:after="0" w:line="164" w:lineRule="exact"/>
        <w:rPr>
          <w:sz w:val="20"/>
          <w:szCs w:val="20"/>
          <w:color w:val="auto"/>
        </w:rPr>
      </w:pPr>
    </w:p>
    <w:p>
      <w:pPr>
        <w:ind w:right="280" w:firstLine="749"/>
        <w:spacing w:after="0" w:line="287" w:lineRule="auto"/>
        <w:rPr>
          <w:sz w:val="20"/>
          <w:szCs w:val="20"/>
          <w:color w:val="auto"/>
        </w:rPr>
      </w:pPr>
      <w:r>
        <w:rPr>
          <w:rFonts w:ascii="Arial" w:cs="Arial" w:eastAsia="Arial" w:hAnsi="Arial"/>
          <w:sz w:val="19"/>
          <w:szCs w:val="19"/>
          <w:color w:val="auto"/>
        </w:rPr>
        <w:t>(h)</w:t>
      </w:r>
      <w:r>
        <w:rPr>
          <w:rFonts w:ascii="Arial" w:cs="Arial" w:eastAsia="Arial" w:hAnsi="Arial"/>
          <w:sz w:val="19"/>
          <w:szCs w:val="19"/>
          <w:i w:val="1"/>
          <w:iCs w:val="1"/>
          <w:color w:val="auto"/>
        </w:rPr>
        <w:t>Employee Benefits</w:t>
      </w:r>
      <w:r>
        <w:rPr>
          <w:rFonts w:ascii="Arial" w:cs="Arial" w:eastAsia="Arial" w:hAnsi="Arial"/>
          <w:sz w:val="19"/>
          <w:szCs w:val="19"/>
          <w:color w:val="auto"/>
        </w:rPr>
        <w:t>. During the Term of Employment beginning with the CEO Start Date, the Executive will be eligible to participate in any employee benefit plan maintained by the Company for the benefit of its employees generally, subject to all of the terms and conditions (including eligibility requirements) of such plan. Notwithstanding the foregoing, the Company may modify or terminate any employee benefit plan at any time, in its sole and absolute discretion.</w:t>
      </w:r>
    </w:p>
    <w:p>
      <w:pPr>
        <w:spacing w:after="0" w:line="143" w:lineRule="exact"/>
        <w:rPr>
          <w:sz w:val="20"/>
          <w:szCs w:val="20"/>
          <w:color w:val="auto"/>
        </w:rPr>
      </w:pPr>
    </w:p>
    <w:p>
      <w:pPr>
        <w:ind w:right="520" w:firstLine="749"/>
        <w:spacing w:after="0" w:line="297" w:lineRule="auto"/>
        <w:rPr>
          <w:sz w:val="20"/>
          <w:szCs w:val="20"/>
          <w:color w:val="auto"/>
        </w:rPr>
      </w:pPr>
      <w:r>
        <w:rPr>
          <w:rFonts w:ascii="Arial" w:cs="Arial" w:eastAsia="Arial" w:hAnsi="Arial"/>
          <w:sz w:val="19"/>
          <w:szCs w:val="19"/>
          <w:color w:val="auto"/>
        </w:rPr>
        <w:t>5.</w:t>
      </w:r>
      <w:r>
        <w:rPr>
          <w:rFonts w:ascii="Arial" w:cs="Arial" w:eastAsia="Arial" w:hAnsi="Arial"/>
          <w:sz w:val="19"/>
          <w:szCs w:val="19"/>
          <w:i w:val="1"/>
          <w:iCs w:val="1"/>
          <w:color w:val="auto"/>
        </w:rPr>
        <w:t>Restrictive Covenants Agreement</w:t>
      </w:r>
      <w:r>
        <w:rPr>
          <w:rFonts w:ascii="Arial" w:cs="Arial" w:eastAsia="Arial" w:hAnsi="Arial"/>
          <w:sz w:val="19"/>
          <w:szCs w:val="19"/>
          <w:color w:val="auto"/>
        </w:rPr>
        <w:t xml:space="preserve">. The Executive hereby acknowledges that in connection with entering into this Agreement, the Executive shall be required to enter into, and agrees to strictly abide by, an Employee Confidentiality and Assignment Agreement with the Company in the form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ECAA</w:t>
      </w:r>
      <w:r>
        <w:rPr>
          <w:rFonts w:ascii="Arial" w:cs="Arial" w:eastAsia="Arial" w:hAnsi="Arial"/>
          <w:sz w:val="19"/>
          <w:szCs w:val="19"/>
          <w:color w:val="auto"/>
        </w:rPr>
        <w:t>”).</w:t>
      </w:r>
    </w:p>
    <w:p>
      <w:pPr>
        <w:spacing w:after="0" w:line="147" w:lineRule="exact"/>
        <w:rPr>
          <w:sz w:val="20"/>
          <w:szCs w:val="20"/>
          <w:color w:val="auto"/>
        </w:rPr>
      </w:pPr>
    </w:p>
    <w:p>
      <w:pPr>
        <w:ind w:right="460" w:firstLine="749"/>
        <w:spacing w:after="0" w:line="250" w:lineRule="auto"/>
        <w:rPr>
          <w:sz w:val="20"/>
          <w:szCs w:val="20"/>
          <w:color w:val="auto"/>
        </w:rPr>
      </w:pPr>
      <w:r>
        <w:rPr>
          <w:rFonts w:ascii="Arial" w:cs="Arial" w:eastAsia="Arial" w:hAnsi="Arial"/>
          <w:sz w:val="22"/>
          <w:szCs w:val="22"/>
          <w:color w:val="auto"/>
        </w:rPr>
        <w:t>6.</w:t>
      </w:r>
      <w:r>
        <w:rPr>
          <w:rFonts w:ascii="Arial" w:cs="Arial" w:eastAsia="Arial" w:hAnsi="Arial"/>
          <w:sz w:val="22"/>
          <w:szCs w:val="22"/>
          <w:i w:val="1"/>
          <w:iCs w:val="1"/>
          <w:color w:val="auto"/>
        </w:rPr>
        <w:t>Employment Termination</w:t>
      </w:r>
      <w:r>
        <w:rPr>
          <w:rFonts w:ascii="Arial" w:cs="Arial" w:eastAsia="Arial" w:hAnsi="Arial"/>
          <w:sz w:val="22"/>
          <w:szCs w:val="22"/>
          <w:color w:val="auto"/>
        </w:rPr>
        <w:t>. This Agreement, the Term of Employment, and the employment of the Executive shall terminate upon the occurrence of any of the following:</w:t>
      </w:r>
    </w:p>
    <w:p>
      <w:pPr>
        <w:spacing w:after="0" w:line="175" w:lineRule="exact"/>
        <w:rPr>
          <w:sz w:val="20"/>
          <w:szCs w:val="20"/>
          <w:color w:val="auto"/>
        </w:rPr>
      </w:pPr>
    </w:p>
    <w:p>
      <w:pPr>
        <w:ind w:right="360" w:firstLine="749"/>
        <w:spacing w:after="0" w:line="277" w:lineRule="auto"/>
        <w:rPr>
          <w:sz w:val="20"/>
          <w:szCs w:val="20"/>
          <w:color w:val="auto"/>
        </w:rPr>
      </w:pPr>
      <w:r>
        <w:rPr>
          <w:rFonts w:ascii="Arial" w:cs="Arial" w:eastAsia="Arial" w:hAnsi="Arial"/>
          <w:sz w:val="19"/>
          <w:szCs w:val="19"/>
          <w:color w:val="auto"/>
        </w:rPr>
        <w:t>(a)Automatically and immediately upon the death or “Disability” of the Executive. As used in this Agreement, the term “</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a physical or mental illness or disability that prevents the Executive from performing the duties of the Executive’s position for a period of more than any three consecutive months or for periods aggregating more than twenty-six weeks. The Company shall determine in good faith and in its sole discretion whether the Executive is unable to perform the services provided for herein. The Executive will cooperate in all respects with the Company if a question arises as to whether the Executive has become Disabled (including, without limitation, submitting to reasonable examinations by one or more medical doctors and other health care specialists selected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302895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21" w:right="339" w:bottom="1440" w:gutter="0" w:footer="0" w:header="0"/>
        </w:sectPr>
      </w:pPr>
    </w:p>
    <w:bookmarkStart w:id="87" w:name="page88"/>
    <w:bookmarkEnd w:id="87"/>
    <w:p>
      <w:pPr>
        <w:ind w:left="10200"/>
        <w:spacing w:after="0"/>
        <w:rPr>
          <w:sz w:val="20"/>
          <w:szCs w:val="20"/>
          <w:color w:val="auto"/>
        </w:rPr>
      </w:pPr>
      <w:r>
        <w:rPr>
          <w:rFonts w:ascii="Arial" w:cs="Arial" w:eastAsia="Arial" w:hAnsi="Arial"/>
          <w:sz w:val="16"/>
          <w:szCs w:val="16"/>
          <w:b w:val="1"/>
          <w:bCs w:val="1"/>
          <w:color w:val="auto"/>
        </w:rPr>
        <w:t>Exhibit 10.2</w:t>
      </w:r>
    </w:p>
    <w:p>
      <w:pPr>
        <w:spacing w:after="0" w:line="47" w:lineRule="exact"/>
        <w:rPr>
          <w:sz w:val="20"/>
          <w:szCs w:val="20"/>
          <w:color w:val="auto"/>
        </w:rPr>
      </w:pPr>
    </w:p>
    <w:p>
      <w:pPr>
        <w:ind w:right="360" w:firstLine="749"/>
        <w:spacing w:after="0" w:line="236" w:lineRule="auto"/>
        <w:rPr>
          <w:sz w:val="20"/>
          <w:szCs w:val="20"/>
          <w:color w:val="auto"/>
        </w:rPr>
      </w:pPr>
      <w:r>
        <w:rPr>
          <w:rFonts w:ascii="Arial" w:cs="Arial" w:eastAsia="Arial" w:hAnsi="Arial"/>
          <w:sz w:val="22"/>
          <w:szCs w:val="22"/>
          <w:color w:val="auto"/>
        </w:rPr>
        <w:t>(b)At the election of the Company, with or without “Cause” (as defined below), immediately upon written notice by the Company to the Executive. As used in this Agreement, “</w:t>
      </w:r>
      <w:r>
        <w:rPr>
          <w:rFonts w:ascii="Arial" w:cs="Arial" w:eastAsia="Arial" w:hAnsi="Arial"/>
          <w:sz w:val="22"/>
          <w:szCs w:val="22"/>
          <w:u w:val="single" w:color="auto"/>
          <w:color w:val="auto"/>
        </w:rPr>
        <w:t>Cause</w:t>
      </w:r>
      <w:r>
        <w:rPr>
          <w:rFonts w:ascii="Arial" w:cs="Arial" w:eastAsia="Arial" w:hAnsi="Arial"/>
          <w:sz w:val="22"/>
          <w:szCs w:val="22"/>
          <w:color w:val="auto"/>
        </w:rPr>
        <w:t>” shall mean:</w:t>
      </w:r>
    </w:p>
    <w:p>
      <w:pPr>
        <w:spacing w:after="0" w:line="295" w:lineRule="exact"/>
        <w:rPr>
          <w:sz w:val="20"/>
          <w:szCs w:val="20"/>
          <w:color w:val="auto"/>
        </w:rPr>
      </w:pPr>
    </w:p>
    <w:p>
      <w:pPr>
        <w:jc w:val="both"/>
        <w:ind w:left="1400" w:right="380" w:hanging="494"/>
        <w:spacing w:after="0" w:line="252" w:lineRule="auto"/>
        <w:tabs>
          <w:tab w:leader="none" w:pos="1400" w:val="left"/>
        </w:tabs>
        <w:numPr>
          <w:ilvl w:val="0"/>
          <w:numId w:val="53"/>
        </w:numPr>
        <w:rPr>
          <w:rFonts w:ascii="Arial" w:cs="Arial" w:eastAsia="Arial" w:hAnsi="Arial"/>
          <w:sz w:val="21"/>
          <w:szCs w:val="21"/>
          <w:color w:val="auto"/>
        </w:rPr>
      </w:pPr>
      <w:r>
        <w:rPr>
          <w:rFonts w:ascii="Arial" w:cs="Arial" w:eastAsia="Arial" w:hAnsi="Arial"/>
          <w:sz w:val="21"/>
          <w:szCs w:val="21"/>
          <w:color w:val="auto"/>
        </w:rPr>
        <w:t>Executive’s willful and intentional dishonest statements or acts with respect to the Company or any affiliate of the Company (each, a “</w:t>
      </w:r>
      <w:r>
        <w:rPr>
          <w:rFonts w:ascii="Arial" w:cs="Arial" w:eastAsia="Arial" w:hAnsi="Arial"/>
          <w:sz w:val="21"/>
          <w:szCs w:val="21"/>
          <w:u w:val="single" w:color="auto"/>
          <w:color w:val="auto"/>
        </w:rPr>
        <w:t>Group Company</w:t>
      </w:r>
      <w:r>
        <w:rPr>
          <w:rFonts w:ascii="Arial" w:cs="Arial" w:eastAsia="Arial" w:hAnsi="Arial"/>
          <w:sz w:val="21"/>
          <w:szCs w:val="21"/>
          <w:color w:val="auto"/>
        </w:rPr>
        <w:t>”), or any current or prospective customers, suppliers, vendors or other third parties with which such entity does business that results in or, in the good faith judgement of the Board, is anticipated to result in, material harm to any Group Company;</w:t>
      </w:r>
    </w:p>
    <w:p>
      <w:pPr>
        <w:spacing w:after="0" w:line="65" w:lineRule="exact"/>
        <w:rPr>
          <w:rFonts w:ascii="Arial" w:cs="Arial" w:eastAsia="Arial" w:hAnsi="Arial"/>
          <w:sz w:val="21"/>
          <w:szCs w:val="21"/>
          <w:color w:val="auto"/>
        </w:rPr>
      </w:pPr>
    </w:p>
    <w:p>
      <w:pPr>
        <w:ind w:left="1400" w:right="300" w:hanging="494"/>
        <w:spacing w:after="0" w:line="297" w:lineRule="auto"/>
        <w:tabs>
          <w:tab w:leader="none" w:pos="14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Executive’s conviction of (including any plea of guilty or nolo contendere to), or indictment for, (A) a felony or (B) any misdemeanor involving moral turpitude, deceit, dishonesty or fraud, or that materially and permanently impairs the Executive’s ability to perform the Executive’s duties with any Group Company;</w:t>
      </w:r>
    </w:p>
    <w:p>
      <w:pPr>
        <w:spacing w:after="0" w:line="25" w:lineRule="exact"/>
        <w:rPr>
          <w:rFonts w:ascii="Arial" w:cs="Arial" w:eastAsia="Arial" w:hAnsi="Arial"/>
          <w:sz w:val="19"/>
          <w:szCs w:val="19"/>
          <w:color w:val="auto"/>
        </w:rPr>
      </w:pPr>
    </w:p>
    <w:p>
      <w:pPr>
        <w:ind w:left="1400" w:right="260" w:hanging="494"/>
        <w:spacing w:after="0" w:line="235" w:lineRule="auto"/>
        <w:tabs>
          <w:tab w:leader="none" w:pos="14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Executive’s gross negligence, willful misconduct or insubordination with respect to any Group Company that results in or, in the good faith judgement of the Board, is anticipated to result in, material harm to any Group Company, provided, however, that the Executive shall have a period of not less than ten (10) days to cure any curable act or omission (as determined by the Board in its good faith discretion) constituting Cause described in this Section 6(b)(iii) following the Board’s delivery to the Executive of written notice of such act or omission;</w:t>
      </w:r>
    </w:p>
    <w:p>
      <w:pPr>
        <w:spacing w:after="0" w:line="79" w:lineRule="exact"/>
        <w:rPr>
          <w:rFonts w:ascii="Arial" w:cs="Arial" w:eastAsia="Arial" w:hAnsi="Arial"/>
          <w:sz w:val="22"/>
          <w:szCs w:val="22"/>
          <w:color w:val="auto"/>
        </w:rPr>
      </w:pPr>
    </w:p>
    <w:p>
      <w:pPr>
        <w:ind w:left="1400" w:right="240" w:hanging="494"/>
        <w:spacing w:after="0" w:line="250" w:lineRule="auto"/>
        <w:tabs>
          <w:tab w:leader="none" w:pos="14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Executive’s theft, fraud, embezzlement, breach of fiduciary duty or material falsification of any documents or records of any Group Company;</w:t>
      </w:r>
    </w:p>
    <w:p>
      <w:pPr>
        <w:spacing w:after="0" w:line="66" w:lineRule="exact"/>
        <w:rPr>
          <w:rFonts w:ascii="Arial" w:cs="Arial" w:eastAsia="Arial" w:hAnsi="Arial"/>
          <w:sz w:val="22"/>
          <w:szCs w:val="22"/>
          <w:color w:val="auto"/>
        </w:rPr>
      </w:pPr>
    </w:p>
    <w:p>
      <w:pPr>
        <w:ind w:left="1400" w:right="1200" w:hanging="494"/>
        <w:spacing w:after="0" w:line="326" w:lineRule="auto"/>
        <w:tabs>
          <w:tab w:leader="none" w:pos="14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Executive’s material failure to abide by any Group Company’s code of conduct or other policies communicated to Executive (including policies relating to confidentiality and workplace conduct);</w:t>
      </w:r>
    </w:p>
    <w:p>
      <w:pPr>
        <w:ind w:left="1400" w:right="320" w:hanging="494"/>
        <w:spacing w:after="0" w:line="250" w:lineRule="auto"/>
        <w:tabs>
          <w:tab w:leader="none" w:pos="14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Executive’s willful failure to perform the Executive’s duties hereunder after written notice from the Board of such failure;</w:t>
      </w:r>
    </w:p>
    <w:p>
      <w:pPr>
        <w:spacing w:after="0" w:line="66" w:lineRule="exact"/>
        <w:rPr>
          <w:rFonts w:ascii="Arial" w:cs="Arial" w:eastAsia="Arial" w:hAnsi="Arial"/>
          <w:sz w:val="22"/>
          <w:szCs w:val="22"/>
          <w:color w:val="auto"/>
        </w:rPr>
      </w:pPr>
    </w:p>
    <w:p>
      <w:pPr>
        <w:jc w:val="both"/>
        <w:ind w:left="1400" w:right="240" w:hanging="494"/>
        <w:spacing w:after="0"/>
        <w:tabs>
          <w:tab w:leader="none" w:pos="14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Executive’s unauthorized use, misappropriation, destruction or diversion of any tangible or intangible asset or corporate opportunity of a Group Company (including the Executive’s improper use or disclosure of a Group Company’s confidential or proprietary information);</w:t>
      </w:r>
    </w:p>
    <w:p>
      <w:pPr>
        <w:spacing w:after="0" w:line="78" w:lineRule="exact"/>
        <w:rPr>
          <w:rFonts w:ascii="Arial" w:cs="Arial" w:eastAsia="Arial" w:hAnsi="Arial"/>
          <w:sz w:val="22"/>
          <w:szCs w:val="22"/>
          <w:color w:val="auto"/>
        </w:rPr>
      </w:pPr>
    </w:p>
    <w:p>
      <w:pPr>
        <w:ind w:left="1400" w:right="860" w:hanging="494"/>
        <w:spacing w:after="0" w:line="274" w:lineRule="auto"/>
        <w:tabs>
          <w:tab w:leader="none" w:pos="1400" w:val="left"/>
        </w:tabs>
        <w:numPr>
          <w:ilvl w:val="0"/>
          <w:numId w:val="53"/>
        </w:numPr>
        <w:rPr>
          <w:rFonts w:ascii="Arial" w:cs="Arial" w:eastAsia="Arial" w:hAnsi="Arial"/>
          <w:sz w:val="21"/>
          <w:szCs w:val="21"/>
          <w:color w:val="auto"/>
        </w:rPr>
      </w:pPr>
      <w:r>
        <w:rPr>
          <w:rFonts w:ascii="Arial" w:cs="Arial" w:eastAsia="Arial" w:hAnsi="Arial"/>
          <w:sz w:val="21"/>
          <w:szCs w:val="21"/>
          <w:color w:val="auto"/>
        </w:rPr>
        <w:t>Executive’s willful failure to cooperate with the Company and its legal counsel in connection with any investigation or other legal or similar proceeding involving any Group Company; or</w:t>
      </w:r>
    </w:p>
    <w:p>
      <w:pPr>
        <w:spacing w:after="0" w:line="42" w:lineRule="exact"/>
        <w:rPr>
          <w:rFonts w:ascii="Arial" w:cs="Arial" w:eastAsia="Arial" w:hAnsi="Arial"/>
          <w:sz w:val="21"/>
          <w:szCs w:val="21"/>
          <w:color w:val="auto"/>
        </w:rPr>
      </w:pPr>
    </w:p>
    <w:p>
      <w:pPr>
        <w:ind w:left="1400" w:right="440" w:hanging="494"/>
        <w:spacing w:after="0"/>
        <w:tabs>
          <w:tab w:leader="none" w:pos="14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Executive’s material violation of this Agreement or of any provision of any other agreement(s) between the Executive and the Company (including, without limitation, any provision relating to nonsolicitation, nondisclosure and/or assignment of inventions).</w:t>
      </w:r>
    </w:p>
    <w:p>
      <w:pPr>
        <w:spacing w:after="0" w:line="294" w:lineRule="exact"/>
        <w:rPr>
          <w:sz w:val="20"/>
          <w:szCs w:val="20"/>
          <w:color w:val="auto"/>
        </w:rPr>
      </w:pPr>
    </w:p>
    <w:p>
      <w:pPr>
        <w:ind w:right="280" w:firstLine="749"/>
        <w:spacing w:after="0" w:line="297" w:lineRule="auto"/>
        <w:rPr>
          <w:sz w:val="20"/>
          <w:szCs w:val="20"/>
          <w:color w:val="auto"/>
        </w:rPr>
      </w:pPr>
      <w:r>
        <w:rPr>
          <w:rFonts w:ascii="Arial" w:cs="Arial" w:eastAsia="Arial" w:hAnsi="Arial"/>
          <w:sz w:val="19"/>
          <w:szCs w:val="19"/>
          <w:color w:val="auto"/>
        </w:rPr>
        <w:t>(c)At the election of the Executive, with or without “Good Reason” (as defined below), immediately upon written notice by the Executive to the Company (subject, if it is with Good Reason, to the timing provisions set forth in the definition of Good Reason). As used in this Agreement, “</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without the Executive’s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291465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21" w:right="339" w:bottom="1440" w:gutter="0" w:footer="0" w:header="0"/>
        </w:sectPr>
      </w:pPr>
    </w:p>
    <w:bookmarkStart w:id="88" w:name="page89"/>
    <w:bookmarkEnd w:id="88"/>
    <w:p>
      <w:pPr>
        <w:ind w:left="10320"/>
        <w:spacing w:after="0"/>
        <w:rPr>
          <w:sz w:val="20"/>
          <w:szCs w:val="20"/>
          <w:color w:val="auto"/>
        </w:rPr>
      </w:pPr>
      <w:r>
        <w:rPr>
          <w:rFonts w:ascii="Arial" w:cs="Arial" w:eastAsia="Arial" w:hAnsi="Arial"/>
          <w:sz w:val="16"/>
          <w:szCs w:val="16"/>
          <w:b w:val="1"/>
          <w:bCs w:val="1"/>
          <w:color w:val="auto"/>
        </w:rPr>
        <w:t>Exhibit 10.2</w:t>
      </w:r>
    </w:p>
    <w:p>
      <w:pPr>
        <w:spacing w:after="0" w:line="137" w:lineRule="exact"/>
        <w:rPr>
          <w:sz w:val="20"/>
          <w:szCs w:val="20"/>
          <w:color w:val="auto"/>
        </w:rPr>
      </w:pPr>
    </w:p>
    <w:p>
      <w:pPr>
        <w:ind w:left="1520" w:right="800" w:hanging="494"/>
        <w:spacing w:after="0" w:line="252" w:lineRule="auto"/>
        <w:tabs>
          <w:tab w:leader="none" w:pos="1520" w:val="left"/>
        </w:tabs>
        <w:numPr>
          <w:ilvl w:val="0"/>
          <w:numId w:val="54"/>
        </w:numPr>
        <w:rPr>
          <w:rFonts w:ascii="Arial" w:cs="Arial" w:eastAsia="Arial" w:hAnsi="Arial"/>
          <w:sz w:val="21"/>
          <w:szCs w:val="21"/>
          <w:color w:val="auto"/>
        </w:rPr>
      </w:pPr>
      <w:r>
        <w:rPr>
          <w:rFonts w:ascii="Arial" w:cs="Arial" w:eastAsia="Arial" w:hAnsi="Arial"/>
          <w:sz w:val="21"/>
          <w:szCs w:val="21"/>
          <w:color w:val="auto"/>
        </w:rPr>
        <w:t>a material diminution of the Executive’s Base Salary, other than in connection with, and substantially proportionate to, reductions by the Company of the base compensation of all or substantially all senior executives of the Company, a material reduction in Executive’s Target Bonus opportunity, or a material reduction in the Housing and Transportation Allowance;</w:t>
      </w:r>
    </w:p>
    <w:p>
      <w:pPr>
        <w:spacing w:after="0" w:line="65" w:lineRule="exact"/>
        <w:rPr>
          <w:rFonts w:ascii="Arial" w:cs="Arial" w:eastAsia="Arial" w:hAnsi="Arial"/>
          <w:sz w:val="21"/>
          <w:szCs w:val="21"/>
          <w:color w:val="auto"/>
        </w:rPr>
      </w:pPr>
    </w:p>
    <w:p>
      <w:pPr>
        <w:ind w:left="1520" w:right="360" w:hanging="494"/>
        <w:spacing w:after="0"/>
        <w:tabs>
          <w:tab w:leader="none" w:pos="15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material diminution in the Executive’s duties, authority or responsibilities, or, after the CEO Start date, the Executive’s reporting relationship to the Board (in each case other than temporarily while physically or mentally incapacitated or as required by applicable law);</w:t>
      </w:r>
    </w:p>
    <w:p>
      <w:pPr>
        <w:spacing w:after="0" w:line="78" w:lineRule="exact"/>
        <w:rPr>
          <w:rFonts w:ascii="Arial" w:cs="Arial" w:eastAsia="Arial" w:hAnsi="Arial"/>
          <w:sz w:val="22"/>
          <w:szCs w:val="22"/>
          <w:color w:val="auto"/>
        </w:rPr>
      </w:pPr>
    </w:p>
    <w:p>
      <w:pPr>
        <w:ind w:left="1520" w:right="380" w:hanging="494"/>
        <w:spacing w:after="0"/>
        <w:tabs>
          <w:tab w:leader="none" w:pos="15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 material change in the geographic location at which the Executive is required to perform services for the Company such that Executive is not allowed to perform services from Executive’s then current home office, as provided under Section 2(c); or</w:t>
      </w:r>
    </w:p>
    <w:p>
      <w:pPr>
        <w:spacing w:after="0" w:line="78" w:lineRule="exact"/>
        <w:rPr>
          <w:rFonts w:ascii="Arial" w:cs="Arial" w:eastAsia="Arial" w:hAnsi="Arial"/>
          <w:sz w:val="22"/>
          <w:szCs w:val="22"/>
          <w:color w:val="auto"/>
        </w:rPr>
      </w:pPr>
    </w:p>
    <w:p>
      <w:pPr>
        <w:ind w:left="1520" w:right="500" w:hanging="494"/>
        <w:spacing w:after="0" w:line="250" w:lineRule="auto"/>
        <w:tabs>
          <w:tab w:leader="none" w:pos="15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any material breach of this Agreement or any other agreement between the Company and the Executive by the Company not otherwise covered by this paragraph;</w:t>
      </w:r>
    </w:p>
    <w:p>
      <w:pPr>
        <w:spacing w:after="0" w:line="175"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provided, however, that in each case, the Company shall have a period of not less than thirty (30) days to cure any act constituting Good Reason following Executive’s delivery to the Company of written notice within sixty (60) days of the action or omission constituting Good Reason, and that the Executive actually terminates employment within thirty (30) days following the expiration of the Company’s cure period.</w:t>
      </w:r>
    </w:p>
    <w:p>
      <w:pPr>
        <w:spacing w:after="0" w:line="293" w:lineRule="exact"/>
        <w:rPr>
          <w:sz w:val="20"/>
          <w:szCs w:val="20"/>
          <w:color w:val="auto"/>
        </w:rPr>
      </w:pPr>
    </w:p>
    <w:p>
      <w:pPr>
        <w:ind w:left="1020" w:hanging="503"/>
        <w:spacing w:after="0"/>
        <w:tabs>
          <w:tab w:leader="none" w:pos="1020" w:val="left"/>
        </w:tabs>
        <w:numPr>
          <w:ilvl w:val="0"/>
          <w:numId w:val="55"/>
        </w:numPr>
        <w:rPr>
          <w:rFonts w:ascii="Arial" w:cs="Arial" w:eastAsia="Arial" w:hAnsi="Arial"/>
          <w:sz w:val="22"/>
          <w:szCs w:val="22"/>
          <w:color w:val="auto"/>
        </w:rPr>
      </w:pPr>
      <w:r>
        <w:rPr>
          <w:rFonts w:ascii="Arial" w:cs="Arial" w:eastAsia="Arial" w:hAnsi="Arial"/>
          <w:sz w:val="22"/>
          <w:szCs w:val="22"/>
          <w:i w:val="1"/>
          <w:iCs w:val="1"/>
          <w:color w:val="auto"/>
        </w:rPr>
        <w:t>Effect of Termination</w:t>
      </w:r>
      <w:r>
        <w:rPr>
          <w:rFonts w:ascii="Arial" w:cs="Arial" w:eastAsia="Arial" w:hAnsi="Arial"/>
          <w:sz w:val="22"/>
          <w:szCs w:val="22"/>
          <w:color w:val="auto"/>
        </w:rPr>
        <w:t>.</w:t>
      </w:r>
    </w:p>
    <w:p>
      <w:pPr>
        <w:spacing w:after="0" w:line="206" w:lineRule="exact"/>
        <w:rPr>
          <w:sz w:val="20"/>
          <w:szCs w:val="20"/>
          <w:color w:val="auto"/>
        </w:rPr>
      </w:pPr>
    </w:p>
    <w:p>
      <w:pPr>
        <w:ind w:left="120" w:right="240" w:firstLine="749"/>
        <w:spacing w:after="0" w:line="271" w:lineRule="auto"/>
        <w:rPr>
          <w:sz w:val="20"/>
          <w:szCs w:val="20"/>
          <w:color w:val="auto"/>
        </w:rPr>
      </w:pPr>
      <w:r>
        <w:rPr>
          <w:rFonts w:ascii="Arial" w:cs="Arial" w:eastAsia="Arial" w:hAnsi="Arial"/>
          <w:sz w:val="19"/>
          <w:szCs w:val="19"/>
          <w:color w:val="auto"/>
        </w:rPr>
        <w:t>(a)</w:t>
      </w:r>
      <w:r>
        <w:rPr>
          <w:rFonts w:ascii="Arial" w:cs="Arial" w:eastAsia="Arial" w:hAnsi="Arial"/>
          <w:sz w:val="19"/>
          <w:szCs w:val="19"/>
          <w:i w:val="1"/>
          <w:iCs w:val="1"/>
          <w:color w:val="auto"/>
        </w:rPr>
        <w:t>All Terminations Other Than by the Company Without Cause or by the Executive With Good Reason</w:t>
      </w:r>
      <w:r>
        <w:rPr>
          <w:rFonts w:ascii="Arial" w:cs="Arial" w:eastAsia="Arial" w:hAnsi="Arial"/>
          <w:sz w:val="19"/>
          <w:szCs w:val="19"/>
          <w:color w:val="auto"/>
        </w:rPr>
        <w:t>. If the Executive’s employment is terminated under any circumstances other than a Qualifying Termination (as defined below) (including a voluntary termination by the Executive without Good Reason pursuant to Section 6(c), a termination by the Company for Cause pursuant to Section 6(b) or due to the Executive’s death or Disability pursuant to Section 6(a)), the Company’s obligations under this Agreement shall immediately cease and the Executive shall only be entitled to receive (i) the Base Salary that has accrued and to which the Executive is entitled as of the Termination Date and to the extent consistent with general Company policy, to be paid in accordance with the Company’s established payroll procedure and applicable law but no later than the next regularly scheduled pay period, (ii) unreimbursed business expenses or any unreimbursed expenses under the Housing and Transportation Allowance, for which expenses the Executive has timely submitted appropriate documentation in accordance with Section 4(f) and Section 4(g) hereof, to be paid in accordance with the Company’s expense reimbursement policy, and (iii) any amounts or benefits to which the Executive is then entitled under the terms of the benefit plans then-sponsored by the Company in accordance with their terms (and not accelerated to the extent acceleration does not satisfy Section409A of the Internal Revenue Code of 1986, as amended(the “</w:t>
      </w:r>
      <w:r>
        <w:rPr>
          <w:rFonts w:ascii="Arial" w:cs="Arial" w:eastAsia="Arial" w:hAnsi="Arial"/>
          <w:sz w:val="19"/>
          <w:szCs w:val="19"/>
          <w:u w:val="single" w:color="auto"/>
          <w:color w:val="auto"/>
        </w:rPr>
        <w:t>Code</w:t>
      </w:r>
      <w:r>
        <w:rPr>
          <w:rFonts w:ascii="Arial" w:cs="Arial" w:eastAsia="Arial" w:hAnsi="Arial"/>
          <w:sz w:val="19"/>
          <w:szCs w:val="19"/>
          <w:color w:val="auto"/>
        </w:rPr>
        <w:t>”)) (the payments described in this sentence, the “</w:t>
      </w:r>
      <w:r>
        <w:rPr>
          <w:rFonts w:ascii="Arial" w:cs="Arial" w:eastAsia="Arial" w:hAnsi="Arial"/>
          <w:sz w:val="19"/>
          <w:szCs w:val="19"/>
          <w:u w:val="single" w:color="auto"/>
          <w:color w:val="auto"/>
        </w:rPr>
        <w:t>Accrued Obligations</w:t>
      </w:r>
      <w:r>
        <w:rPr>
          <w:rFonts w:ascii="Arial" w:cs="Arial" w:eastAsia="Arial" w:hAnsi="Arial"/>
          <w:sz w:val="19"/>
          <w:szCs w:val="19"/>
          <w:color w:val="auto"/>
        </w:rPr>
        <w:t>”).</w:t>
      </w:r>
    </w:p>
    <w:p>
      <w:pPr>
        <w:spacing w:after="0" w:line="200" w:lineRule="exact"/>
        <w:rPr>
          <w:sz w:val="20"/>
          <w:szCs w:val="20"/>
          <w:color w:val="auto"/>
        </w:rPr>
      </w:pPr>
    </w:p>
    <w:p>
      <w:pPr>
        <w:spacing w:after="0" w:line="211" w:lineRule="exact"/>
        <w:rPr>
          <w:sz w:val="20"/>
          <w:szCs w:val="20"/>
          <w:color w:val="auto"/>
        </w:rPr>
      </w:pPr>
    </w:p>
    <w:p>
      <w:pPr>
        <w:ind w:left="120" w:right="220" w:firstLine="749"/>
        <w:spacing w:after="0"/>
        <w:rPr>
          <w:sz w:val="20"/>
          <w:szCs w:val="20"/>
          <w:color w:val="auto"/>
        </w:rPr>
      </w:pPr>
      <w:r>
        <w:rPr>
          <w:rFonts w:ascii="Arial" w:cs="Arial" w:eastAsia="Arial" w:hAnsi="Arial"/>
          <w:sz w:val="22"/>
          <w:szCs w:val="22"/>
          <w:color w:val="auto"/>
        </w:rPr>
        <w:t>(b)</w:t>
      </w:r>
      <w:r>
        <w:rPr>
          <w:rFonts w:ascii="Arial" w:cs="Arial" w:eastAsia="Arial" w:hAnsi="Arial"/>
          <w:sz w:val="22"/>
          <w:szCs w:val="22"/>
          <w:i w:val="1"/>
          <w:iCs w:val="1"/>
          <w:color w:val="auto"/>
        </w:rPr>
        <w:t>Termination by the Company Without Cause or by the Executive With Good Reason Prior to or More Than</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Eighteen Months Following a Change in Control and Following Executive’s One Year Anniversary of the Start Date. </w:t>
      </w:r>
      <w:r>
        <w:rPr>
          <w:rFonts w:ascii="Arial" w:cs="Arial" w:eastAsia="Arial" w:hAnsi="Arial"/>
          <w:sz w:val="22"/>
          <w:szCs w:val="22"/>
          <w:color w:val="auto"/>
        </w:rPr>
        <w:t>If (x) the</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Executive’s employment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left="10200"/>
        <w:spacing w:after="0"/>
        <w:rPr>
          <w:sz w:val="20"/>
          <w:szCs w:val="20"/>
          <w:color w:val="auto"/>
        </w:rPr>
      </w:pPr>
      <w:r>
        <w:rPr>
          <w:rFonts w:ascii="Arial" w:cs="Arial" w:eastAsia="Arial" w:hAnsi="Arial"/>
          <w:sz w:val="16"/>
          <w:szCs w:val="16"/>
          <w:b w:val="1"/>
          <w:bCs w:val="1"/>
          <w:color w:val="auto"/>
        </w:rPr>
        <w:t>Exhibit 10.2</w:t>
      </w:r>
    </w:p>
    <w:p>
      <w:pPr>
        <w:spacing w:after="0" w:line="47" w:lineRule="exact"/>
        <w:rPr>
          <w:sz w:val="20"/>
          <w:szCs w:val="20"/>
          <w:color w:val="auto"/>
        </w:rPr>
      </w:pPr>
    </w:p>
    <w:p>
      <w:pPr>
        <w:ind w:right="240"/>
        <w:spacing w:after="0" w:line="269" w:lineRule="auto"/>
        <w:rPr>
          <w:sz w:val="20"/>
          <w:szCs w:val="20"/>
          <w:color w:val="auto"/>
        </w:rPr>
      </w:pPr>
      <w:r>
        <w:rPr>
          <w:rFonts w:ascii="Arial" w:cs="Arial" w:eastAsia="Arial" w:hAnsi="Arial"/>
          <w:sz w:val="19"/>
          <w:szCs w:val="19"/>
          <w:color w:val="auto"/>
        </w:rPr>
        <w:t>terminated by the Company without Cause pursuant to Section 6(b) (which, for the avoidance of doubt, does not include any termination due to the Executive’s death or Disability pursuant to Section 6(a)) or by the Executive with Good Reason pursuant to Section 6(c) (in either case, a “</w:t>
      </w:r>
      <w:r>
        <w:rPr>
          <w:rFonts w:ascii="Arial" w:cs="Arial" w:eastAsia="Arial" w:hAnsi="Arial"/>
          <w:sz w:val="19"/>
          <w:szCs w:val="19"/>
          <w:u w:val="single" w:color="auto"/>
          <w:color w:val="auto"/>
        </w:rPr>
        <w:t>Qualifying Termination</w:t>
      </w:r>
      <w:r>
        <w:rPr>
          <w:rFonts w:ascii="Arial" w:cs="Arial" w:eastAsia="Arial" w:hAnsi="Arial"/>
          <w:sz w:val="19"/>
          <w:szCs w:val="19"/>
          <w:color w:val="auto"/>
        </w:rPr>
        <w:t>”), which occurs prior to or more than eighteen (18) months following a Change in Control (as defined below), and (y) such Qualifying Termination occurs after the Executive has completed at least twelve (12) months of employment for the Company hereunder (then the Executive shall be entitled to the Accrued Obligations. In addition, and subject to Section 8 and the conditions of Section 7(d), in the case of a termination described in the preceding sentence, the Company shall: (i) continue to pay to the Executive, in equal periodic installments in accordance with the Company’s regularly established payroll procedures (not less frequently than monthly), the Executive’s Base Salary for a period of eighteen (18) months commencing on the Payment Date (as defined below); (ii) pay to the Executive, in a single lump sum on the Payment Date, an amount equal to the Executive’s then current Target Bonus multiplied by 1.5; and (iii) provided the Executive is eligible for and timely elects to continue receiving group medical coverage pursuant to the “COBRA” law, continue to pay (but in no event longer than eighteen (18) months following the Executive’s Termination Date) the share of the premium for such coverage that is paid by the Company for active and similarly-situated employees who receive the same type of coverage, unless the Company’s provision of such COBRA subsidy will violate the nondiscrimination requirements of applicable law, in which case this benefit the Company will pay to Executive a taxable amount equal to the costs it would have paid for the COBRA supplement, in one lump sum on the Payment Date; and (iv) provide that the vesting of the Executive’s then-unvested equity awards that vest based solely on the passage of time that would otherwise vest during the 18-month period following the Termination Date shall be accelerated, such that such unvested equity awards that vest based solely on the passage of time vest and become fully exercisable or non-forfeitable as of the Termination Date (collectively, the “</w:t>
      </w:r>
      <w:r>
        <w:rPr>
          <w:rFonts w:ascii="Arial" w:cs="Arial" w:eastAsia="Arial" w:hAnsi="Arial"/>
          <w:sz w:val="19"/>
          <w:szCs w:val="19"/>
          <w:u w:val="single" w:color="auto"/>
          <w:color w:val="auto"/>
        </w:rPr>
        <w:t>Severance Benefits</w:t>
      </w:r>
      <w:r>
        <w:rPr>
          <w:rFonts w:ascii="Arial" w:cs="Arial" w:eastAsia="Arial" w:hAnsi="Arial"/>
          <w:sz w:val="19"/>
          <w:szCs w:val="19"/>
          <w:color w:val="auto"/>
        </w:rPr>
        <w:t>”).</w:t>
      </w:r>
    </w:p>
    <w:p>
      <w:pPr>
        <w:spacing w:after="0" w:line="200" w:lineRule="exact"/>
        <w:rPr>
          <w:sz w:val="20"/>
          <w:szCs w:val="20"/>
          <w:color w:val="auto"/>
        </w:rPr>
      </w:pPr>
    </w:p>
    <w:p>
      <w:pPr>
        <w:spacing w:after="0" w:line="205" w:lineRule="exact"/>
        <w:rPr>
          <w:sz w:val="20"/>
          <w:szCs w:val="20"/>
          <w:color w:val="auto"/>
        </w:rPr>
      </w:pPr>
    </w:p>
    <w:p>
      <w:pPr>
        <w:ind w:right="240" w:firstLine="749"/>
        <w:spacing w:after="0" w:line="271" w:lineRule="auto"/>
        <w:rPr>
          <w:sz w:val="20"/>
          <w:szCs w:val="20"/>
          <w:color w:val="auto"/>
        </w:rPr>
      </w:pPr>
      <w:r>
        <w:rPr>
          <w:rFonts w:ascii="Arial" w:cs="Arial" w:eastAsia="Arial" w:hAnsi="Arial"/>
          <w:sz w:val="19"/>
          <w:szCs w:val="19"/>
          <w:color w:val="auto"/>
        </w:rPr>
        <w:t>(c)</w:t>
      </w:r>
      <w:r>
        <w:rPr>
          <w:rFonts w:ascii="Arial" w:cs="Arial" w:eastAsia="Arial" w:hAnsi="Arial"/>
          <w:sz w:val="19"/>
          <w:szCs w:val="19"/>
          <w:i w:val="1"/>
          <w:iCs w:val="1"/>
          <w:color w:val="auto"/>
        </w:rPr>
        <w:t>Termination by the Company Without Cause or by the Executive With Good Reason Within Eighteen Months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Following a Change in Control. </w:t>
      </w:r>
      <w:r>
        <w:rPr>
          <w:rFonts w:ascii="Arial" w:cs="Arial" w:eastAsia="Arial" w:hAnsi="Arial"/>
          <w:sz w:val="19"/>
          <w:szCs w:val="19"/>
          <w:color w:val="auto"/>
        </w:rPr>
        <w:t>If a Qualifying Termination occurs within eighteen (18) months following a Change in</w:t>
      </w:r>
      <w:r>
        <w:rPr>
          <w:rFonts w:ascii="Arial" w:cs="Arial" w:eastAsia="Arial" w:hAnsi="Arial"/>
          <w:sz w:val="19"/>
          <w:szCs w:val="19"/>
          <w:i w:val="1"/>
          <w:iCs w:val="1"/>
          <w:color w:val="auto"/>
        </w:rPr>
        <w:t xml:space="preserve"> </w:t>
      </w:r>
      <w:r>
        <w:rPr>
          <w:rFonts w:ascii="Arial" w:cs="Arial" w:eastAsia="Arial" w:hAnsi="Arial"/>
          <w:sz w:val="19"/>
          <w:szCs w:val="19"/>
          <w:color w:val="auto"/>
        </w:rPr>
        <w:t>Control, then the Executive shall be entitled to the Accrued Obligations. In addition, and subject to Section 8 and the conditions of Section 7(d), the Company shall: (i) continue to pay to the Executive, in equal periodic installments in accordance with the Company’s regularly established payroll procedures (not less frequently than monthly), the Executive’s Base Salary (or, if higher, the Executive’s Base Salary in effect immediately prior to the Change in Control) for a period of twenty-seven (27) months commencing on the Payment Date; (ii) pay to the Executive, in a single lump sum on the Payment Date, an amount equal to the Executive’s Target Bonus for the year in which termination occurs or, if higher, the Executive’s Target Bonus immediately prior to the Change in Control, in either case, such amount multiplied by 2.25; (iii) provided the Executive is eligible for and timely elects to continue receiving group medical coverage pursuant to the “COBRA” law, continue to pay (but in no event longer than eighteen (18) months following the Executive’s Termination Date) the share of the premium for such coverage that is paid by the Company for active and similarly-situated employees who receive the same type of coverage, unless the Company’s provision of such COBRA subsidy will violate the nondiscrimination requirements of applicable law, in which case this benefit will not apply; and (iv) provide that the vesting of the Executive’s then-unvested equity awards that vest based solely on the passage of time shall be accelerated, such that all then-unvested equity awards that vest based solely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188595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21" w:right="339" w:bottom="1440" w:gutter="0" w:footer="0" w:header="0"/>
        </w:sectPr>
      </w:pPr>
    </w:p>
    <w:bookmarkStart w:id="90" w:name="page91"/>
    <w:bookmarkEnd w:id="90"/>
    <w:p>
      <w:pPr>
        <w:ind w:left="10207"/>
        <w:spacing w:after="0"/>
        <w:rPr>
          <w:sz w:val="20"/>
          <w:szCs w:val="20"/>
          <w:color w:val="auto"/>
        </w:rPr>
      </w:pPr>
      <w:r>
        <w:rPr>
          <w:rFonts w:ascii="Arial" w:cs="Arial" w:eastAsia="Arial" w:hAnsi="Arial"/>
          <w:sz w:val="16"/>
          <w:szCs w:val="16"/>
          <w:b w:val="1"/>
          <w:bCs w:val="1"/>
          <w:color w:val="auto"/>
        </w:rPr>
        <w:t>Exhibit 10.2</w:t>
      </w:r>
    </w:p>
    <w:p>
      <w:pPr>
        <w:spacing w:after="0" w:line="47" w:lineRule="exact"/>
        <w:rPr>
          <w:sz w:val="20"/>
          <w:szCs w:val="20"/>
          <w:color w:val="auto"/>
        </w:rPr>
      </w:pPr>
    </w:p>
    <w:p>
      <w:pPr>
        <w:ind w:left="7" w:right="260"/>
        <w:spacing w:after="0" w:line="236" w:lineRule="auto"/>
        <w:rPr>
          <w:sz w:val="20"/>
          <w:szCs w:val="20"/>
          <w:color w:val="auto"/>
        </w:rPr>
      </w:pPr>
      <w:r>
        <w:rPr>
          <w:rFonts w:ascii="Arial" w:cs="Arial" w:eastAsia="Arial" w:hAnsi="Arial"/>
          <w:sz w:val="22"/>
          <w:szCs w:val="22"/>
          <w:color w:val="auto"/>
        </w:rPr>
        <w:t>the passage of time vest and become fully exercisable or non-forfeitable as of the Termination Date (collectively, the “</w:t>
      </w:r>
      <w:r>
        <w:rPr>
          <w:rFonts w:ascii="Arial" w:cs="Arial" w:eastAsia="Arial" w:hAnsi="Arial"/>
          <w:sz w:val="22"/>
          <w:szCs w:val="22"/>
          <w:u w:val="single" w:color="auto"/>
          <w:color w:val="auto"/>
        </w:rPr>
        <w:t>Change</w:t>
      </w:r>
      <w:r>
        <w:rPr>
          <w:rFonts w:ascii="Arial" w:cs="Arial" w:eastAsia="Arial" w:hAnsi="Arial"/>
          <w:sz w:val="22"/>
          <w:szCs w:val="22"/>
          <w:color w:val="auto"/>
        </w:rPr>
        <w:t xml:space="preserve"> </w:t>
      </w:r>
      <w:r>
        <w:rPr>
          <w:rFonts w:ascii="Arial" w:cs="Arial" w:eastAsia="Arial" w:hAnsi="Arial"/>
          <w:sz w:val="22"/>
          <w:szCs w:val="22"/>
          <w:u w:val="single" w:color="auto"/>
          <w:color w:val="auto"/>
        </w:rPr>
        <w:t>in Control Severance Benefits</w:t>
      </w:r>
      <w:r>
        <w:rPr>
          <w:rFonts w:ascii="Arial" w:cs="Arial" w:eastAsia="Arial" w:hAnsi="Arial"/>
          <w:sz w:val="22"/>
          <w:szCs w:val="22"/>
          <w:color w:val="auto"/>
        </w:rPr>
        <w:t>”).</w:t>
      </w:r>
    </w:p>
    <w:p>
      <w:pPr>
        <w:spacing w:after="0" w:line="187" w:lineRule="exact"/>
        <w:rPr>
          <w:sz w:val="20"/>
          <w:szCs w:val="20"/>
          <w:color w:val="auto"/>
        </w:rPr>
      </w:pPr>
    </w:p>
    <w:p>
      <w:pPr>
        <w:ind w:left="7" w:right="260" w:firstLine="749"/>
        <w:spacing w:after="0" w:line="271" w:lineRule="auto"/>
        <w:rPr>
          <w:sz w:val="20"/>
          <w:szCs w:val="20"/>
          <w:color w:val="auto"/>
        </w:rPr>
      </w:pPr>
      <w:r>
        <w:rPr>
          <w:rFonts w:ascii="Arial" w:cs="Arial" w:eastAsia="Arial" w:hAnsi="Arial"/>
          <w:sz w:val="19"/>
          <w:szCs w:val="19"/>
          <w:color w:val="auto"/>
        </w:rPr>
        <w:t>(d)</w:t>
      </w:r>
      <w:r>
        <w:rPr>
          <w:rFonts w:ascii="Arial" w:cs="Arial" w:eastAsia="Arial" w:hAnsi="Arial"/>
          <w:sz w:val="19"/>
          <w:szCs w:val="19"/>
          <w:i w:val="1"/>
          <w:iCs w:val="1"/>
          <w:color w:val="auto"/>
        </w:rPr>
        <w:t>Release.</w:t>
      </w:r>
      <w:r>
        <w:rPr>
          <w:rFonts w:ascii="Arial" w:cs="Arial" w:eastAsia="Arial" w:hAnsi="Arial"/>
          <w:sz w:val="19"/>
          <w:szCs w:val="19"/>
          <w:color w:val="auto"/>
        </w:rPr>
        <w:t xml:space="preserve"> As a condition of the Executive’s receipt of the Severance Benefits or the Change in Control Severance Benefits, as applicable, the Executive must execute and deliver to the Company a severance and release of claims agreement in a form to be provided by the Company (other than a standard release of employment-related claims and a mutual nondisparagement provision, such form will not include any new obligations or restrictive covenants imposed on Executive beyond those to which the Executive is otherwise subject as of the Termination Date under this Agreement or other agreements executed by Executive and the Company) (the “</w:t>
      </w:r>
      <w:r>
        <w:rPr>
          <w:rFonts w:ascii="Arial" w:cs="Arial" w:eastAsia="Arial" w:hAnsi="Arial"/>
          <w:sz w:val="19"/>
          <w:szCs w:val="19"/>
          <w:u w:val="single" w:color="auto"/>
          <w:color w:val="auto"/>
        </w:rPr>
        <w:t>Severance Agreement</w:t>
      </w:r>
      <w:r>
        <w:rPr>
          <w:rFonts w:ascii="Arial" w:cs="Arial" w:eastAsia="Arial" w:hAnsi="Arial"/>
          <w:sz w:val="19"/>
          <w:szCs w:val="19"/>
          <w:color w:val="auto"/>
        </w:rPr>
        <w:t>”), which Severance Agreement must become irrevocable within 60 days following the Executive’s Termination Date (or such shorter period as may be directed by the Company). The Severance Benefits or the Change in Control Severance Benefits (other than any COBRA subsidy), as applicable, will be paid or commence to be paid in the first regular payroll beginning after the Severance Agreement becomes effective and irrevocable, provided that if the foregoing 60 day period (or such shorter period as may be directed by the Company) would end in a calendar year subsequent to the year in which the Executive’s employment ends, the Severance Benefits or Change in Control Severance Benefits (other than any COBRA subsidy), as applicable, will not be paid or begin to be paid before the first payroll of the subsequent calendar year (the date the Severance Benefits or Change in Control Severance Benefits, as applicable, commence pursuant to this sentence, the “</w:t>
      </w:r>
      <w:r>
        <w:rPr>
          <w:rFonts w:ascii="Arial" w:cs="Arial" w:eastAsia="Arial" w:hAnsi="Arial"/>
          <w:sz w:val="19"/>
          <w:szCs w:val="19"/>
          <w:u w:val="single" w:color="auto"/>
          <w:color w:val="auto"/>
        </w:rPr>
        <w:t>Payment Date</w:t>
      </w:r>
      <w:r>
        <w:rPr>
          <w:rFonts w:ascii="Arial" w:cs="Arial" w:eastAsia="Arial" w:hAnsi="Arial"/>
          <w:sz w:val="19"/>
          <w:szCs w:val="19"/>
          <w:color w:val="auto"/>
        </w:rPr>
        <w:t>”). The Executive must continue to comply with the ECAA and any similar agreement with the Company or its affiliates in order to be eligible to continue receiving the Severance Benefits or Change in Control Severance Benefits, as applicable.</w:t>
      </w:r>
    </w:p>
    <w:p>
      <w:pPr>
        <w:spacing w:after="0" w:line="157" w:lineRule="exact"/>
        <w:rPr>
          <w:sz w:val="20"/>
          <w:szCs w:val="20"/>
          <w:color w:val="auto"/>
        </w:rPr>
      </w:pPr>
    </w:p>
    <w:p>
      <w:pPr>
        <w:ind w:left="747"/>
        <w:spacing w:after="0"/>
        <w:rPr>
          <w:sz w:val="20"/>
          <w:szCs w:val="20"/>
          <w:color w:val="auto"/>
        </w:rPr>
      </w:pPr>
      <w:r>
        <w:rPr>
          <w:rFonts w:ascii="Arial" w:cs="Arial" w:eastAsia="Arial" w:hAnsi="Arial"/>
          <w:sz w:val="19"/>
          <w:szCs w:val="19"/>
          <w:color w:val="auto"/>
        </w:rPr>
        <w:t>(e)</w:t>
      </w:r>
      <w:r>
        <w:rPr>
          <w:rFonts w:ascii="Arial" w:cs="Arial" w:eastAsia="Arial" w:hAnsi="Arial"/>
          <w:sz w:val="19"/>
          <w:szCs w:val="19"/>
          <w:i w:val="1"/>
          <w:iCs w:val="1"/>
          <w:color w:val="auto"/>
        </w:rPr>
        <w:t>Change in Control Definition</w:t>
      </w:r>
      <w:r>
        <w:rPr>
          <w:rFonts w:ascii="Arial" w:cs="Arial" w:eastAsia="Arial" w:hAnsi="Arial"/>
          <w:sz w:val="19"/>
          <w:szCs w:val="19"/>
          <w:color w:val="auto"/>
        </w:rPr>
        <w:t>. For purposes of this Agreement, “Change in Control” shall mean the occurrence of</w:t>
      </w:r>
    </w:p>
    <w:p>
      <w:pPr>
        <w:spacing w:after="0" w:line="43" w:lineRule="exact"/>
        <w:rPr>
          <w:sz w:val="20"/>
          <w:szCs w:val="20"/>
          <w:color w:val="auto"/>
        </w:rPr>
      </w:pPr>
    </w:p>
    <w:p>
      <w:pPr>
        <w:ind w:left="7"/>
        <w:spacing w:after="0"/>
        <w:rPr>
          <w:sz w:val="20"/>
          <w:szCs w:val="20"/>
          <w:color w:val="auto"/>
        </w:rPr>
      </w:pPr>
      <w:r>
        <w:rPr>
          <w:rFonts w:ascii="Arial" w:cs="Arial" w:eastAsia="Arial" w:hAnsi="Arial"/>
          <w:sz w:val="19"/>
          <w:szCs w:val="19"/>
          <w:color w:val="auto"/>
        </w:rPr>
        <w:t>any of the following events, provided that such event or occurrence constitutes a change in the ownership or effective control</w:t>
      </w:r>
    </w:p>
    <w:p>
      <w:pPr>
        <w:spacing w:after="0" w:line="25" w:lineRule="exact"/>
        <w:rPr>
          <w:sz w:val="20"/>
          <w:szCs w:val="20"/>
          <w:color w:val="auto"/>
        </w:rPr>
      </w:pPr>
    </w:p>
    <w:p>
      <w:pPr>
        <w:ind w:left="7"/>
        <w:spacing w:after="0"/>
        <w:rPr>
          <w:sz w:val="20"/>
          <w:szCs w:val="20"/>
          <w:color w:val="auto"/>
        </w:rPr>
      </w:pPr>
      <w:r>
        <w:rPr>
          <w:rFonts w:ascii="Arial" w:cs="Arial" w:eastAsia="Arial" w:hAnsi="Arial"/>
          <w:sz w:val="19"/>
          <w:szCs w:val="19"/>
          <w:color w:val="auto"/>
        </w:rPr>
        <w:t>of the Company, or a change in the ownership of a substantial portion of the assets of the Company, as defined in Treasury</w:t>
      </w:r>
    </w:p>
    <w:p>
      <w:pPr>
        <w:spacing w:after="0" w:line="25" w:lineRule="exact"/>
        <w:rPr>
          <w:sz w:val="20"/>
          <w:szCs w:val="20"/>
          <w:color w:val="auto"/>
        </w:rPr>
      </w:pPr>
    </w:p>
    <w:p>
      <w:pPr>
        <w:ind w:left="7"/>
        <w:spacing w:after="0"/>
        <w:rPr>
          <w:sz w:val="20"/>
          <w:szCs w:val="20"/>
          <w:color w:val="auto"/>
        </w:rPr>
      </w:pPr>
      <w:r>
        <w:rPr>
          <w:rFonts w:ascii="Arial" w:cs="Arial" w:eastAsia="Arial" w:hAnsi="Arial"/>
          <w:sz w:val="21"/>
          <w:szCs w:val="21"/>
          <w:color w:val="auto"/>
        </w:rPr>
        <w:t>Regulation §§ 1.409A-3(i)(5)(v), (vi) and (vii): (i) the acquisition by an individual, entity or group (within the meaning of</w:t>
      </w:r>
    </w:p>
    <w:p>
      <w:pPr>
        <w:spacing w:after="0" w:line="2" w:lineRule="exact"/>
        <w:rPr>
          <w:sz w:val="20"/>
          <w:szCs w:val="20"/>
          <w:color w:val="auto"/>
        </w:rPr>
      </w:pPr>
    </w:p>
    <w:p>
      <w:pPr>
        <w:ind w:left="7"/>
        <w:spacing w:after="0"/>
        <w:rPr>
          <w:sz w:val="20"/>
          <w:szCs w:val="20"/>
          <w:color w:val="auto"/>
        </w:rPr>
      </w:pPr>
      <w:r>
        <w:rPr>
          <w:rFonts w:ascii="Arial" w:cs="Arial" w:eastAsia="Arial" w:hAnsi="Arial"/>
          <w:sz w:val="21"/>
          <w:szCs w:val="21"/>
          <w:color w:val="auto"/>
        </w:rPr>
        <w:t>Section 13(d)(3) or 14(d)(2) of the Securities Exchange Act of 1934 (the “E</w:t>
      </w:r>
      <w:r>
        <w:rPr>
          <w:rFonts w:ascii="Arial" w:cs="Arial" w:eastAsia="Arial" w:hAnsi="Arial"/>
          <w:sz w:val="21"/>
          <w:szCs w:val="21"/>
          <w:u w:val="single" w:color="auto"/>
          <w:color w:val="auto"/>
        </w:rPr>
        <w:t>xchange Act</w:t>
      </w:r>
      <w:r>
        <w:rPr>
          <w:rFonts w:ascii="Arial" w:cs="Arial" w:eastAsia="Arial" w:hAnsi="Arial"/>
          <w:sz w:val="21"/>
          <w:szCs w:val="21"/>
          <w:color w:val="auto"/>
        </w:rPr>
        <w:t>”)) (a “</w:t>
      </w:r>
      <w:r>
        <w:rPr>
          <w:rFonts w:ascii="Arial" w:cs="Arial" w:eastAsia="Arial" w:hAnsi="Arial"/>
          <w:sz w:val="21"/>
          <w:szCs w:val="21"/>
          <w:u w:val="single" w:color="auto"/>
          <w:color w:val="auto"/>
        </w:rPr>
        <w:t>Person</w:t>
      </w:r>
      <w:r>
        <w:rPr>
          <w:rFonts w:ascii="Arial" w:cs="Arial" w:eastAsia="Arial" w:hAnsi="Arial"/>
          <w:sz w:val="21"/>
          <w:szCs w:val="21"/>
          <w:color w:val="auto"/>
        </w:rPr>
        <w:t>”) of beneficial</w:t>
      </w:r>
    </w:p>
    <w:p>
      <w:pPr>
        <w:spacing w:after="0" w:line="2" w:lineRule="exact"/>
        <w:rPr>
          <w:sz w:val="20"/>
          <w:szCs w:val="20"/>
          <w:color w:val="auto"/>
        </w:rPr>
      </w:pPr>
    </w:p>
    <w:p>
      <w:pPr>
        <w:ind w:left="7"/>
        <w:spacing w:after="0"/>
        <w:rPr>
          <w:sz w:val="20"/>
          <w:szCs w:val="20"/>
          <w:color w:val="auto"/>
        </w:rPr>
      </w:pPr>
      <w:r>
        <w:rPr>
          <w:rFonts w:ascii="Arial" w:cs="Arial" w:eastAsia="Arial" w:hAnsi="Arial"/>
          <w:sz w:val="19"/>
          <w:szCs w:val="19"/>
          <w:color w:val="auto"/>
        </w:rPr>
        <w:t>ownership of any capital stock of the Company if, after such acquisition, such Person beneficially owns (within the meaning</w:t>
      </w:r>
    </w:p>
    <w:p>
      <w:pPr>
        <w:spacing w:after="0" w:line="25" w:lineRule="exact"/>
        <w:rPr>
          <w:sz w:val="20"/>
          <w:szCs w:val="20"/>
          <w:color w:val="auto"/>
        </w:rPr>
      </w:pPr>
    </w:p>
    <w:p>
      <w:pPr>
        <w:ind w:left="7"/>
        <w:spacing w:after="0"/>
        <w:rPr>
          <w:sz w:val="20"/>
          <w:szCs w:val="20"/>
          <w:color w:val="auto"/>
        </w:rPr>
      </w:pPr>
      <w:r>
        <w:rPr>
          <w:rFonts w:ascii="Arial" w:cs="Arial" w:eastAsia="Arial" w:hAnsi="Arial"/>
          <w:sz w:val="19"/>
          <w:szCs w:val="19"/>
          <w:color w:val="auto"/>
        </w:rPr>
        <w:t>of Rule 13d-3 under the Exchange Act) fifty percent (50%) or more of either (x) the then-outstanding shares of common stock</w:t>
      </w:r>
    </w:p>
    <w:p>
      <w:pPr>
        <w:spacing w:after="0" w:line="25" w:lineRule="exact"/>
        <w:rPr>
          <w:sz w:val="20"/>
          <w:szCs w:val="20"/>
          <w:color w:val="auto"/>
        </w:rPr>
      </w:pPr>
    </w:p>
    <w:p>
      <w:pPr>
        <w:ind w:left="7"/>
        <w:spacing w:after="0"/>
        <w:rPr>
          <w:sz w:val="20"/>
          <w:szCs w:val="20"/>
          <w:color w:val="auto"/>
        </w:rPr>
      </w:pPr>
      <w:r>
        <w:rPr>
          <w:rFonts w:ascii="Arial" w:cs="Arial" w:eastAsia="Arial" w:hAnsi="Arial"/>
          <w:sz w:val="21"/>
          <w:szCs w:val="21"/>
          <w:color w:val="auto"/>
        </w:rPr>
        <w:t>of the Company (the “</w:t>
      </w:r>
      <w:r>
        <w:rPr>
          <w:rFonts w:ascii="Arial" w:cs="Arial" w:eastAsia="Arial" w:hAnsi="Arial"/>
          <w:sz w:val="21"/>
          <w:szCs w:val="21"/>
          <w:u w:val="single" w:color="auto"/>
          <w:color w:val="auto"/>
        </w:rPr>
        <w:t>Outstanding Company Common Stock</w:t>
      </w:r>
      <w:r>
        <w:rPr>
          <w:rFonts w:ascii="Arial" w:cs="Arial" w:eastAsia="Arial" w:hAnsi="Arial"/>
          <w:sz w:val="21"/>
          <w:szCs w:val="21"/>
          <w:color w:val="auto"/>
        </w:rPr>
        <w:t>”) or (y) the combined voting power of the then-outstanding</w:t>
      </w:r>
    </w:p>
    <w:p>
      <w:pPr>
        <w:ind w:left="7"/>
        <w:spacing w:after="0" w:line="231" w:lineRule="auto"/>
        <w:rPr>
          <w:sz w:val="20"/>
          <w:szCs w:val="20"/>
          <w:color w:val="auto"/>
        </w:rPr>
      </w:pPr>
      <w:r>
        <w:rPr>
          <w:rFonts w:ascii="Arial" w:cs="Arial" w:eastAsia="Arial" w:hAnsi="Arial"/>
          <w:sz w:val="22"/>
          <w:szCs w:val="22"/>
          <w:color w:val="auto"/>
        </w:rPr>
        <w:t>securities of the Company entitled to vote generally in the election of directors (the “</w:t>
      </w:r>
      <w:r>
        <w:rPr>
          <w:rFonts w:ascii="Arial" w:cs="Arial" w:eastAsia="Arial" w:hAnsi="Arial"/>
          <w:sz w:val="22"/>
          <w:szCs w:val="22"/>
          <w:u w:val="single" w:color="auto"/>
          <w:color w:val="auto"/>
        </w:rPr>
        <w:t>Outstanding Company Voting</w:t>
      </w:r>
    </w:p>
    <w:p>
      <w:pPr>
        <w:spacing w:after="0" w:line="1" w:lineRule="exact"/>
        <w:rPr>
          <w:sz w:val="20"/>
          <w:szCs w:val="20"/>
          <w:color w:val="auto"/>
        </w:rPr>
      </w:pPr>
    </w:p>
    <w:p>
      <w:pPr>
        <w:ind w:left="7"/>
        <w:spacing w:after="0"/>
        <w:rPr>
          <w:sz w:val="20"/>
          <w:szCs w:val="20"/>
          <w:color w:val="auto"/>
        </w:rPr>
      </w:pPr>
      <w:r>
        <w:rPr>
          <w:rFonts w:ascii="Arial" w:cs="Arial" w:eastAsia="Arial" w:hAnsi="Arial"/>
          <w:sz w:val="21"/>
          <w:szCs w:val="21"/>
          <w:u w:val="single" w:color="auto"/>
          <w:color w:val="auto"/>
        </w:rPr>
        <w:t>Securities</w:t>
      </w:r>
      <w:r>
        <w:rPr>
          <w:rFonts w:ascii="Arial" w:cs="Arial" w:eastAsia="Arial" w:hAnsi="Arial"/>
          <w:sz w:val="21"/>
          <w:szCs w:val="21"/>
          <w:color w:val="auto"/>
        </w:rPr>
        <w:t>”); provided, however, that for purposes of this subsection (i), the following acquisitions shall not constitute a</w:t>
      </w:r>
    </w:p>
    <w:p>
      <w:pPr>
        <w:spacing w:after="0" w:line="2" w:lineRule="exact"/>
        <w:rPr>
          <w:sz w:val="20"/>
          <w:szCs w:val="20"/>
          <w:color w:val="auto"/>
        </w:rPr>
      </w:pPr>
    </w:p>
    <w:p>
      <w:pPr>
        <w:ind w:left="7"/>
        <w:spacing w:after="0"/>
        <w:rPr>
          <w:sz w:val="20"/>
          <w:szCs w:val="20"/>
          <w:color w:val="auto"/>
        </w:rPr>
      </w:pPr>
      <w:r>
        <w:rPr>
          <w:rFonts w:ascii="Arial" w:cs="Arial" w:eastAsia="Arial" w:hAnsi="Arial"/>
          <w:sz w:val="19"/>
          <w:szCs w:val="19"/>
          <w:color w:val="auto"/>
        </w:rPr>
        <w:t>Change in Control: (1) any acquisition directly from the Company or (2) any acquisition by any entity pursuant to a Business</w:t>
      </w:r>
    </w:p>
    <w:p>
      <w:pPr>
        <w:spacing w:after="0" w:line="25" w:lineRule="exact"/>
        <w:rPr>
          <w:sz w:val="20"/>
          <w:szCs w:val="20"/>
          <w:color w:val="auto"/>
        </w:rPr>
      </w:pPr>
    </w:p>
    <w:p>
      <w:pPr>
        <w:ind w:left="7"/>
        <w:spacing w:after="0"/>
        <w:rPr>
          <w:sz w:val="20"/>
          <w:szCs w:val="20"/>
          <w:color w:val="auto"/>
        </w:rPr>
      </w:pPr>
      <w:r>
        <w:rPr>
          <w:rFonts w:ascii="Arial" w:cs="Arial" w:eastAsia="Arial" w:hAnsi="Arial"/>
          <w:sz w:val="19"/>
          <w:szCs w:val="19"/>
          <w:color w:val="auto"/>
        </w:rPr>
        <w:t>Combination (as defined below) which complies with clauses (x) and (y) of subsection (iii) of this definition; or (ii) a change</w:t>
      </w:r>
    </w:p>
    <w:p>
      <w:pPr>
        <w:spacing w:after="0" w:line="25" w:lineRule="exact"/>
        <w:rPr>
          <w:sz w:val="20"/>
          <w:szCs w:val="20"/>
          <w:color w:val="auto"/>
        </w:rPr>
      </w:pPr>
    </w:p>
    <w:p>
      <w:pPr>
        <w:ind w:left="7"/>
        <w:spacing w:after="0"/>
        <w:rPr>
          <w:sz w:val="20"/>
          <w:szCs w:val="20"/>
          <w:color w:val="auto"/>
        </w:rPr>
      </w:pPr>
      <w:r>
        <w:rPr>
          <w:rFonts w:ascii="Arial" w:cs="Arial" w:eastAsia="Arial" w:hAnsi="Arial"/>
          <w:sz w:val="19"/>
          <w:szCs w:val="19"/>
          <w:color w:val="auto"/>
        </w:rPr>
        <w:t>in the composition of the Board that results in the Continuing Directors (as defined below) no longer constituting a majority</w:t>
      </w:r>
    </w:p>
    <w:p>
      <w:pPr>
        <w:spacing w:after="0" w:line="15" w:lineRule="exact"/>
        <w:rPr>
          <w:sz w:val="20"/>
          <w:szCs w:val="20"/>
          <w:color w:val="auto"/>
        </w:rPr>
      </w:pPr>
    </w:p>
    <w:p>
      <w:pPr>
        <w:ind w:left="7"/>
        <w:spacing w:after="0"/>
        <w:rPr>
          <w:sz w:val="20"/>
          <w:szCs w:val="20"/>
          <w:color w:val="auto"/>
        </w:rPr>
      </w:pPr>
      <w:r>
        <w:rPr>
          <w:rFonts w:ascii="Arial" w:cs="Arial" w:eastAsia="Arial" w:hAnsi="Arial"/>
          <w:sz w:val="22"/>
          <w:szCs w:val="22"/>
          <w:color w:val="auto"/>
        </w:rPr>
        <w:t>of the Board (or, if applicable, the Board of Directors of a successor corporation to the Company), where the term</w:t>
      </w:r>
    </w:p>
    <w:p>
      <w:pPr>
        <w:ind w:left="7"/>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Continuing Director</w:t>
      </w:r>
      <w:r>
        <w:rPr>
          <w:rFonts w:ascii="Arial" w:cs="Arial" w:eastAsia="Arial" w:hAnsi="Arial"/>
          <w:sz w:val="19"/>
          <w:szCs w:val="19"/>
          <w:color w:val="auto"/>
        </w:rPr>
        <w:t>” means at any date a member of the Board (x) who was a member of the Board on the Effective Date or</w:t>
      </w:r>
    </w:p>
    <w:p>
      <w:pPr>
        <w:spacing w:after="0" w:line="25" w:lineRule="exact"/>
        <w:rPr>
          <w:sz w:val="20"/>
          <w:szCs w:val="20"/>
          <w:color w:val="auto"/>
        </w:rPr>
      </w:pPr>
    </w:p>
    <w:p>
      <w:pPr>
        <w:ind w:left="7" w:right="300" w:hanging="7"/>
        <w:spacing w:after="0" w:line="234" w:lineRule="auto"/>
        <w:tabs>
          <w:tab w:leader="none" w:pos="313" w:val="left"/>
        </w:tabs>
        <w:numPr>
          <w:ilvl w:val="0"/>
          <w:numId w:val="56"/>
        </w:numPr>
        <w:rPr>
          <w:rFonts w:ascii="Arial" w:cs="Arial" w:eastAsia="Arial" w:hAnsi="Arial"/>
          <w:sz w:val="22"/>
          <w:szCs w:val="22"/>
          <w:color w:val="auto"/>
        </w:rPr>
      </w:pPr>
      <w:r>
        <w:rPr>
          <w:rFonts w:ascii="Arial" w:cs="Arial" w:eastAsia="Arial" w:hAnsi="Arial"/>
          <w:sz w:val="22"/>
          <w:szCs w:val="22"/>
          <w:color w:val="auto"/>
        </w:rPr>
        <w:t>who was nominated or elected subsequent to such date by at least a majority of the directors who were Continuing Directors at the time of such nomination or election or whose election to the Board was recommended or endorsed by at least a majority of the directors who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51435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7"/>
          </w:cols>
          <w:pgMar w:left="433" w:top="121" w:right="339" w:bottom="1440" w:gutter="0" w:footer="0" w:header="0"/>
        </w:sectPr>
      </w:pPr>
    </w:p>
    <w:bookmarkStart w:id="91" w:name="page92"/>
    <w:bookmarkEnd w:id="91"/>
    <w:p>
      <w:pPr>
        <w:ind w:left="10200"/>
        <w:spacing w:after="0"/>
        <w:rPr>
          <w:sz w:val="20"/>
          <w:szCs w:val="20"/>
          <w:color w:val="auto"/>
        </w:rPr>
      </w:pPr>
      <w:r>
        <w:rPr>
          <w:rFonts w:ascii="Arial" w:cs="Arial" w:eastAsia="Arial" w:hAnsi="Arial"/>
          <w:sz w:val="16"/>
          <w:szCs w:val="16"/>
          <w:b w:val="1"/>
          <w:bCs w:val="1"/>
          <w:color w:val="auto"/>
        </w:rPr>
        <w:t>Exhibit 10.2</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Continuing Directors at the time of such nomination or election; provided, however, that there shall be excluded from this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clause (y) any individual whose initial assumption of office occurred as a result of an actual or threatened election contest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with respect to the election or removal of directors or other actual or threatened solicitation of proxies or consents, by or 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behalf of a person other than the Board; or (iii) the consummation of a merger, consolidation, reorganization, recapitalization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or share exchange involving the Company, or a sale or other disposition of all or substantially all of the assets of the Company</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(a “</w:t>
      </w:r>
      <w:r>
        <w:rPr>
          <w:rFonts w:ascii="Arial" w:cs="Arial" w:eastAsia="Arial" w:hAnsi="Arial"/>
          <w:sz w:val="21"/>
          <w:szCs w:val="21"/>
          <w:u w:val="single" w:color="auto"/>
          <w:color w:val="auto"/>
        </w:rPr>
        <w:t>Business Combination</w:t>
      </w:r>
      <w:r>
        <w:rPr>
          <w:rFonts w:ascii="Arial" w:cs="Arial" w:eastAsia="Arial" w:hAnsi="Arial"/>
          <w:sz w:val="21"/>
          <w:szCs w:val="21"/>
          <w:color w:val="auto"/>
        </w:rPr>
        <w:t>”), unless, immediately following such Business Combination, each of the following two (2)</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conditions is satisfied: (x) all or substantially all of the individuals and entities who were the beneficial owners of the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Outstanding Company Common Stock and Outstanding Company Voting Securities immediately prior to such Business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Combination beneficially own, directly or indirectly, more than fifty percent (50%) of the then-outstanding shares of common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stock and the combined voting power of the then-outstanding securities entitled to vote generally in the election of directors,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respectively, of the resulting or acquiring corporation in such Business Combination (which shall include, without limitation,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 corporation which as a result of such transaction owns the Company or substantially all of the Company’s assets either</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directly or through one (1) or more subsidiaries) (such resulting or acquiring corporation is referred to herein as the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Acquiring Corporation</w:t>
      </w:r>
      <w:r>
        <w:rPr>
          <w:rFonts w:ascii="Arial" w:cs="Arial" w:eastAsia="Arial" w:hAnsi="Arial"/>
          <w:sz w:val="21"/>
          <w:szCs w:val="21"/>
          <w:color w:val="auto"/>
        </w:rPr>
        <w:t>”) in substantially the same proportions as their ownership of the Outstanding Company Common</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Stock and Outstanding Company Voting Securities, respectively, immediately prior to such Business Combination and (y) no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Person (excluding any employee benefit plan (or related trust) maintained or sponsored by the Company or by the Acquiring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Corporation) beneficially owns, directly or indirectly, fifty percent (50%) or more of the then-outstanding shares of common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stock of the Acquiring Corporation, or of the combined voting power of the then-outstanding securities of such corporation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entitled to vote generally in the election of directors (except to the extent that such ownership existed prior to the Business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Combination); or (iv) the liquidation or dissolution of the Company.</w:t>
      </w:r>
    </w:p>
    <w:p>
      <w:pPr>
        <w:spacing w:after="0" w:line="296" w:lineRule="exact"/>
        <w:rPr>
          <w:sz w:val="20"/>
          <w:szCs w:val="20"/>
          <w:color w:val="auto"/>
        </w:rPr>
      </w:pPr>
    </w:p>
    <w:p>
      <w:pPr>
        <w:ind w:left="900" w:hanging="503"/>
        <w:spacing w:after="0"/>
        <w:tabs>
          <w:tab w:leader="none" w:pos="900" w:val="left"/>
        </w:tabs>
        <w:numPr>
          <w:ilvl w:val="0"/>
          <w:numId w:val="57"/>
        </w:numPr>
        <w:rPr>
          <w:rFonts w:ascii="Arial" w:cs="Arial" w:eastAsia="Arial" w:hAnsi="Arial"/>
          <w:sz w:val="22"/>
          <w:szCs w:val="22"/>
          <w:color w:val="auto"/>
        </w:rPr>
      </w:pPr>
      <w:r>
        <w:rPr>
          <w:rFonts w:ascii="Arial" w:cs="Arial" w:eastAsia="Arial" w:hAnsi="Arial"/>
          <w:sz w:val="22"/>
          <w:szCs w:val="22"/>
          <w:i w:val="1"/>
          <w:iCs w:val="1"/>
          <w:color w:val="auto"/>
        </w:rPr>
        <w:t>Tax Matters.</w:t>
      </w:r>
    </w:p>
    <w:p>
      <w:pPr>
        <w:spacing w:after="0" w:line="206" w:lineRule="exact"/>
        <w:rPr>
          <w:sz w:val="20"/>
          <w:szCs w:val="20"/>
          <w:color w:val="auto"/>
        </w:rPr>
      </w:pPr>
    </w:p>
    <w:p>
      <w:pPr>
        <w:ind w:right="400" w:firstLine="749"/>
        <w:spacing w:after="0" w:line="274" w:lineRule="auto"/>
        <w:rPr>
          <w:sz w:val="20"/>
          <w:szCs w:val="20"/>
          <w:color w:val="auto"/>
        </w:rPr>
      </w:pPr>
      <w:r>
        <w:rPr>
          <w:rFonts w:ascii="Arial" w:cs="Arial" w:eastAsia="Arial" w:hAnsi="Arial"/>
          <w:sz w:val="21"/>
          <w:szCs w:val="21"/>
          <w:color w:val="auto"/>
        </w:rPr>
        <w:t>(a)</w:t>
      </w:r>
      <w:r>
        <w:rPr>
          <w:rFonts w:ascii="Arial" w:cs="Arial" w:eastAsia="Arial" w:hAnsi="Arial"/>
          <w:sz w:val="21"/>
          <w:szCs w:val="21"/>
          <w:i w:val="1"/>
          <w:iCs w:val="1"/>
          <w:color w:val="auto"/>
        </w:rPr>
        <w:t>Withholding</w:t>
      </w:r>
      <w:r>
        <w:rPr>
          <w:rFonts w:ascii="Arial" w:cs="Arial" w:eastAsia="Arial" w:hAnsi="Arial"/>
          <w:sz w:val="21"/>
          <w:szCs w:val="21"/>
          <w:color w:val="auto"/>
        </w:rPr>
        <w:t>. The Company may withhold from any compensation and benefits payable under this Agreement all applicable federal, state, local, or other taxes, and any other applicable withholdings and deductions.</w:t>
      </w:r>
    </w:p>
    <w:p>
      <w:pPr>
        <w:spacing w:after="0" w:line="151" w:lineRule="exact"/>
        <w:rPr>
          <w:sz w:val="20"/>
          <w:szCs w:val="20"/>
          <w:color w:val="auto"/>
        </w:rPr>
      </w:pPr>
    </w:p>
    <w:p>
      <w:pPr>
        <w:ind w:left="740"/>
        <w:spacing w:after="0"/>
        <w:rPr>
          <w:sz w:val="20"/>
          <w:szCs w:val="20"/>
          <w:color w:val="auto"/>
        </w:rPr>
      </w:pPr>
      <w:r>
        <w:rPr>
          <w:rFonts w:ascii="Arial" w:cs="Arial" w:eastAsia="Arial" w:hAnsi="Arial"/>
          <w:sz w:val="22"/>
          <w:szCs w:val="22"/>
          <w:color w:val="auto"/>
        </w:rPr>
        <w:t>(b)</w:t>
      </w:r>
      <w:r>
        <w:rPr>
          <w:rFonts w:ascii="Arial" w:cs="Arial" w:eastAsia="Arial" w:hAnsi="Arial"/>
          <w:sz w:val="22"/>
          <w:szCs w:val="22"/>
          <w:i w:val="1"/>
          <w:iCs w:val="1"/>
          <w:color w:val="auto"/>
        </w:rPr>
        <w:t>Section 409A</w:t>
      </w:r>
      <w:r>
        <w:rPr>
          <w:rFonts w:ascii="Arial" w:cs="Arial" w:eastAsia="Arial" w:hAnsi="Arial"/>
          <w:sz w:val="22"/>
          <w:szCs w:val="22"/>
          <w:color w:val="auto"/>
        </w:rPr>
        <w:t>.</w:t>
      </w:r>
    </w:p>
    <w:p>
      <w:pPr>
        <w:spacing w:after="0" w:line="314" w:lineRule="exact"/>
        <w:rPr>
          <w:sz w:val="20"/>
          <w:szCs w:val="20"/>
          <w:color w:val="auto"/>
        </w:rPr>
      </w:pPr>
    </w:p>
    <w:p>
      <w:pPr>
        <w:ind w:left="1400" w:right="340" w:hanging="494"/>
        <w:spacing w:after="0" w:line="245" w:lineRule="auto"/>
        <w:tabs>
          <w:tab w:leader="none" w:pos="1400" w:val="left"/>
        </w:tabs>
        <w:numPr>
          <w:ilvl w:val="0"/>
          <w:numId w:val="58"/>
        </w:numPr>
        <w:rPr>
          <w:rFonts w:ascii="Arial" w:cs="Arial" w:eastAsia="Arial" w:hAnsi="Arial"/>
          <w:sz w:val="21"/>
          <w:szCs w:val="21"/>
          <w:color w:val="auto"/>
        </w:rPr>
      </w:pPr>
      <w:r>
        <w:rPr>
          <w:rFonts w:ascii="Arial" w:cs="Arial" w:eastAsia="Arial" w:hAnsi="Arial"/>
          <w:sz w:val="21"/>
          <w:szCs w:val="21"/>
          <w:color w:val="auto"/>
        </w:rPr>
        <w:t>Although the Company does not guarantee the tax treatment of any payments or benefits under this Agreement, the intent of the Parties is that the payments and benefits under this Agreement be exempt from or, to the extent not exempt, comply with, Section 409A of the Code and the regulations and guidance promulgated thereunder (collectively “Section 409A”), and, accordingly, to the maximum extent possible, this Agreement will be interpreted and construed consistent with such intent. Notwithstanding the foregoing, the Company does not guarantee any particular tax result, and in no event whatsoever will the Company, its affiliates, or their respective officers, directors, employees, counsel or other service providers, be liable for any tax, interest or penalty that may be imposed on the Executive by Section 409A or damages for failing to comply with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49530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10.2</w:t>
      </w:r>
    </w:p>
    <w:p>
      <w:pPr>
        <w:spacing w:after="0" w:line="114" w:lineRule="exact"/>
        <w:rPr>
          <w:sz w:val="20"/>
          <w:szCs w:val="20"/>
          <w:color w:val="auto"/>
        </w:rPr>
      </w:pPr>
    </w:p>
    <w:p>
      <w:pPr>
        <w:ind w:left="500" w:right="420" w:hanging="494"/>
        <w:spacing w:after="0" w:line="249" w:lineRule="auto"/>
        <w:tabs>
          <w:tab w:leader="none" w:pos="5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For purposes of Section 409A, the Executive’s right to receive installment payments pursuant to this Agreement shall be treated as a right to receive a series of separate payments and, accordingly, each installment payment will at all times be considered a separate and distinct payment. Whenever a payment hereunder specifies a payment period with reference to a number of days, the actual date of payment within the specified period shall be within the sole discretion of the Company.</w:t>
      </w:r>
    </w:p>
    <w:p>
      <w:pPr>
        <w:spacing w:after="0" w:line="70" w:lineRule="exact"/>
        <w:rPr>
          <w:rFonts w:ascii="Arial" w:cs="Arial" w:eastAsia="Arial" w:hAnsi="Arial"/>
          <w:sz w:val="21"/>
          <w:szCs w:val="21"/>
          <w:color w:val="auto"/>
        </w:rPr>
      </w:pPr>
    </w:p>
    <w:p>
      <w:pPr>
        <w:ind w:left="500" w:right="380" w:hanging="494"/>
        <w:spacing w:after="0" w:line="246" w:lineRule="auto"/>
        <w:tabs>
          <w:tab w:leader="none" w:pos="5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To the extent that reimbursements or other in-kind benefits hereunder constitute “deferred compensation” subject to Section 409A, (x) all expenses or other reimbursements hereunder will be made on or prior to the last day of the taxable year following the taxable year in which such expenses were incurred by the Executive, (y) any right to reimbursement or in-kind benefits will not be subject to liquidation or exchange for another benefit, and (z) no such reimbursement, expenses eligible for reimbursement, or in-kind benefits provided in any taxable year will in any way affect the expenses eligible for reimbursement, or in-kind benefits to be provided, in any other taxable year.</w:t>
      </w:r>
    </w:p>
    <w:p>
      <w:pPr>
        <w:spacing w:after="0" w:line="76" w:lineRule="exact"/>
        <w:rPr>
          <w:rFonts w:ascii="Arial" w:cs="Arial" w:eastAsia="Arial" w:hAnsi="Arial"/>
          <w:sz w:val="21"/>
          <w:szCs w:val="21"/>
          <w:color w:val="auto"/>
        </w:rPr>
      </w:pPr>
    </w:p>
    <w:p>
      <w:pPr>
        <w:ind w:left="500" w:right="560" w:hanging="494"/>
        <w:spacing w:after="0"/>
        <w:tabs>
          <w:tab w:leader="none" w:pos="5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Any other provision of this Agreement to the contrary notwithstanding, in no event will any payment or benefit hereunder that constitutes “deferred compensation” subject to Section 409A be subject to offset by any other amount unless otherwise permitted by Section 409A.</w:t>
      </w:r>
    </w:p>
    <w:p>
      <w:pPr>
        <w:spacing w:after="0" w:line="78" w:lineRule="exact"/>
        <w:rPr>
          <w:rFonts w:ascii="Arial" w:cs="Arial" w:eastAsia="Arial" w:hAnsi="Arial"/>
          <w:sz w:val="22"/>
          <w:szCs w:val="22"/>
          <w:color w:val="auto"/>
        </w:rPr>
      </w:pPr>
    </w:p>
    <w:p>
      <w:pPr>
        <w:ind w:left="500" w:right="320" w:hanging="494"/>
        <w:spacing w:after="0" w:line="277" w:lineRule="auto"/>
        <w:tabs>
          <w:tab w:leader="none" w:pos="5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 termination of employment will not be deemed to have occurred for purposes of any provision of this Agreement providing for the payment of any amounts or benefits that constitute “deferred compensation” subject to Section 409A upon or following a termination of employment, unless such termination is also a “separation from service” within the meaning of Section 409A, and, for purposes of any such provision, all references in this Agreement to the Executive’s “termination”, “termination of employment” or like terms will mean the Executive’s “separation from service” with the Company, and the date of such separation from service will be the date of termination for purposes of any such payment or benefit.</w:t>
      </w:r>
    </w:p>
    <w:p>
      <w:pPr>
        <w:spacing w:after="0" w:line="43" w:lineRule="exact"/>
        <w:rPr>
          <w:rFonts w:ascii="Arial" w:cs="Arial" w:eastAsia="Arial" w:hAnsi="Arial"/>
          <w:sz w:val="19"/>
          <w:szCs w:val="19"/>
          <w:color w:val="auto"/>
        </w:rPr>
      </w:pPr>
    </w:p>
    <w:p>
      <w:pPr>
        <w:ind w:left="500" w:right="220" w:hanging="494"/>
        <w:spacing w:after="0" w:line="270" w:lineRule="auto"/>
        <w:tabs>
          <w:tab w:leader="none" w:pos="5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to the contrary, if, at the time of the Executive’s separation from service, the Executive is a “specified employee” within the meaning and in accordance with Treasury Regulation Section 1.409A-1(i), then the Company will defer the payment or commencement of any “deferred compensation” subject to Section 409A that is payable upon separation from service (without any reduction in such payments or benefits ultimately paid or provided to the Executive) until the date that is six</w:t>
      </w:r>
    </w:p>
    <w:p>
      <w:pPr>
        <w:spacing w:after="0" w:line="4" w:lineRule="exact"/>
        <w:rPr>
          <w:rFonts w:ascii="Arial" w:cs="Arial" w:eastAsia="Arial" w:hAnsi="Arial"/>
          <w:sz w:val="19"/>
          <w:szCs w:val="19"/>
          <w:color w:val="auto"/>
        </w:rPr>
      </w:pPr>
    </w:p>
    <w:p>
      <w:pPr>
        <w:ind w:left="500" w:right="220"/>
        <w:spacing w:after="0" w:line="245" w:lineRule="auto"/>
        <w:rPr>
          <w:rFonts w:ascii="Arial" w:cs="Arial" w:eastAsia="Arial" w:hAnsi="Arial"/>
          <w:sz w:val="19"/>
          <w:szCs w:val="19"/>
          <w:color w:val="auto"/>
        </w:rPr>
      </w:pPr>
      <w:r>
        <w:rPr>
          <w:rFonts w:ascii="Arial" w:cs="Arial" w:eastAsia="Arial" w:hAnsi="Arial"/>
          <w:sz w:val="21"/>
          <w:szCs w:val="21"/>
          <w:color w:val="auto"/>
        </w:rPr>
        <w:t>(6) months following separation from service or, if earlier, the earliest other date as is permitted under Section 409A (and any amounts that otherwise would have been paid during this deferral period will be paid in a lump sum on the day after the expiration of the six (6) month period or such shorter period, if applicable). The Company will determine in its sole discretion all matters relating to who is a “specified employee” and the application of and effects of the change in such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407035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1340" w:top="121" w:right="339" w:bottom="1440" w:gutter="0" w:footer="0" w:header="0"/>
        </w:sectPr>
      </w:pPr>
    </w:p>
    <w:bookmarkStart w:id="93" w:name="page94"/>
    <w:bookmarkEnd w:id="93"/>
    <w:p>
      <w:pPr>
        <w:ind w:left="10200"/>
        <w:spacing w:after="0"/>
        <w:rPr>
          <w:sz w:val="20"/>
          <w:szCs w:val="20"/>
          <w:color w:val="auto"/>
        </w:rPr>
      </w:pPr>
      <w:r>
        <w:rPr>
          <w:rFonts w:ascii="Arial" w:cs="Arial" w:eastAsia="Arial" w:hAnsi="Arial"/>
          <w:sz w:val="16"/>
          <w:szCs w:val="16"/>
          <w:b w:val="1"/>
          <w:bCs w:val="1"/>
          <w:color w:val="auto"/>
        </w:rPr>
        <w:t>Exhibit 10.2</w:t>
      </w:r>
    </w:p>
    <w:p>
      <w:pPr>
        <w:spacing w:after="0" w:line="47" w:lineRule="exact"/>
        <w:rPr>
          <w:sz w:val="20"/>
          <w:szCs w:val="20"/>
          <w:color w:val="auto"/>
        </w:rPr>
      </w:pPr>
    </w:p>
    <w:p>
      <w:pPr>
        <w:ind w:right="260" w:firstLine="749"/>
        <w:spacing w:after="0" w:line="269" w:lineRule="auto"/>
        <w:rPr>
          <w:sz w:val="20"/>
          <w:szCs w:val="20"/>
          <w:color w:val="auto"/>
        </w:rPr>
      </w:pPr>
      <w:r>
        <w:rPr>
          <w:rFonts w:ascii="Arial" w:cs="Arial" w:eastAsia="Arial" w:hAnsi="Arial"/>
          <w:sz w:val="19"/>
          <w:szCs w:val="19"/>
          <w:color w:val="auto"/>
        </w:rPr>
        <w:t>(c)</w:t>
      </w:r>
      <w:r>
        <w:rPr>
          <w:rFonts w:ascii="Arial" w:cs="Arial" w:eastAsia="Arial" w:hAnsi="Arial"/>
          <w:sz w:val="19"/>
          <w:szCs w:val="19"/>
          <w:i w:val="1"/>
          <w:iCs w:val="1"/>
          <w:color w:val="auto"/>
        </w:rPr>
        <w:t>Section 280G</w:t>
      </w:r>
      <w:r>
        <w:rPr>
          <w:rFonts w:ascii="Arial" w:cs="Arial" w:eastAsia="Arial" w:hAnsi="Arial"/>
          <w:sz w:val="19"/>
          <w:szCs w:val="19"/>
          <w:color w:val="auto"/>
        </w:rPr>
        <w:t>. In the event that any payments and other benefits provided for in this Agreement or otherwise payable to the Executive constitute “parachute payments” within the meaning of Section 280G of the Code, and, but for this paragraph, would be subject to the excise tax imposed by Section 4999 of the Code, then any post-termination severance payments and benefits payable under this Agreement or otherwise will be either (1) delivered in full or (2) delivered as to such lesser extent which would result in no portion of such payments and benefits being subject to excise tax under Section 4999 of the Code, whichever of the foregoing amounts, taking into account the applicable federal, state and local income taxes and the excise tax imposed by Section 4999 of the Code, results in the receipt by the Executive, on an after-tax basis, of the greatest amount of payments and benefits, notwithstanding that all or some portion of such benefits may be taxable under Section 4999 of the Code. If a reduction in the Executive’s payments and benefits is necessitated by the preceding sentence, such reduction will occur in the following order: (i) any cash amounts payable to the Executive, (ii) any benefits valued as parachute payments, and (iii) acceleration of vesting of any equity awards. Any determination required under this paragraph will be made in writing by the Company’s independent public accountants (the “</w:t>
      </w:r>
      <w:r>
        <w:rPr>
          <w:rFonts w:ascii="Arial" w:cs="Arial" w:eastAsia="Arial" w:hAnsi="Arial"/>
          <w:sz w:val="19"/>
          <w:szCs w:val="19"/>
          <w:u w:val="single" w:color="auto"/>
          <w:color w:val="auto"/>
        </w:rPr>
        <w:t>Firm</w:t>
      </w:r>
      <w:r>
        <w:rPr>
          <w:rFonts w:ascii="Arial" w:cs="Arial" w:eastAsia="Arial" w:hAnsi="Arial"/>
          <w:sz w:val="19"/>
          <w:szCs w:val="19"/>
          <w:color w:val="auto"/>
        </w:rPr>
        <w:t>”), whose determination will be conclusive and binding upon the Executive and the Company. For purposes of making the calculations required by this paragraph, the Firm may make reasonable assumptions and approximations concerning applicable taxes and may rely on reasonable, good faith interpretations concerning the application of Sections 280G and 4999 of the Code. The Company and the Executive will furnish to the Firm such information and documents as the Firm may reasonably request in order to make a determination under this paragraph. The Company will bear all costs the Firm may incur in connection with any calculations contemplated by this paragraph.</w:t>
      </w:r>
    </w:p>
    <w:p>
      <w:pPr>
        <w:spacing w:after="0" w:line="200" w:lineRule="exact"/>
        <w:rPr>
          <w:sz w:val="20"/>
          <w:szCs w:val="20"/>
          <w:color w:val="auto"/>
        </w:rPr>
      </w:pPr>
    </w:p>
    <w:p>
      <w:pPr>
        <w:spacing w:after="0" w:line="209" w:lineRule="exact"/>
        <w:rPr>
          <w:sz w:val="20"/>
          <w:szCs w:val="20"/>
          <w:color w:val="auto"/>
        </w:rPr>
      </w:pPr>
    </w:p>
    <w:p>
      <w:pPr>
        <w:ind w:right="340" w:firstLine="749"/>
        <w:spacing w:after="0" w:line="287" w:lineRule="auto"/>
        <w:rPr>
          <w:sz w:val="20"/>
          <w:szCs w:val="20"/>
          <w:color w:val="auto"/>
        </w:rPr>
      </w:pPr>
      <w:r>
        <w:rPr>
          <w:rFonts w:ascii="Arial" w:cs="Arial" w:eastAsia="Arial" w:hAnsi="Arial"/>
          <w:sz w:val="19"/>
          <w:szCs w:val="19"/>
          <w:color w:val="auto"/>
        </w:rPr>
        <w:t>9.</w:t>
      </w:r>
      <w:r>
        <w:rPr>
          <w:rFonts w:ascii="Arial" w:cs="Arial" w:eastAsia="Arial" w:hAnsi="Arial"/>
          <w:sz w:val="19"/>
          <w:szCs w:val="19"/>
          <w:i w:val="1"/>
          <w:iCs w:val="1"/>
          <w:color w:val="auto"/>
        </w:rPr>
        <w:t>Clawback</w:t>
      </w:r>
      <w:r>
        <w:rPr>
          <w:rFonts w:ascii="Arial" w:cs="Arial" w:eastAsia="Arial" w:hAnsi="Arial"/>
          <w:sz w:val="19"/>
          <w:szCs w:val="19"/>
          <w:color w:val="auto"/>
        </w:rPr>
        <w:t>. To the maximum extent permitted by applicable law, all amounts paid or provided to the Executive hereunder shall be subject to any clawback or recoupment policy that may be maintained by the Company from time to time, and the requirements of any law or regulation applicable to the Company and governing the clawback or recoupment of executive compensation, or as set forth in any final non-appealable order by any court of competent jurisdiction or arbitrator.</w:t>
      </w:r>
    </w:p>
    <w:p>
      <w:pPr>
        <w:spacing w:after="0" w:line="143" w:lineRule="exact"/>
        <w:rPr>
          <w:sz w:val="20"/>
          <w:szCs w:val="20"/>
          <w:color w:val="auto"/>
        </w:rPr>
      </w:pPr>
    </w:p>
    <w:p>
      <w:pPr>
        <w:ind w:right="420" w:firstLine="749"/>
        <w:spacing w:after="0" w:line="238" w:lineRule="auto"/>
        <w:rPr>
          <w:sz w:val="20"/>
          <w:szCs w:val="20"/>
          <w:color w:val="auto"/>
        </w:rPr>
      </w:pPr>
      <w:r>
        <w:rPr>
          <w:rFonts w:ascii="Arial" w:cs="Arial" w:eastAsia="Arial" w:hAnsi="Arial"/>
          <w:sz w:val="22"/>
          <w:szCs w:val="22"/>
          <w:color w:val="auto"/>
        </w:rPr>
        <w:t>10.</w:t>
      </w:r>
      <w:r>
        <w:rPr>
          <w:rFonts w:ascii="Arial" w:cs="Arial" w:eastAsia="Arial" w:hAnsi="Arial"/>
          <w:sz w:val="22"/>
          <w:szCs w:val="22"/>
          <w:i w:val="1"/>
          <w:iCs w:val="1"/>
          <w:color w:val="auto"/>
        </w:rPr>
        <w:t>Absence of Restrictions</w:t>
      </w:r>
      <w:r>
        <w:rPr>
          <w:rFonts w:ascii="Arial" w:cs="Arial" w:eastAsia="Arial" w:hAnsi="Arial"/>
          <w:sz w:val="22"/>
          <w:szCs w:val="22"/>
          <w:color w:val="auto"/>
        </w:rPr>
        <w:t>. The Executive represents and warrants that the Executive is not bound by any employment contracts, restrictive covenants or other restrictions that prevent the Executive from entering into employment with, or carrying out the Executive’s responsibilities for, the Company, or which are in any way inconsistent with any of the terms of this Agreement.</w:t>
      </w:r>
    </w:p>
    <w:p>
      <w:pPr>
        <w:spacing w:after="0" w:line="212" w:lineRule="exact"/>
        <w:rPr>
          <w:sz w:val="20"/>
          <w:szCs w:val="20"/>
          <w:color w:val="auto"/>
        </w:rPr>
      </w:pPr>
    </w:p>
    <w:p>
      <w:pPr>
        <w:ind w:right="220" w:firstLine="749"/>
        <w:spacing w:after="0" w:line="238" w:lineRule="auto"/>
        <w:rPr>
          <w:sz w:val="20"/>
          <w:szCs w:val="20"/>
          <w:color w:val="auto"/>
        </w:rPr>
      </w:pPr>
      <w:r>
        <w:rPr>
          <w:rFonts w:ascii="Arial" w:cs="Arial" w:eastAsia="Arial" w:hAnsi="Arial"/>
          <w:sz w:val="22"/>
          <w:szCs w:val="22"/>
          <w:color w:val="auto"/>
        </w:rPr>
        <w:t>11.</w:t>
      </w:r>
      <w:r>
        <w:rPr>
          <w:rFonts w:ascii="Arial" w:cs="Arial" w:eastAsia="Arial" w:hAnsi="Arial"/>
          <w:sz w:val="22"/>
          <w:szCs w:val="22"/>
          <w:i w:val="1"/>
          <w:iCs w:val="1"/>
          <w:color w:val="auto"/>
        </w:rPr>
        <w:t>Notice</w:t>
      </w:r>
      <w:r>
        <w:rPr>
          <w:rFonts w:ascii="Arial" w:cs="Arial" w:eastAsia="Arial" w:hAnsi="Arial"/>
          <w:sz w:val="22"/>
          <w:szCs w:val="22"/>
          <w:color w:val="auto"/>
        </w:rPr>
        <w:t>. Any notice delivered under this Agreement shall be deemed duly delivered three (3) business days after it is sent by registered or certified mail, return receipt requested, postage prepaid, one (1) business day after it is sent for next-business day delivery via a reputable nationwide overnight courier service, or immediately upon hand delivery, in each case to the address of the recipient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340995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10.2</w:t>
      </w:r>
    </w:p>
    <w:p>
      <w:pPr>
        <w:spacing w:after="0" w:line="24"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To Executive:</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Alex Sapir</w:t>
      </w:r>
    </w:p>
    <w:p>
      <w:pPr>
        <w:ind w:left="1020"/>
        <w:spacing w:after="0" w:line="238" w:lineRule="auto"/>
        <w:rPr>
          <w:sz w:val="20"/>
          <w:szCs w:val="20"/>
          <w:color w:val="auto"/>
        </w:rPr>
      </w:pPr>
      <w:r>
        <w:rPr>
          <w:rFonts w:ascii="Arial" w:cs="Arial" w:eastAsia="Arial" w:hAnsi="Arial"/>
          <w:sz w:val="22"/>
          <w:szCs w:val="22"/>
          <w:color w:val="auto"/>
        </w:rPr>
        <w:t>3829 Regent Road</w:t>
      </w:r>
    </w:p>
    <w:p>
      <w:pPr>
        <w:ind w:left="1020"/>
        <w:spacing w:after="0" w:line="230" w:lineRule="auto"/>
        <w:rPr>
          <w:sz w:val="20"/>
          <w:szCs w:val="20"/>
          <w:color w:val="auto"/>
        </w:rPr>
      </w:pPr>
      <w:r>
        <w:rPr>
          <w:rFonts w:ascii="Arial" w:cs="Arial" w:eastAsia="Arial" w:hAnsi="Arial"/>
          <w:sz w:val="22"/>
          <w:szCs w:val="22"/>
          <w:color w:val="auto"/>
        </w:rPr>
        <w:t>Durham, NC 27707 To Company:</w:t>
      </w:r>
    </w:p>
    <w:p>
      <w:pPr>
        <w:ind w:left="1020"/>
        <w:spacing w:after="0"/>
        <w:rPr>
          <w:sz w:val="20"/>
          <w:szCs w:val="20"/>
          <w:color w:val="auto"/>
        </w:rPr>
      </w:pPr>
      <w:r>
        <w:rPr>
          <w:rFonts w:ascii="Arial" w:cs="Arial" w:eastAsia="Arial" w:hAnsi="Arial"/>
          <w:sz w:val="22"/>
          <w:szCs w:val="22"/>
          <w:color w:val="auto"/>
        </w:rPr>
        <w:t>Fulcrum Therapeutics, Inc.</w:t>
      </w:r>
    </w:p>
    <w:p>
      <w:pPr>
        <w:ind w:left="1020"/>
        <w:spacing w:after="0"/>
        <w:rPr>
          <w:sz w:val="20"/>
          <w:szCs w:val="20"/>
          <w:color w:val="auto"/>
        </w:rPr>
      </w:pPr>
      <w:r>
        <w:rPr>
          <w:rFonts w:ascii="Arial" w:cs="Arial" w:eastAsia="Arial" w:hAnsi="Arial"/>
          <w:sz w:val="22"/>
          <w:szCs w:val="22"/>
          <w:color w:val="auto"/>
        </w:rPr>
        <w:t>26 Landsdowne Street,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Cambridge, MA 02139</w:t>
      </w:r>
    </w:p>
    <w:p>
      <w:pPr>
        <w:spacing w:after="0" w:line="150"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Either Party may change the address to which notices are to be delivered by giving notice of such change to the other Party in the manner set forth in this Section 11.</w:t>
      </w:r>
    </w:p>
    <w:p>
      <w:pPr>
        <w:spacing w:after="0" w:line="188" w:lineRule="exact"/>
        <w:rPr>
          <w:sz w:val="20"/>
          <w:szCs w:val="20"/>
          <w:color w:val="auto"/>
        </w:rPr>
      </w:pPr>
    </w:p>
    <w:p>
      <w:pPr>
        <w:ind w:left="120" w:right="220" w:firstLine="749"/>
        <w:spacing w:after="0" w:line="246" w:lineRule="auto"/>
        <w:rPr>
          <w:sz w:val="20"/>
          <w:szCs w:val="20"/>
          <w:color w:val="auto"/>
        </w:rPr>
      </w:pPr>
      <w:r>
        <w:rPr>
          <w:rFonts w:ascii="Arial" w:cs="Arial" w:eastAsia="Arial" w:hAnsi="Arial"/>
          <w:sz w:val="21"/>
          <w:szCs w:val="21"/>
          <w:color w:val="auto"/>
        </w:rPr>
        <w:t>12.</w:t>
      </w:r>
      <w:r>
        <w:rPr>
          <w:rFonts w:ascii="Arial" w:cs="Arial" w:eastAsia="Arial" w:hAnsi="Arial"/>
          <w:sz w:val="21"/>
          <w:szCs w:val="21"/>
          <w:i w:val="1"/>
          <w:iCs w:val="1"/>
          <w:color w:val="auto"/>
        </w:rPr>
        <w:t>Applicable Law; Jury Trial Waiver</w:t>
      </w:r>
      <w:r>
        <w:rPr>
          <w:rFonts w:ascii="Arial" w:cs="Arial" w:eastAsia="Arial" w:hAnsi="Arial"/>
          <w:sz w:val="21"/>
          <w:szCs w:val="21"/>
          <w:color w:val="auto"/>
        </w:rPr>
        <w:t>. This Agreement shall be governed by and construed in accordance with the laws of the Commonwealth of Massachusetts (without reference to the conflict of laws provisions thereof). Any action, suit or other legal proceeding arising under or relating to any provision of this Agreement shall be commenced only in a court of the Commonwealth of Massachusetts (or, if appropriate, a federal court located within the Commonwealth of Massachusetts), and the Company and the Executive each consents to the jurisdiction of such a court. The Company and the Executive each hereby irrevocably waives any right to a trial by jury in any action, suit or other legal proceeding arising under or relating to any provision of this Agreement.</w:t>
      </w:r>
    </w:p>
    <w:p>
      <w:pPr>
        <w:spacing w:after="0" w:line="184" w:lineRule="exact"/>
        <w:rPr>
          <w:sz w:val="20"/>
          <w:szCs w:val="20"/>
          <w:color w:val="auto"/>
        </w:rPr>
      </w:pPr>
    </w:p>
    <w:p>
      <w:pPr>
        <w:ind w:left="120" w:right="260" w:firstLine="749"/>
        <w:spacing w:after="0" w:line="236" w:lineRule="auto"/>
        <w:rPr>
          <w:sz w:val="20"/>
          <w:szCs w:val="20"/>
          <w:color w:val="auto"/>
        </w:rPr>
      </w:pPr>
      <w:r>
        <w:rPr>
          <w:rFonts w:ascii="Arial" w:cs="Arial" w:eastAsia="Arial" w:hAnsi="Arial"/>
          <w:sz w:val="22"/>
          <w:szCs w:val="22"/>
          <w:color w:val="auto"/>
        </w:rPr>
        <w:t>13.</w:t>
      </w:r>
      <w:r>
        <w:rPr>
          <w:rFonts w:ascii="Arial" w:cs="Arial" w:eastAsia="Arial" w:hAnsi="Arial"/>
          <w:sz w:val="22"/>
          <w:szCs w:val="22"/>
          <w:i w:val="1"/>
          <w:iCs w:val="1"/>
          <w:color w:val="auto"/>
        </w:rPr>
        <w:t>Successors and Assigns</w:t>
      </w:r>
      <w:r>
        <w:rPr>
          <w:rFonts w:ascii="Arial" w:cs="Arial" w:eastAsia="Arial" w:hAnsi="Arial"/>
          <w:sz w:val="22"/>
          <w:szCs w:val="22"/>
          <w:color w:val="auto"/>
        </w:rPr>
        <w:t>. This Agreement shall be binding upon and inure to the benefit of both Parties and their respective successors and assigns, including any corporation with which or into which the Company may be merged or which may succeed to its assets or business (and, as used in this Agreement, “</w:t>
      </w:r>
      <w:r>
        <w:rPr>
          <w:rFonts w:ascii="Arial" w:cs="Arial" w:eastAsia="Arial" w:hAnsi="Arial"/>
          <w:sz w:val="22"/>
          <w:szCs w:val="22"/>
          <w:u w:val="single" w:color="auto"/>
          <w:color w:val="auto"/>
        </w:rPr>
        <w:t>Company</w:t>
      </w:r>
      <w:r>
        <w:rPr>
          <w:rFonts w:ascii="Arial" w:cs="Arial" w:eastAsia="Arial" w:hAnsi="Arial"/>
          <w:sz w:val="22"/>
          <w:szCs w:val="22"/>
          <w:color w:val="auto"/>
        </w:rPr>
        <w:t>” will mean the Company and any such successor corporation); provided, however, that the obligations of the Executive are personal and shall not be assigned by the Executive.</w:t>
      </w:r>
    </w:p>
    <w:p>
      <w:pPr>
        <w:spacing w:after="0" w:line="187" w:lineRule="exact"/>
        <w:rPr>
          <w:sz w:val="20"/>
          <w:szCs w:val="20"/>
          <w:color w:val="auto"/>
        </w:rPr>
      </w:pPr>
    </w:p>
    <w:p>
      <w:pPr>
        <w:ind w:left="120" w:right="340" w:firstLine="749"/>
        <w:spacing w:after="0" w:line="328" w:lineRule="auto"/>
        <w:rPr>
          <w:sz w:val="20"/>
          <w:szCs w:val="20"/>
          <w:color w:val="auto"/>
        </w:rPr>
      </w:pPr>
      <w:r>
        <w:rPr>
          <w:rFonts w:ascii="Arial" w:cs="Arial" w:eastAsia="Arial" w:hAnsi="Arial"/>
          <w:sz w:val="19"/>
          <w:szCs w:val="19"/>
          <w:color w:val="auto"/>
        </w:rPr>
        <w:t>14.</w:t>
      </w:r>
      <w:r>
        <w:rPr>
          <w:rFonts w:ascii="Arial" w:cs="Arial" w:eastAsia="Arial" w:hAnsi="Arial"/>
          <w:sz w:val="19"/>
          <w:szCs w:val="19"/>
          <w:i w:val="1"/>
          <w:iCs w:val="1"/>
          <w:color w:val="auto"/>
        </w:rPr>
        <w:t>Survival</w:t>
      </w:r>
      <w:r>
        <w:rPr>
          <w:rFonts w:ascii="Arial" w:cs="Arial" w:eastAsia="Arial" w:hAnsi="Arial"/>
          <w:sz w:val="19"/>
          <w:szCs w:val="19"/>
          <w:color w:val="auto"/>
        </w:rPr>
        <w:t>. Sections 5 and 7 through 22 hereof will survive and continue in full force and effect in accordance with their respective terms notwithstanding any expiration or termination of the Term of Employment and/or this Agreement.</w:t>
      </w:r>
    </w:p>
    <w:p>
      <w:pPr>
        <w:spacing w:after="0" w:line="105" w:lineRule="exact"/>
        <w:rPr>
          <w:sz w:val="20"/>
          <w:szCs w:val="20"/>
          <w:color w:val="auto"/>
        </w:rPr>
      </w:pPr>
    </w:p>
    <w:p>
      <w:pPr>
        <w:ind w:left="120" w:right="600" w:firstLine="749"/>
        <w:spacing w:after="0" w:line="236" w:lineRule="auto"/>
        <w:rPr>
          <w:sz w:val="20"/>
          <w:szCs w:val="20"/>
          <w:color w:val="auto"/>
        </w:rPr>
      </w:pPr>
      <w:r>
        <w:rPr>
          <w:rFonts w:ascii="Arial" w:cs="Arial" w:eastAsia="Arial" w:hAnsi="Arial"/>
          <w:sz w:val="22"/>
          <w:szCs w:val="22"/>
          <w:color w:val="auto"/>
        </w:rPr>
        <w:t>15.</w:t>
      </w:r>
      <w:r>
        <w:rPr>
          <w:rFonts w:ascii="Arial" w:cs="Arial" w:eastAsia="Arial" w:hAnsi="Arial"/>
          <w:sz w:val="22"/>
          <w:szCs w:val="22"/>
          <w:i w:val="1"/>
          <w:iCs w:val="1"/>
          <w:color w:val="auto"/>
        </w:rPr>
        <w:t>Pre-Employment Checks</w:t>
      </w:r>
      <w:r>
        <w:rPr>
          <w:rFonts w:ascii="Arial" w:cs="Arial" w:eastAsia="Arial" w:hAnsi="Arial"/>
          <w:sz w:val="22"/>
          <w:szCs w:val="22"/>
          <w:color w:val="auto"/>
        </w:rPr>
        <w:t>. The Executive acknowledges and agrees that the Executive’s employment, and this Agreement, are contingent upon satisfactory completion prior to the Start Date of pre-employment screening activities, including favorable reference checks of former employment, verification of the Executive’s ability to work in the United States, and educational background and criminal history checks. The Executive agrees to assist the Company as needed to facilitate the timely completion of such checks.</w:t>
      </w:r>
    </w:p>
    <w:p>
      <w:pPr>
        <w:spacing w:after="0" w:line="187" w:lineRule="exact"/>
        <w:rPr>
          <w:sz w:val="20"/>
          <w:szCs w:val="20"/>
          <w:color w:val="auto"/>
        </w:rPr>
      </w:pPr>
    </w:p>
    <w:p>
      <w:pPr>
        <w:ind w:left="120" w:right="440" w:firstLine="749"/>
        <w:spacing w:after="0" w:line="252" w:lineRule="auto"/>
        <w:rPr>
          <w:sz w:val="20"/>
          <w:szCs w:val="20"/>
          <w:color w:val="auto"/>
        </w:rPr>
      </w:pPr>
      <w:r>
        <w:rPr>
          <w:rFonts w:ascii="Arial" w:cs="Arial" w:eastAsia="Arial" w:hAnsi="Arial"/>
          <w:sz w:val="21"/>
          <w:szCs w:val="21"/>
          <w:color w:val="auto"/>
        </w:rPr>
        <w:t>16.</w:t>
      </w:r>
      <w:r>
        <w:rPr>
          <w:rFonts w:ascii="Arial" w:cs="Arial" w:eastAsia="Arial" w:hAnsi="Arial"/>
          <w:sz w:val="21"/>
          <w:szCs w:val="21"/>
          <w:i w:val="1"/>
          <w:iCs w:val="1"/>
          <w:color w:val="auto"/>
        </w:rPr>
        <w:t>Acknowledgment</w:t>
      </w:r>
      <w:r>
        <w:rPr>
          <w:rFonts w:ascii="Arial" w:cs="Arial" w:eastAsia="Arial" w:hAnsi="Arial"/>
          <w:sz w:val="21"/>
          <w:szCs w:val="21"/>
          <w:color w:val="auto"/>
        </w:rPr>
        <w:t>. The Executive states and represents that the Executive has had an opportunity to fully discuss and review the terms of this Agreement with an attorney. The Executive further states and represents that the Executive has carefully read this Agreement, understands the contents herein, freely and voluntarily assents to all of the terms and conditions hereof, and signs the Executive’s name of the Executive’s own free act.</w:t>
      </w:r>
    </w:p>
    <w:p>
      <w:pPr>
        <w:spacing w:after="0" w:line="174" w:lineRule="exact"/>
        <w:rPr>
          <w:sz w:val="20"/>
          <w:szCs w:val="20"/>
          <w:color w:val="auto"/>
        </w:rPr>
      </w:pPr>
    </w:p>
    <w:p>
      <w:pPr>
        <w:jc w:val="both"/>
        <w:ind w:left="120" w:right="340" w:firstLine="749"/>
        <w:spacing w:after="0"/>
        <w:rPr>
          <w:sz w:val="20"/>
          <w:szCs w:val="20"/>
          <w:color w:val="auto"/>
        </w:rPr>
      </w:pPr>
      <w:r>
        <w:rPr>
          <w:rFonts w:ascii="Arial" w:cs="Arial" w:eastAsia="Arial" w:hAnsi="Arial"/>
          <w:sz w:val="22"/>
          <w:szCs w:val="22"/>
          <w:color w:val="auto"/>
        </w:rPr>
        <w:t>17.</w:t>
      </w:r>
      <w:r>
        <w:rPr>
          <w:rFonts w:ascii="Arial" w:cs="Arial" w:eastAsia="Arial" w:hAnsi="Arial"/>
          <w:sz w:val="22"/>
          <w:szCs w:val="22"/>
          <w:i w:val="1"/>
          <w:iCs w:val="1"/>
          <w:color w:val="auto"/>
        </w:rPr>
        <w:t>No Oral Modification, Waiver, Cancellation or Discharge</w:t>
      </w:r>
      <w:r>
        <w:rPr>
          <w:rFonts w:ascii="Arial" w:cs="Arial" w:eastAsia="Arial" w:hAnsi="Arial"/>
          <w:sz w:val="22"/>
          <w:szCs w:val="22"/>
          <w:color w:val="auto"/>
        </w:rPr>
        <w:t>. This Agreement may be amended or modified only by a written instrument executed by both the Company and the Executive. No delay or omission by the Company in exercising any right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ind w:left="10200"/>
        <w:spacing w:after="0"/>
        <w:rPr>
          <w:sz w:val="20"/>
          <w:szCs w:val="20"/>
          <w:color w:val="auto"/>
        </w:rPr>
      </w:pPr>
      <w:r>
        <w:rPr>
          <w:rFonts w:ascii="Arial" w:cs="Arial" w:eastAsia="Arial" w:hAnsi="Arial"/>
          <w:sz w:val="16"/>
          <w:szCs w:val="16"/>
          <w:b w:val="1"/>
          <w:bCs w:val="1"/>
          <w:color w:val="auto"/>
        </w:rPr>
        <w:t>Exhibit 10.2</w:t>
      </w:r>
    </w:p>
    <w:p>
      <w:pPr>
        <w:spacing w:after="0" w:line="47" w:lineRule="exact"/>
        <w:rPr>
          <w:sz w:val="20"/>
          <w:szCs w:val="20"/>
          <w:color w:val="auto"/>
        </w:rPr>
      </w:pPr>
    </w:p>
    <w:p>
      <w:pPr>
        <w:ind w:right="460"/>
        <w:spacing w:after="0" w:line="308" w:lineRule="auto"/>
        <w:rPr>
          <w:sz w:val="20"/>
          <w:szCs w:val="20"/>
          <w:color w:val="auto"/>
        </w:rPr>
      </w:pPr>
      <w:r>
        <w:rPr>
          <w:rFonts w:ascii="Arial" w:cs="Arial" w:eastAsia="Arial" w:hAnsi="Arial"/>
          <w:sz w:val="19"/>
          <w:szCs w:val="19"/>
          <w:color w:val="auto"/>
        </w:rPr>
        <w:t>shall operate as a waiver of that or any other right. A waiver or consent given by the Company on any one occasion shall be effective only in that instance and shall not be construed as a bar to or waiver of any right on any other occasion.</w:t>
      </w:r>
    </w:p>
    <w:p>
      <w:pPr>
        <w:spacing w:after="0" w:line="123" w:lineRule="exact"/>
        <w:rPr>
          <w:sz w:val="20"/>
          <w:szCs w:val="20"/>
          <w:color w:val="auto"/>
        </w:rPr>
      </w:pPr>
    </w:p>
    <w:p>
      <w:pPr>
        <w:ind w:right="300" w:firstLine="749"/>
        <w:spacing w:after="0" w:line="252" w:lineRule="auto"/>
        <w:rPr>
          <w:sz w:val="20"/>
          <w:szCs w:val="20"/>
          <w:color w:val="auto"/>
        </w:rPr>
      </w:pPr>
      <w:r>
        <w:rPr>
          <w:rFonts w:ascii="Arial" w:cs="Arial" w:eastAsia="Arial" w:hAnsi="Arial"/>
          <w:sz w:val="21"/>
          <w:szCs w:val="21"/>
          <w:color w:val="auto"/>
        </w:rPr>
        <w:t>18.</w:t>
      </w:r>
      <w:r>
        <w:rPr>
          <w:rFonts w:ascii="Arial" w:cs="Arial" w:eastAsia="Arial" w:hAnsi="Arial"/>
          <w:sz w:val="21"/>
          <w:szCs w:val="21"/>
          <w:i w:val="1"/>
          <w:iCs w:val="1"/>
          <w:color w:val="auto"/>
        </w:rPr>
        <w:t>Captions and Pronouns</w:t>
      </w:r>
      <w:r>
        <w:rPr>
          <w:rFonts w:ascii="Arial" w:cs="Arial" w:eastAsia="Arial" w:hAnsi="Arial"/>
          <w:sz w:val="21"/>
          <w:szCs w:val="21"/>
          <w:color w:val="auto"/>
        </w:rPr>
        <w:t>. The captions of the sections of this Agreement are for convenience of reference only and in no way define, limit or affect the scope or substance of any section of this Agreement. Whenever the context may require, any pronouns used in this Agreement shall include the corresponding masculine, feminine or neuter forms, and the singular forms of nouns and pronouns shall include the plural, and vice versa.</w:t>
      </w:r>
    </w:p>
    <w:p>
      <w:pPr>
        <w:spacing w:after="0" w:line="174" w:lineRule="exact"/>
        <w:rPr>
          <w:sz w:val="20"/>
          <w:szCs w:val="20"/>
          <w:color w:val="auto"/>
        </w:rPr>
      </w:pPr>
    </w:p>
    <w:p>
      <w:pPr>
        <w:ind w:right="340" w:firstLine="749"/>
        <w:spacing w:after="0" w:line="238" w:lineRule="auto"/>
        <w:rPr>
          <w:sz w:val="20"/>
          <w:szCs w:val="20"/>
          <w:color w:val="auto"/>
        </w:rPr>
      </w:pPr>
      <w:r>
        <w:rPr>
          <w:rFonts w:ascii="Arial" w:cs="Arial" w:eastAsia="Arial" w:hAnsi="Arial"/>
          <w:sz w:val="22"/>
          <w:szCs w:val="22"/>
          <w:color w:val="auto"/>
        </w:rPr>
        <w:t>19.</w:t>
      </w:r>
      <w:r>
        <w:rPr>
          <w:rFonts w:ascii="Arial" w:cs="Arial" w:eastAsia="Arial" w:hAnsi="Arial"/>
          <w:sz w:val="22"/>
          <w:szCs w:val="22"/>
          <w:i w:val="1"/>
          <w:iCs w:val="1"/>
          <w:color w:val="auto"/>
        </w:rPr>
        <w:t>Interpretation</w:t>
      </w:r>
      <w:r>
        <w:rPr>
          <w:rFonts w:ascii="Arial" w:cs="Arial" w:eastAsia="Arial" w:hAnsi="Arial"/>
          <w:sz w:val="22"/>
          <w:szCs w:val="22"/>
          <w:color w:val="auto"/>
        </w:rPr>
        <w:t>. The Parties agree that this Agreement will be construed without regard to any presumption or rule requiring construction or interpretation against the drafting Party. References in this Agreement to “include” or “including” should be read as though they said “without limitation” or equivalent forms. References in this Agreement to the “Board” shall include any authorized committee thereof.</w:t>
      </w:r>
    </w:p>
    <w:p>
      <w:pPr>
        <w:spacing w:after="0" w:line="185" w:lineRule="exact"/>
        <w:rPr>
          <w:sz w:val="20"/>
          <w:szCs w:val="20"/>
          <w:color w:val="auto"/>
        </w:rPr>
      </w:pPr>
    </w:p>
    <w:p>
      <w:pPr>
        <w:ind w:right="220" w:firstLine="749"/>
        <w:spacing w:after="0" w:line="277" w:lineRule="auto"/>
        <w:rPr>
          <w:sz w:val="20"/>
          <w:szCs w:val="20"/>
          <w:color w:val="auto"/>
        </w:rPr>
      </w:pPr>
      <w:r>
        <w:rPr>
          <w:rFonts w:ascii="Arial" w:cs="Arial" w:eastAsia="Arial" w:hAnsi="Arial"/>
          <w:sz w:val="19"/>
          <w:szCs w:val="19"/>
          <w:color w:val="auto"/>
        </w:rPr>
        <w:t>20.</w:t>
      </w:r>
      <w:r>
        <w:rPr>
          <w:rFonts w:ascii="Arial" w:cs="Arial" w:eastAsia="Arial" w:hAnsi="Arial"/>
          <w:sz w:val="19"/>
          <w:szCs w:val="19"/>
          <w:i w:val="1"/>
          <w:iCs w:val="1"/>
          <w:color w:val="auto"/>
        </w:rPr>
        <w:t>Severability</w:t>
      </w:r>
      <w:r>
        <w:rPr>
          <w:rFonts w:ascii="Arial" w:cs="Arial" w:eastAsia="Arial" w:hAnsi="Arial"/>
          <w:sz w:val="19"/>
          <w:szCs w:val="19"/>
          <w:color w:val="auto"/>
        </w:rPr>
        <w:t>. Each provision of this Agreement must be interpreted in such manner as to be effective and valid under 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 Moreover, if a court of competent jurisdiction determines any of the provisions contained in this Agreement to be unenforceable because the provision is excessively broad in scope, whether as to duration, activity, geographic application, subject or otherwise, it will be construed, by limiting or reducing it to the extent legally permitted, so as to be enforceable to the extent compatible with then applicable law to achieve the intent of the Parties.</w:t>
      </w:r>
    </w:p>
    <w:p>
      <w:pPr>
        <w:spacing w:after="0" w:line="165" w:lineRule="exact"/>
        <w:rPr>
          <w:sz w:val="20"/>
          <w:szCs w:val="20"/>
          <w:color w:val="auto"/>
        </w:rPr>
      </w:pPr>
    </w:p>
    <w:p>
      <w:pPr>
        <w:ind w:right="520" w:firstLine="749"/>
        <w:spacing w:after="0" w:line="257" w:lineRule="auto"/>
        <w:rPr>
          <w:sz w:val="20"/>
          <w:szCs w:val="20"/>
          <w:color w:val="auto"/>
        </w:rPr>
      </w:pPr>
      <w:r>
        <w:rPr>
          <w:rFonts w:ascii="Arial" w:cs="Arial" w:eastAsia="Arial" w:hAnsi="Arial"/>
          <w:sz w:val="21"/>
          <w:szCs w:val="21"/>
          <w:color w:val="auto"/>
        </w:rPr>
        <w:t>21.</w:t>
      </w:r>
      <w:r>
        <w:rPr>
          <w:rFonts w:ascii="Arial" w:cs="Arial" w:eastAsia="Arial" w:hAnsi="Arial"/>
          <w:sz w:val="21"/>
          <w:szCs w:val="21"/>
          <w:i w:val="1"/>
          <w:iCs w:val="1"/>
          <w:color w:val="auto"/>
        </w:rPr>
        <w:t>Counterparts</w:t>
      </w:r>
      <w:r>
        <w:rPr>
          <w:rFonts w:ascii="Arial" w:cs="Arial" w:eastAsia="Arial" w:hAnsi="Arial"/>
          <w:sz w:val="21"/>
          <w:szCs w:val="21"/>
          <w:color w:val="auto"/>
        </w:rPr>
        <w:t>. This Agreement may be executed in several counterparts, each of which will be deemed to be an original but all of which together will constitute one and the same instrument. Facsimile, PDF, and electronic counterpart signatures to and versions of this Agreement will be acceptable and binding on the Parties.</w:t>
      </w:r>
    </w:p>
    <w:p>
      <w:pPr>
        <w:spacing w:after="0" w:line="169" w:lineRule="exact"/>
        <w:rPr>
          <w:sz w:val="20"/>
          <w:szCs w:val="20"/>
          <w:color w:val="auto"/>
        </w:rPr>
      </w:pPr>
    </w:p>
    <w:p>
      <w:pPr>
        <w:ind w:right="220" w:firstLine="749"/>
        <w:spacing w:after="0"/>
        <w:rPr>
          <w:sz w:val="20"/>
          <w:szCs w:val="20"/>
          <w:color w:val="auto"/>
        </w:rPr>
      </w:pPr>
      <w:r>
        <w:rPr>
          <w:rFonts w:ascii="Arial" w:cs="Arial" w:eastAsia="Arial" w:hAnsi="Arial"/>
          <w:sz w:val="22"/>
          <w:szCs w:val="22"/>
          <w:color w:val="auto"/>
        </w:rPr>
        <w:t>22.</w:t>
      </w:r>
      <w:r>
        <w:rPr>
          <w:rFonts w:ascii="Arial" w:cs="Arial" w:eastAsia="Arial" w:hAnsi="Arial"/>
          <w:sz w:val="22"/>
          <w:szCs w:val="22"/>
          <w:i w:val="1"/>
          <w:iCs w:val="1"/>
          <w:color w:val="auto"/>
        </w:rPr>
        <w:t>Entire Agreement</w:t>
      </w:r>
      <w:r>
        <w:rPr>
          <w:rFonts w:ascii="Arial" w:cs="Arial" w:eastAsia="Arial" w:hAnsi="Arial"/>
          <w:sz w:val="22"/>
          <w:szCs w:val="22"/>
          <w:color w:val="auto"/>
        </w:rPr>
        <w:t>. This Agreement, including the agreements and arrangements referenced herein, constitutes the entire agreement between the Parties and supersedes all prior agreements and understandings, whether written or oral, relating to the subject matter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342265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21" w:right="339" w:bottom="1440" w:gutter="0" w:footer="0" w:header="0"/>
        </w:sectPr>
      </w:pPr>
    </w:p>
    <w:bookmarkStart w:id="96" w:name="page97"/>
    <w:bookmarkEnd w:id="96"/>
    <w:p>
      <w:pPr>
        <w:ind w:left="10320"/>
        <w:spacing w:after="0"/>
        <w:rPr>
          <w:sz w:val="20"/>
          <w:szCs w:val="20"/>
          <w:color w:val="auto"/>
        </w:rPr>
      </w:pPr>
      <w:r>
        <w:rPr>
          <w:rFonts w:ascii="Arial" w:cs="Arial" w:eastAsia="Arial" w:hAnsi="Arial"/>
          <w:sz w:val="16"/>
          <w:szCs w:val="16"/>
          <w:b w:val="1"/>
          <w:bCs w:val="1"/>
          <w:color w:val="auto"/>
        </w:rPr>
        <w:t>Exhibit 10.2</w:t>
      </w: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Parties hereto have executed this Agreement as of the day and year set forth above.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FULCRUM THERAPEUTICS, INC.</w:t>
      </w:r>
    </w:p>
    <w:p>
      <w:pPr>
        <w:spacing w:after="0" w:line="200" w:lineRule="exact"/>
        <w:rPr>
          <w:sz w:val="20"/>
          <w:szCs w:val="20"/>
          <w:color w:val="auto"/>
        </w:rPr>
      </w:pPr>
    </w:p>
    <w:p>
      <w:pPr>
        <w:spacing w:after="0" w:line="276" w:lineRule="exact"/>
        <w:rPr>
          <w:sz w:val="20"/>
          <w:szCs w:val="20"/>
          <w:color w:val="auto"/>
        </w:rPr>
      </w:pPr>
    </w:p>
    <w:tbl>
      <w:tblPr>
        <w:tblLayout w:type="fixed"/>
        <w:tblInd w:w="160" w:type="dxa"/>
        <w:tblCellMar>
          <w:top w:w="0" w:type="dxa"/>
          <w:left w:w="0" w:type="dxa"/>
          <w:bottom w:w="0" w:type="dxa"/>
          <w:right w:w="0" w:type="dxa"/>
        </w:tblCellMar>
      </w:tblPr>
      <w:tr>
        <w:trPr>
          <w:trHeight w:val="276"/>
        </w:trPr>
        <w:tc>
          <w:tcPr>
            <w:tcW w:w="1120" w:type="dxa"/>
            <w:vAlign w:val="bottom"/>
          </w:tcPr>
          <w:p>
            <w:pPr>
              <w:spacing w:after="0"/>
              <w:rPr>
                <w:sz w:val="20"/>
                <w:szCs w:val="20"/>
                <w:color w:val="auto"/>
              </w:rPr>
            </w:pPr>
            <w:r>
              <w:rPr>
                <w:rFonts w:ascii="Arial" w:cs="Arial" w:eastAsia="Arial" w:hAnsi="Arial"/>
                <w:sz w:val="22"/>
                <w:szCs w:val="22"/>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Robert J. Gould</w:t>
            </w:r>
          </w:p>
        </w:tc>
      </w:tr>
      <w:tr>
        <w:trPr>
          <w:trHeight w:val="412"/>
        </w:trPr>
        <w:tc>
          <w:tcPr>
            <w:tcW w:w="1120" w:type="dxa"/>
            <w:vAlign w:val="bottom"/>
          </w:tcPr>
          <w:p>
            <w:pPr>
              <w:spacing w:after="0"/>
              <w:rPr>
                <w:sz w:val="20"/>
                <w:szCs w:val="20"/>
                <w:color w:val="auto"/>
              </w:rPr>
            </w:pPr>
            <w:r>
              <w:rPr>
                <w:rFonts w:ascii="Arial" w:cs="Arial" w:eastAsia="Arial" w:hAnsi="Arial"/>
                <w:sz w:val="22"/>
                <w:szCs w:val="22"/>
                <w:color w:val="auto"/>
              </w:rPr>
              <w:t>Name:</w:t>
            </w:r>
          </w:p>
        </w:tc>
        <w:tc>
          <w:tcPr>
            <w:tcW w:w="3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Robert J. Gould</w:t>
            </w:r>
          </w:p>
        </w:tc>
      </w:tr>
      <w:tr>
        <w:trPr>
          <w:trHeight w:val="412"/>
        </w:trPr>
        <w:tc>
          <w:tcPr>
            <w:tcW w:w="1120" w:type="dxa"/>
            <w:vAlign w:val="bottom"/>
          </w:tcPr>
          <w:p>
            <w:pPr>
              <w:spacing w:after="0"/>
              <w:rPr>
                <w:sz w:val="20"/>
                <w:szCs w:val="20"/>
                <w:color w:val="auto"/>
              </w:rPr>
            </w:pPr>
            <w:r>
              <w:rPr>
                <w:rFonts w:ascii="Arial" w:cs="Arial" w:eastAsia="Arial" w:hAnsi="Arial"/>
                <w:sz w:val="22"/>
                <w:szCs w:val="22"/>
                <w:color w:val="auto"/>
              </w:rPr>
              <w:t>Title:</w:t>
            </w:r>
          </w:p>
        </w:tc>
        <w:tc>
          <w:tcPr>
            <w:tcW w:w="37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Interim President and CEO</w:t>
            </w:r>
          </w:p>
        </w:tc>
      </w:tr>
    </w:tbl>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2"/>
          <w:szCs w:val="22"/>
          <w:color w:val="auto"/>
        </w:rPr>
        <w:t>EXECUTIVE: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160" w:type="dxa"/>
            <w:vAlign w:val="bottom"/>
          </w:tcPr>
          <w:p>
            <w:pPr>
              <w:ind w:left="20"/>
              <w:spacing w:after="0"/>
              <w:rPr>
                <w:sz w:val="20"/>
                <w:szCs w:val="20"/>
                <w:color w:val="auto"/>
              </w:rPr>
            </w:pPr>
            <w:r>
              <w:rPr>
                <w:rFonts w:ascii="Arial" w:cs="Arial" w:eastAsia="Arial" w:hAnsi="Arial"/>
                <w:sz w:val="22"/>
                <w:szCs w:val="22"/>
                <w:color w:val="auto"/>
              </w:rPr>
              <w:t>By:</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Alex S. Sapir</w:t>
            </w:r>
          </w:p>
        </w:tc>
        <w:tc>
          <w:tcPr>
            <w:tcW w:w="6180" w:type="dxa"/>
            <w:vAlign w:val="bottom"/>
          </w:tcPr>
          <w:p>
            <w:pPr>
              <w:spacing w:after="0"/>
              <w:rPr>
                <w:sz w:val="24"/>
                <w:szCs w:val="24"/>
                <w:color w:val="auto"/>
              </w:rPr>
            </w:pPr>
          </w:p>
        </w:tc>
      </w:tr>
      <w:tr>
        <w:trPr>
          <w:trHeight w:val="412"/>
        </w:trPr>
        <w:tc>
          <w:tcPr>
            <w:tcW w:w="1160" w:type="dxa"/>
            <w:vAlign w:val="bottom"/>
          </w:tcPr>
          <w:p>
            <w:pPr>
              <w:ind w:left="20"/>
              <w:spacing w:after="0"/>
              <w:rPr>
                <w:sz w:val="20"/>
                <w:szCs w:val="20"/>
                <w:color w:val="auto"/>
              </w:rPr>
            </w:pPr>
            <w:r>
              <w:rPr>
                <w:rFonts w:ascii="Arial" w:cs="Arial" w:eastAsia="Arial" w:hAnsi="Arial"/>
                <w:sz w:val="22"/>
                <w:szCs w:val="22"/>
                <w:color w:val="auto"/>
              </w:rPr>
              <w:t>Name:</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Alex S. Sapir</w:t>
            </w:r>
          </w:p>
        </w:tc>
        <w:tc>
          <w:tcPr>
            <w:tcW w:w="6180" w:type="dxa"/>
            <w:vAlign w:val="bottom"/>
          </w:tcPr>
          <w:p>
            <w:pPr>
              <w:spacing w:after="0"/>
              <w:rPr>
                <w:sz w:val="24"/>
                <w:szCs w:val="24"/>
                <w:color w:val="auto"/>
              </w:rPr>
            </w:pPr>
          </w:p>
        </w:tc>
      </w:tr>
      <w:tr>
        <w:trPr>
          <w:trHeight w:val="326"/>
        </w:trPr>
        <w:tc>
          <w:tcPr>
            <w:tcW w:w="116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8" w:name="page99"/>
    <w:bookmarkEnd w:id="98"/>
    <w:p>
      <w:pPr>
        <w:ind w:left="102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left="360" w:right="176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Alex C. Sapir, certify that:</w:t>
      </w:r>
    </w:p>
    <w:p>
      <w:pPr>
        <w:spacing w:after="0" w:line="117" w:lineRule="exact"/>
        <w:rPr>
          <w:sz w:val="20"/>
          <w:szCs w:val="20"/>
          <w:color w:val="auto"/>
        </w:rPr>
      </w:pPr>
    </w:p>
    <w:p>
      <w:pPr>
        <w:ind w:left="700" w:hanging="183"/>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Fulcrum Therapeutics, Inc.;</w:t>
      </w:r>
    </w:p>
    <w:p>
      <w:pPr>
        <w:spacing w:after="0" w:line="117" w:lineRule="exact"/>
        <w:rPr>
          <w:rFonts w:ascii="Arial" w:cs="Arial" w:eastAsia="Arial" w:hAnsi="Arial"/>
          <w:sz w:val="18"/>
          <w:szCs w:val="18"/>
          <w:color w:val="auto"/>
        </w:rPr>
      </w:pPr>
    </w:p>
    <w:p>
      <w:pPr>
        <w:ind w:right="40" w:firstLine="517"/>
        <w:spacing w:after="0" w:line="342" w:lineRule="auto"/>
        <w:tabs>
          <w:tab w:leader="none" w:pos="689"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517"/>
        <w:spacing w:after="0" w:line="277" w:lineRule="auto"/>
        <w:tabs>
          <w:tab w:leader="none" w:pos="689"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517"/>
        <w:spacing w:after="0" w:line="308" w:lineRule="auto"/>
        <w:tabs>
          <w:tab w:leader="none" w:pos="689" w:val="left"/>
        </w:tabs>
        <w:numPr>
          <w:ilvl w:val="0"/>
          <w:numId w:val="60"/>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Arial" w:cs="Arial" w:eastAsia="Arial" w:hAnsi="Arial"/>
          <w:sz w:val="17"/>
          <w:szCs w:val="17"/>
          <w:color w:val="auto"/>
        </w:rPr>
      </w:pPr>
    </w:p>
    <w:p>
      <w:pPr>
        <w:ind w:left="520" w:right="320" w:firstLine="506"/>
        <w:spacing w:after="0" w:line="263" w:lineRule="auto"/>
        <w:tabs>
          <w:tab w:leader="none" w:pos="127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520" w:right="120" w:firstLine="506"/>
        <w:spacing w:after="0" w:line="263" w:lineRule="auto"/>
        <w:tabs>
          <w:tab w:leader="none" w:pos="128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240" w:firstLine="506"/>
        <w:spacing w:after="0" w:line="342" w:lineRule="auto"/>
        <w:tabs>
          <w:tab w:leader="none" w:pos="1274"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00" w:firstLine="506"/>
        <w:spacing w:after="0" w:line="263" w:lineRule="auto"/>
        <w:tabs>
          <w:tab w:leader="none" w:pos="128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640" w:firstLine="517"/>
        <w:spacing w:after="0" w:line="277" w:lineRule="auto"/>
        <w:tabs>
          <w:tab w:leader="none" w:pos="689"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520" w:right="460" w:firstLine="506"/>
        <w:spacing w:after="0" w:line="308" w:lineRule="auto"/>
        <w:tabs>
          <w:tab w:leader="none" w:pos="1264"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140" w:firstLine="506"/>
        <w:spacing w:after="0" w:line="277" w:lineRule="auto"/>
        <w:tabs>
          <w:tab w:leader="none" w:pos="1274"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6280" w:val="left"/>
          <w:tab w:leader="none" w:pos="674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Alex C. Sapir</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223520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9" w:name="page100"/>
    <w:bookmarkEnd w:id="9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In connection with the Quarterly Report on Form 10-Q of Fulcrum Therapeutics, Inc. (the “Company”) for the period ended June 30, 2023, as filed with the Securities and Exchange Commission on the date hereof (the “Report”), the undersigned, Alex C. Sapir, President and Chief Executive Officer of the Company, hereby certifies, pursuant to 18 U.S.C. Section 1350, as adopted pursuant to Section 906 of the Sarbanes-Oxley Act of 2002, that to his knowledge:</w:t>
      </w:r>
    </w:p>
    <w:p>
      <w:pPr>
        <w:spacing w:after="0" w:line="187" w:lineRule="exact"/>
        <w:rPr>
          <w:sz w:val="20"/>
          <w:szCs w:val="20"/>
          <w:color w:val="auto"/>
        </w:rPr>
      </w:pPr>
    </w:p>
    <w:p>
      <w:pPr>
        <w:ind w:left="780" w:hanging="263"/>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80" w:hanging="263"/>
        <w:spacing w:after="0"/>
        <w:tabs>
          <w:tab w:leader="none" w:pos="7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20"/>
        <w:spacing w:after="0"/>
        <w:tabs>
          <w:tab w:leader="none" w:pos="5540" w:val="left"/>
          <w:tab w:leader="none" w:pos="600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Alex C. Sapir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31750</wp:posOffset>
            </wp:positionV>
            <wp:extent cx="33178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6">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4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Alex C. Sapir</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decimal"/>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1."/>
      <w:numFmt w:val="decimal"/>
      <w:start w:val="1"/>
    </w:lvl>
  </w:abstractNum>
  <w:abstractNum w:abstractNumId="49">
    <w:nsid w:val="649BB77C"/>
    <w:multiLevelType w:val="hybridMultilevel"/>
    <w:lvl w:ilvl="0">
      <w:lvlJc w:val="left"/>
      <w:lvlText w:val="%1."/>
      <w:numFmt w:val="decimal"/>
      <w:start w:val="3"/>
    </w:lvl>
  </w:abstractNum>
  <w:abstractNum w:abstractNumId="50">
    <w:nsid w:val="275AC794"/>
    <w:multiLevelType w:val="hybridMultilevel"/>
    <w:lvl w:ilvl="0">
      <w:lvlJc w:val="left"/>
      <w:lvlText w:val="%1."/>
      <w:numFmt w:val="decimal"/>
      <w:start w:val="4"/>
    </w:lvl>
  </w:abstractNum>
  <w:abstractNum w:abstractNumId="51">
    <w:nsid w:val="39386575"/>
    <w:multiLevelType w:val="hybridMultilevel"/>
    <w:lvl w:ilvl="0">
      <w:lvlJc w:val="left"/>
      <w:lvlText w:val="%1."/>
      <w:numFmt w:val="decimal"/>
      <w:start w:val="5"/>
    </w:lvl>
  </w:abstractNum>
  <w:abstractNum w:abstractNumId="52">
    <w:nsid w:val="1CF10FD8"/>
    <w:multiLevelType w:val="hybridMultilevel"/>
    <w:lvl w:ilvl="0">
      <w:lvlJc w:val="left"/>
      <w:lvlText w:val="(%1)"/>
      <w:numFmt w:val="lowerRoman"/>
      <w:start w:val="1"/>
    </w:lvl>
  </w:abstractNum>
  <w:abstractNum w:abstractNumId="53">
    <w:nsid w:val="180115BE"/>
    <w:multiLevelType w:val="hybridMultilevel"/>
    <w:lvl w:ilvl="0">
      <w:lvlJc w:val="left"/>
      <w:lvlText w:val="(%1)"/>
      <w:numFmt w:val="lowerRoman"/>
      <w:start w:val="1"/>
    </w:lvl>
  </w:abstractNum>
  <w:abstractNum w:abstractNumId="54">
    <w:nsid w:val="235BA861"/>
    <w:multiLevelType w:val="hybridMultilevel"/>
    <w:lvl w:ilvl="0">
      <w:lvlJc w:val="left"/>
      <w:lvlText w:val="%1."/>
      <w:numFmt w:val="decimal"/>
      <w:start w:val="7"/>
    </w:lvl>
  </w:abstractNum>
  <w:abstractNum w:abstractNumId="55">
    <w:nsid w:val="47398C89"/>
    <w:multiLevelType w:val="hybridMultilevel"/>
    <w:lvl w:ilvl="0">
      <w:lvlJc w:val="left"/>
      <w:lvlText w:val="(%1)"/>
      <w:numFmt w:val="lowerLetter"/>
      <w:start w:val="25"/>
    </w:lvl>
  </w:abstractNum>
  <w:abstractNum w:abstractNumId="56">
    <w:nsid w:val="354FE9F9"/>
    <w:multiLevelType w:val="hybridMultilevel"/>
    <w:lvl w:ilvl="0">
      <w:lvlJc w:val="left"/>
      <w:lvlText w:val="%1."/>
      <w:numFmt w:val="decimal"/>
      <w:start w:val="8"/>
    </w:lvl>
  </w:abstractNum>
  <w:abstractNum w:abstractNumId="57">
    <w:nsid w:val="15B5AF5C"/>
    <w:multiLevelType w:val="hybridMultilevel"/>
    <w:lvl w:ilvl="0">
      <w:lvlJc w:val="left"/>
      <w:lvlText w:val="(%1)"/>
      <w:numFmt w:val="lowerRoman"/>
      <w:start w:val="1"/>
    </w:lvl>
  </w:abstractNum>
  <w:abstractNum w:abstractNumId="58">
    <w:nsid w:val="741226BB"/>
    <w:multiLevelType w:val="hybridMultilevel"/>
    <w:lvl w:ilvl="0">
      <w:lvlJc w:val="left"/>
      <w:lvlText w:val="(%1)"/>
      <w:numFmt w:val="lowerRoman"/>
      <w:start w:val="2"/>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22" Type="http://schemas.openxmlformats.org/officeDocument/2006/relationships/image" Target="media/image211.png"/><Relationship Id="rId223" Type="http://schemas.openxmlformats.org/officeDocument/2006/relationships/image" Target="media/image212.png"/><Relationship Id="rId224" Type="http://schemas.openxmlformats.org/officeDocument/2006/relationships/image" Target="media/image213.png"/><Relationship Id="rId225" Type="http://schemas.openxmlformats.org/officeDocument/2006/relationships/image" Target="media/image214.png"/><Relationship Id="rId226" Type="http://schemas.openxmlformats.org/officeDocument/2006/relationships/image" Target="media/image215.png"/><Relationship Id="rId227" Type="http://schemas.openxmlformats.org/officeDocument/2006/relationships/image" Target="media/image216.png"/><Relationship Id="rId228" Type="http://schemas.openxmlformats.org/officeDocument/2006/relationships/image" Target="media/image217.png"/><Relationship Id="rId229" Type="http://schemas.openxmlformats.org/officeDocument/2006/relationships/image" Target="media/image218.png"/><Relationship Id="rId230" Type="http://schemas.openxmlformats.org/officeDocument/2006/relationships/image" Target="media/image219.png"/><Relationship Id="rId231" Type="http://schemas.openxmlformats.org/officeDocument/2006/relationships/image" Target="media/image220.png"/><Relationship Id="rId232" Type="http://schemas.openxmlformats.org/officeDocument/2006/relationships/image" Target="media/image221.png"/><Relationship Id="rId233" Type="http://schemas.openxmlformats.org/officeDocument/2006/relationships/image" Target="media/image222.png"/><Relationship Id="rId234" Type="http://schemas.openxmlformats.org/officeDocument/2006/relationships/image" Target="media/image223.png"/><Relationship Id="rId235" Type="http://schemas.openxmlformats.org/officeDocument/2006/relationships/image" Target="media/image224.png"/><Relationship Id="rId236" Type="http://schemas.openxmlformats.org/officeDocument/2006/relationships/image" Target="media/image225.png"/><Relationship Id="rId237" Type="http://schemas.openxmlformats.org/officeDocument/2006/relationships/image" Target="media/image226.png"/><Relationship Id="rId238" Type="http://schemas.openxmlformats.org/officeDocument/2006/relationships/image" Target="media/image227.png"/><Relationship Id="rId239" Type="http://schemas.openxmlformats.org/officeDocument/2006/relationships/image" Target="media/image228.png"/><Relationship Id="rId240" Type="http://schemas.openxmlformats.org/officeDocument/2006/relationships/image" Target="media/image229.png"/><Relationship Id="rId241" Type="http://schemas.openxmlformats.org/officeDocument/2006/relationships/image" Target="media/image230.png"/><Relationship Id="rId242" Type="http://schemas.openxmlformats.org/officeDocument/2006/relationships/image" Target="media/image231.png"/><Relationship Id="rId243" Type="http://schemas.openxmlformats.org/officeDocument/2006/relationships/image" Target="media/image232.png"/><Relationship Id="rId244" Type="http://schemas.openxmlformats.org/officeDocument/2006/relationships/image" Target="media/image233.png"/><Relationship Id="rId245" Type="http://schemas.openxmlformats.org/officeDocument/2006/relationships/image" Target="media/image234.png"/><Relationship Id="rId246" Type="http://schemas.openxmlformats.org/officeDocument/2006/relationships/image" Target="media/image235.png"/><Relationship Id="rId247" Type="http://schemas.openxmlformats.org/officeDocument/2006/relationships/image" Target="media/image236.png"/><Relationship Id="rId218" Type="http://schemas.openxmlformats.org/officeDocument/2006/relationships/hyperlink" Target="https://www.sec.gov/Archives/edgar/data/0001680581/000104746919004324/a2239321zex-3_1.htm" TargetMode="External"/><Relationship Id="rId219" Type="http://schemas.openxmlformats.org/officeDocument/2006/relationships/hyperlink" Target="https://www.sec.gov/Archives/edgar/data/1680581/000119312523164435/d463131dex31.htm" TargetMode="External"/><Relationship Id="rId220" Type="http://schemas.openxmlformats.org/officeDocument/2006/relationships/hyperlink" Target="https://www.sec.gov/Archives/edgar/data/0001680581/000104746919004324/a2239321zex-3_2.htm" TargetMode="External"/><Relationship Id="rId221" Type="http://schemas.openxmlformats.org/officeDocument/2006/relationships/hyperlink" Target="https://www.sec.gov/Archives/edgar/data/1680581/000095017023021960/fulc-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2023-08-03T06:22:07Z</dcterms:created>
  <dcterms:modified xsi:type="dcterms:W3CDTF">2023-08-03T06:22:07Z</dcterms:modified>
</cp:coreProperties>
</file>