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3, 2022</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080" w:type="dxa"/>
            <w:vAlign w:val="bottom"/>
          </w:tcPr>
          <w:p>
            <w:pPr>
              <w:jc w:val="center"/>
              <w:ind w:right="3516"/>
              <w:spacing w:after="0"/>
              <w:rPr>
                <w:sz w:val="20"/>
                <w:szCs w:val="20"/>
                <w:color w:val="auto"/>
              </w:rPr>
            </w:pPr>
            <w:r>
              <w:rPr>
                <w:rFonts w:ascii="Arial" w:cs="Arial" w:eastAsia="Arial" w:hAnsi="Arial"/>
                <w:sz w:val="18"/>
                <w:szCs w:val="18"/>
                <w:b w:val="1"/>
                <w:bCs w:val="1"/>
                <w:color w:val="auto"/>
                <w:w w:val="91"/>
              </w:rPr>
              <w:t>Delaware</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6080" w:type="dxa"/>
            <w:vAlign w:val="bottom"/>
          </w:tcPr>
          <w:p>
            <w:pPr>
              <w:jc w:val="center"/>
              <w:ind w:right="353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80" w:type="dxa"/>
            <w:vAlign w:val="bottom"/>
          </w:tcPr>
          <w:p>
            <w:pPr>
              <w:jc w:val="center"/>
              <w:ind w:right="3516"/>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080" w:type="dxa"/>
            <w:vAlign w:val="bottom"/>
          </w:tcPr>
          <w:p>
            <w:pPr>
              <w:jc w:val="center"/>
              <w:ind w:right="3516"/>
              <w:spacing w:after="0"/>
              <w:rPr>
                <w:sz w:val="20"/>
                <w:szCs w:val="20"/>
                <w:color w:val="auto"/>
              </w:rPr>
            </w:pPr>
            <w:r>
              <w:rPr>
                <w:rFonts w:ascii="Arial" w:cs="Arial" w:eastAsia="Arial" w:hAnsi="Arial"/>
                <w:sz w:val="18"/>
                <w:szCs w:val="18"/>
                <w:b w:val="1"/>
                <w:bCs w:val="1"/>
                <w:color w:val="auto"/>
                <w:w w:val="90"/>
              </w:rPr>
              <w:t>26 Landsdowne Street</w:t>
            </w:r>
          </w:p>
        </w:tc>
        <w:tc>
          <w:tcPr>
            <w:tcW w:w="1280" w:type="dxa"/>
            <w:vAlign w:val="bottom"/>
          </w:tcPr>
          <w:p>
            <w:pPr>
              <w:spacing w:after="0"/>
              <w:rPr>
                <w:sz w:val="24"/>
                <w:szCs w:val="24"/>
                <w:color w:val="auto"/>
              </w:rPr>
            </w:pPr>
          </w:p>
        </w:tc>
      </w:tr>
      <w:tr>
        <w:trPr>
          <w:trHeight w:val="225"/>
        </w:trPr>
        <w:tc>
          <w:tcPr>
            <w:tcW w:w="6080" w:type="dxa"/>
            <w:vAlign w:val="bottom"/>
          </w:tcPr>
          <w:p>
            <w:pPr>
              <w:jc w:val="center"/>
              <w:ind w:right="3516"/>
              <w:spacing w:after="0"/>
              <w:rPr>
                <w:sz w:val="20"/>
                <w:szCs w:val="20"/>
                <w:color w:val="auto"/>
              </w:rPr>
            </w:pPr>
            <w:r>
              <w:rPr>
                <w:rFonts w:ascii="Arial" w:cs="Arial" w:eastAsia="Arial" w:hAnsi="Arial"/>
                <w:sz w:val="18"/>
                <w:szCs w:val="18"/>
                <w:b w:val="1"/>
                <w:bCs w:val="1"/>
                <w:color w:val="auto"/>
                <w:w w:val="89"/>
              </w:rPr>
              <w:t>Cambridge, Massachusetts</w:t>
            </w:r>
          </w:p>
        </w:tc>
        <w:tc>
          <w:tcPr>
            <w:tcW w:w="128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6080" w:type="dxa"/>
            <w:vAlign w:val="bottom"/>
          </w:tcPr>
          <w:p>
            <w:pPr>
              <w:jc w:val="center"/>
              <w:ind w:right="3536"/>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6080" w:type="dxa"/>
            <w:vAlign w:val="bottom"/>
          </w:tcPr>
          <w:p>
            <w:pPr>
              <w:jc w:val="center"/>
              <w:ind w:left="1756"/>
              <w:spacing w:after="0"/>
              <w:rPr>
                <w:sz w:val="20"/>
                <w:szCs w:val="20"/>
                <w:color w:val="auto"/>
              </w:rPr>
            </w:pPr>
            <w:r>
              <w:rPr>
                <w:rFonts w:ascii="Arial" w:cs="Arial" w:eastAsia="Arial" w:hAnsi="Arial"/>
                <w:sz w:val="18"/>
                <w:szCs w:val="18"/>
                <w:b w:val="1"/>
                <w:bCs w:val="1"/>
                <w:color w:val="auto"/>
                <w:w w:val="90"/>
              </w:rPr>
              <w:t>2022 Inducement Stock Incentive Plan</w:t>
            </w:r>
          </w:p>
        </w:tc>
        <w:tc>
          <w:tcPr>
            <w:tcW w:w="1280" w:type="dxa"/>
            <w:vAlign w:val="bottom"/>
          </w:tcPr>
          <w:p>
            <w:pPr>
              <w:spacing w:after="0"/>
              <w:rPr>
                <w:sz w:val="24"/>
                <w:szCs w:val="24"/>
                <w:color w:val="auto"/>
              </w:rPr>
            </w:pPr>
          </w:p>
        </w:tc>
      </w:tr>
      <w:tr>
        <w:trPr>
          <w:trHeight w:val="212"/>
        </w:trPr>
        <w:tc>
          <w:tcPr>
            <w:tcW w:w="6080" w:type="dxa"/>
            <w:vAlign w:val="bottom"/>
          </w:tcPr>
          <w:p>
            <w:pPr>
              <w:jc w:val="center"/>
              <w:ind w:left="1756"/>
              <w:spacing w:after="0"/>
              <w:rPr>
                <w:sz w:val="20"/>
                <w:szCs w:val="20"/>
                <w:color w:val="auto"/>
              </w:rPr>
            </w:pPr>
            <w:r>
              <w:rPr>
                <w:rFonts w:ascii="Arial" w:cs="Arial" w:eastAsia="Arial" w:hAnsi="Arial"/>
                <w:sz w:val="18"/>
                <w:szCs w:val="18"/>
                <w:b w:val="1"/>
                <w:bCs w:val="1"/>
                <w:color w:val="auto"/>
                <w:w w:val="92"/>
              </w:rPr>
              <w:t>Inducement Stock Option Award (February 2022)</w:t>
            </w:r>
          </w:p>
        </w:tc>
        <w:tc>
          <w:tcPr>
            <w:tcW w:w="1280" w:type="dxa"/>
            <w:vAlign w:val="bottom"/>
          </w:tcPr>
          <w:p>
            <w:pPr>
              <w:spacing w:after="0"/>
              <w:rPr>
                <w:sz w:val="18"/>
                <w:szCs w:val="18"/>
                <w:color w:val="auto"/>
              </w:rPr>
            </w:pPr>
          </w:p>
        </w:tc>
      </w:tr>
      <w:tr>
        <w:trPr>
          <w:trHeight w:val="186"/>
        </w:trPr>
        <w:tc>
          <w:tcPr>
            <w:tcW w:w="6080" w:type="dxa"/>
            <w:vAlign w:val="bottom"/>
          </w:tcPr>
          <w:p>
            <w:pPr>
              <w:jc w:val="center"/>
              <w:ind w:left="1756"/>
              <w:spacing w:after="0"/>
              <w:rPr>
                <w:sz w:val="20"/>
                <w:szCs w:val="20"/>
                <w:color w:val="auto"/>
              </w:rPr>
            </w:pPr>
            <w:r>
              <w:rPr>
                <w:rFonts w:ascii="Arial" w:cs="Arial" w:eastAsia="Arial" w:hAnsi="Arial"/>
                <w:sz w:val="14"/>
                <w:szCs w:val="14"/>
                <w:b w:val="1"/>
                <w:bCs w:val="1"/>
                <w:color w:val="auto"/>
                <w:w w:val="95"/>
              </w:rPr>
              <w:t>(Full Title of the Plan)</w:t>
            </w:r>
          </w:p>
        </w:tc>
        <w:tc>
          <w:tcPr>
            <w:tcW w:w="1280" w:type="dxa"/>
            <w:vAlign w:val="bottom"/>
          </w:tcPr>
          <w:p>
            <w:pPr>
              <w:spacing w:after="0"/>
              <w:rPr>
                <w:sz w:val="16"/>
                <w:szCs w:val="16"/>
                <w:color w:val="auto"/>
              </w:rPr>
            </w:pPr>
          </w:p>
        </w:tc>
      </w:tr>
      <w:tr>
        <w:trPr>
          <w:trHeight w:val="399"/>
        </w:trPr>
        <w:tc>
          <w:tcPr>
            <w:tcW w:w="6080" w:type="dxa"/>
            <w:vAlign w:val="bottom"/>
          </w:tcPr>
          <w:p>
            <w:pPr>
              <w:jc w:val="center"/>
              <w:ind w:left="1776"/>
              <w:spacing w:after="0"/>
              <w:rPr>
                <w:sz w:val="20"/>
                <w:szCs w:val="20"/>
                <w:color w:val="auto"/>
              </w:rPr>
            </w:pPr>
            <w:r>
              <w:rPr>
                <w:rFonts w:ascii="Arial" w:cs="Arial" w:eastAsia="Arial" w:hAnsi="Arial"/>
                <w:sz w:val="18"/>
                <w:szCs w:val="18"/>
                <w:b w:val="1"/>
                <w:bCs w:val="1"/>
                <w:color w:val="auto"/>
                <w:w w:val="93"/>
              </w:rPr>
              <w:t>Bryan E. Stuart</w:t>
            </w:r>
          </w:p>
        </w:tc>
        <w:tc>
          <w:tcPr>
            <w:tcW w:w="1280" w:type="dxa"/>
            <w:vAlign w:val="bottom"/>
          </w:tcPr>
          <w:p>
            <w:pPr>
              <w:spacing w:after="0"/>
              <w:rPr>
                <w:sz w:val="24"/>
                <w:szCs w:val="24"/>
                <w:color w:val="auto"/>
              </w:rPr>
            </w:pPr>
          </w:p>
        </w:tc>
      </w:tr>
      <w:tr>
        <w:trPr>
          <w:trHeight w:val="216"/>
        </w:trPr>
        <w:tc>
          <w:tcPr>
            <w:tcW w:w="6080" w:type="dxa"/>
            <w:vAlign w:val="bottom"/>
          </w:tcPr>
          <w:p>
            <w:pPr>
              <w:jc w:val="center"/>
              <w:ind w:left="1756"/>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1280" w:type="dxa"/>
            <w:vAlign w:val="bottom"/>
          </w:tcPr>
          <w:p>
            <w:pPr>
              <w:spacing w:after="0"/>
              <w:rPr>
                <w:sz w:val="18"/>
                <w:szCs w:val="18"/>
                <w:color w:val="auto"/>
              </w:rPr>
            </w:pPr>
          </w:p>
        </w:tc>
      </w:tr>
      <w:tr>
        <w:trPr>
          <w:trHeight w:val="216"/>
        </w:trPr>
        <w:tc>
          <w:tcPr>
            <w:tcW w:w="6080" w:type="dxa"/>
            <w:vAlign w:val="bottom"/>
          </w:tcPr>
          <w:p>
            <w:pPr>
              <w:jc w:val="center"/>
              <w:ind w:left="1756"/>
              <w:spacing w:after="0"/>
              <w:rPr>
                <w:sz w:val="20"/>
                <w:szCs w:val="20"/>
                <w:color w:val="auto"/>
              </w:rPr>
            </w:pPr>
            <w:r>
              <w:rPr>
                <w:rFonts w:ascii="Arial" w:cs="Arial" w:eastAsia="Arial" w:hAnsi="Arial"/>
                <w:sz w:val="18"/>
                <w:szCs w:val="18"/>
                <w:b w:val="1"/>
                <w:bCs w:val="1"/>
                <w:color w:val="auto"/>
                <w:w w:val="92"/>
              </w:rPr>
              <w:t>Fulcrum Therapeutics, Inc.</w:t>
            </w:r>
          </w:p>
        </w:tc>
        <w:tc>
          <w:tcPr>
            <w:tcW w:w="1280" w:type="dxa"/>
            <w:vAlign w:val="bottom"/>
          </w:tcPr>
          <w:p>
            <w:pPr>
              <w:spacing w:after="0"/>
              <w:rPr>
                <w:sz w:val="18"/>
                <w:szCs w:val="18"/>
                <w:color w:val="auto"/>
              </w:rPr>
            </w:pPr>
          </w:p>
        </w:tc>
      </w:tr>
      <w:tr>
        <w:trPr>
          <w:trHeight w:val="216"/>
        </w:trPr>
        <w:tc>
          <w:tcPr>
            <w:tcW w:w="6080" w:type="dxa"/>
            <w:vAlign w:val="bottom"/>
          </w:tcPr>
          <w:p>
            <w:pPr>
              <w:jc w:val="center"/>
              <w:ind w:left="1776"/>
              <w:spacing w:after="0"/>
              <w:rPr>
                <w:sz w:val="20"/>
                <w:szCs w:val="20"/>
                <w:color w:val="auto"/>
              </w:rPr>
            </w:pPr>
            <w:r>
              <w:rPr>
                <w:rFonts w:ascii="Arial" w:cs="Arial" w:eastAsia="Arial" w:hAnsi="Arial"/>
                <w:sz w:val="18"/>
                <w:szCs w:val="18"/>
                <w:b w:val="1"/>
                <w:bCs w:val="1"/>
                <w:color w:val="auto"/>
                <w:w w:val="88"/>
              </w:rPr>
              <w:t>26 Landsdowne Street</w:t>
            </w:r>
          </w:p>
        </w:tc>
        <w:tc>
          <w:tcPr>
            <w:tcW w:w="1280" w:type="dxa"/>
            <w:vAlign w:val="bottom"/>
          </w:tcPr>
          <w:p>
            <w:pPr>
              <w:spacing w:after="0"/>
              <w:rPr>
                <w:sz w:val="18"/>
                <w:szCs w:val="18"/>
                <w:color w:val="auto"/>
              </w:rPr>
            </w:pPr>
          </w:p>
        </w:tc>
      </w:tr>
      <w:tr>
        <w:trPr>
          <w:trHeight w:val="212"/>
        </w:trPr>
        <w:tc>
          <w:tcPr>
            <w:tcW w:w="6080" w:type="dxa"/>
            <w:vAlign w:val="bottom"/>
          </w:tcPr>
          <w:p>
            <w:pPr>
              <w:jc w:val="center"/>
              <w:ind w:left="1756"/>
              <w:spacing w:after="0"/>
              <w:rPr>
                <w:sz w:val="20"/>
                <w:szCs w:val="20"/>
                <w:color w:val="auto"/>
              </w:rPr>
            </w:pPr>
            <w:r>
              <w:rPr>
                <w:rFonts w:ascii="Arial" w:cs="Arial" w:eastAsia="Arial" w:hAnsi="Arial"/>
                <w:sz w:val="18"/>
                <w:szCs w:val="18"/>
                <w:b w:val="1"/>
                <w:bCs w:val="1"/>
                <w:color w:val="auto"/>
                <w:w w:val="88"/>
              </w:rPr>
              <w:t>Cambridge, Massachusetts 02139</w:t>
            </w:r>
          </w:p>
        </w:tc>
        <w:tc>
          <w:tcPr>
            <w:tcW w:w="1280" w:type="dxa"/>
            <w:vAlign w:val="bottom"/>
          </w:tcPr>
          <w:p>
            <w:pPr>
              <w:spacing w:after="0"/>
              <w:rPr>
                <w:sz w:val="18"/>
                <w:szCs w:val="18"/>
                <w:color w:val="auto"/>
              </w:rPr>
            </w:pPr>
          </w:p>
        </w:tc>
      </w:tr>
      <w:tr>
        <w:trPr>
          <w:trHeight w:val="186"/>
        </w:trPr>
        <w:tc>
          <w:tcPr>
            <w:tcW w:w="6080" w:type="dxa"/>
            <w:vAlign w:val="bottom"/>
          </w:tcPr>
          <w:p>
            <w:pPr>
              <w:jc w:val="center"/>
              <w:ind w:left="1756"/>
              <w:spacing w:after="0"/>
              <w:rPr>
                <w:sz w:val="20"/>
                <w:szCs w:val="20"/>
                <w:color w:val="auto"/>
              </w:rPr>
            </w:pPr>
            <w:r>
              <w:rPr>
                <w:rFonts w:ascii="Arial" w:cs="Arial" w:eastAsia="Arial" w:hAnsi="Arial"/>
                <w:sz w:val="14"/>
                <w:szCs w:val="14"/>
                <w:b w:val="1"/>
                <w:bCs w:val="1"/>
                <w:color w:val="auto"/>
                <w:w w:val="92"/>
              </w:rPr>
              <w:t>(Name and Address of Agent For Service)</w:t>
            </w:r>
          </w:p>
        </w:tc>
        <w:tc>
          <w:tcPr>
            <w:tcW w:w="1280" w:type="dxa"/>
            <w:vAlign w:val="bottom"/>
          </w:tcPr>
          <w:p>
            <w:pPr>
              <w:spacing w:after="0"/>
              <w:rPr>
                <w:sz w:val="16"/>
                <w:szCs w:val="16"/>
                <w:color w:val="auto"/>
              </w:rPr>
            </w:pPr>
          </w:p>
        </w:tc>
      </w:tr>
      <w:tr>
        <w:trPr>
          <w:trHeight w:val="394"/>
        </w:trPr>
        <w:tc>
          <w:tcPr>
            <w:tcW w:w="6080" w:type="dxa"/>
            <w:vAlign w:val="bottom"/>
          </w:tcPr>
          <w:p>
            <w:pPr>
              <w:jc w:val="center"/>
              <w:ind w:left="1756"/>
              <w:spacing w:after="0"/>
              <w:rPr>
                <w:sz w:val="20"/>
                <w:szCs w:val="20"/>
                <w:color w:val="auto"/>
              </w:rPr>
            </w:pPr>
            <w:r>
              <w:rPr>
                <w:rFonts w:ascii="Arial" w:cs="Arial" w:eastAsia="Arial" w:hAnsi="Arial"/>
                <w:sz w:val="18"/>
                <w:szCs w:val="18"/>
                <w:b w:val="1"/>
                <w:bCs w:val="1"/>
                <w:color w:val="auto"/>
                <w:w w:val="90"/>
              </w:rPr>
              <w:t>(617) 651-8851</w:t>
            </w:r>
          </w:p>
        </w:tc>
        <w:tc>
          <w:tcPr>
            <w:tcW w:w="1280" w:type="dxa"/>
            <w:vAlign w:val="bottom"/>
          </w:tcPr>
          <w:p>
            <w:pPr>
              <w:spacing w:after="0"/>
              <w:rPr>
                <w:sz w:val="24"/>
                <w:szCs w:val="24"/>
                <w:color w:val="auto"/>
              </w:rPr>
            </w:pPr>
          </w:p>
        </w:tc>
      </w:tr>
      <w:tr>
        <w:trPr>
          <w:trHeight w:val="186"/>
        </w:trPr>
        <w:tc>
          <w:tcPr>
            <w:tcW w:w="6080" w:type="dxa"/>
            <w:vAlign w:val="bottom"/>
          </w:tcPr>
          <w:p>
            <w:pPr>
              <w:jc w:val="center"/>
              <w:ind w:left="1756"/>
              <w:spacing w:after="0"/>
              <w:rPr>
                <w:sz w:val="20"/>
                <w:szCs w:val="20"/>
                <w:color w:val="auto"/>
              </w:rPr>
            </w:pPr>
            <w:r>
              <w:rPr>
                <w:rFonts w:ascii="Arial" w:cs="Arial" w:eastAsia="Arial" w:hAnsi="Arial"/>
                <w:sz w:val="14"/>
                <w:szCs w:val="14"/>
                <w:b w:val="1"/>
                <w:bCs w:val="1"/>
                <w:color w:val="auto"/>
                <w:w w:val="93"/>
              </w:rPr>
              <w:t>(Telephone Number, Including Area Code, of Agent For Service)</w:t>
            </w:r>
          </w:p>
        </w:tc>
        <w:tc>
          <w:tcPr>
            <w:tcW w:w="1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213360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REQUIRED IN THE SECTION 10(a) PROSPECTUS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Plan Information.</w:t>
      </w:r>
    </w:p>
    <w:p>
      <w:pPr>
        <w:spacing w:after="0" w:line="22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Registrant Information and Employee Plan Annual Information.</w:t>
      </w:r>
    </w:p>
    <w:p>
      <w:pPr>
        <w:spacing w:after="0" w:line="229"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The written statement required by Item 2 is included in documents sent or given to participants in the plans covered by this registration statement pursuant to Rule 428(b)(1) of the Securities Act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REQUIRED IN THE REGISTRATION STATEMENT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Incorporation of Documents by Reference.</w:t>
      </w:r>
    </w:p>
    <w:p>
      <w:pPr>
        <w:spacing w:after="0" w:line="229"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187" w:lineRule="exact"/>
        <w:rPr>
          <w:sz w:val="20"/>
          <w:szCs w:val="20"/>
          <w:color w:val="auto"/>
        </w:rPr>
      </w:pPr>
    </w:p>
    <w:p>
      <w:pPr>
        <w:ind w:right="40" w:firstLine="436"/>
        <w:spacing w:after="0" w:line="263" w:lineRule="auto"/>
        <w:tabs>
          <w:tab w:leader="none" w:pos="68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83" w:lineRule="exact"/>
        <w:rPr>
          <w:rFonts w:ascii="Arial" w:cs="Arial" w:eastAsia="Arial" w:hAnsi="Arial"/>
          <w:sz w:val="18"/>
          <w:szCs w:val="18"/>
          <w:color w:val="auto"/>
        </w:rPr>
      </w:pPr>
    </w:p>
    <w:p>
      <w:pPr>
        <w:ind w:firstLine="436"/>
        <w:spacing w:after="0" w:line="277"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w:t>
      </w:r>
    </w:p>
    <w:p>
      <w:pPr>
        <w:spacing w:after="0" w:line="170" w:lineRule="exact"/>
        <w:rPr>
          <w:rFonts w:ascii="Arial" w:cs="Arial" w:eastAsia="Arial" w:hAnsi="Arial"/>
          <w:sz w:val="18"/>
          <w:szCs w:val="18"/>
          <w:color w:val="auto"/>
        </w:rPr>
      </w:pPr>
    </w:p>
    <w:p>
      <w:pPr>
        <w:ind w:right="140" w:firstLine="436"/>
        <w:spacing w:after="0" w:line="277" w:lineRule="auto"/>
        <w:tabs>
          <w:tab w:leader="none" w:pos="68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securities contained in the registrant’s registration statement on Form 8-A filed under the Exchange Act, including any amendment or report filed for the purpose of updating such description.</w:t>
      </w:r>
    </w:p>
    <w:p>
      <w:pPr>
        <w:spacing w:after="0" w:line="170"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Description of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60"/>
          </w:cols>
          <w:pgMar w:left="440" w:top="270" w:right="499" w:bottom="1440" w:gutter="0" w:footer="0" w:header="0"/>
        </w:sectPr>
      </w:pPr>
    </w:p>
    <w:bookmarkStart w:id="2" w:name="page3"/>
    <w:bookmarkEnd w:id="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Item 5. </w:t>
      </w:r>
      <w:r>
        <w:rPr>
          <w:rFonts w:ascii="Arial" w:cs="Arial" w:eastAsia="Arial" w:hAnsi="Arial"/>
          <w:sz w:val="18"/>
          <w:szCs w:val="18"/>
          <w:color w:val="auto"/>
        </w:rPr>
        <w:t>Interests of Named Experts and Counsel.</w:t>
      </w:r>
    </w:p>
    <w:p>
      <w:pPr>
        <w:spacing w:after="0" w:line="229"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Wilmer Cutler Pickering Hale and Dorr LLP (“WilmerHale”) has opined as to the legality of the securities being offered by this registration statement.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Indemnification of Directors and Officers.</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Section 102 of the Delaware General Corporation Law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The registrant’s certificate of incorporation provides that no director shall be personally liable to the registrant or the registrant’s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95"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6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registrant’s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w:t>
      </w:r>
    </w:p>
    <w:p>
      <w:pPr>
        <w:spacing w:after="0" w:line="181"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The registrant’s certificate of incorporation also provides that the registrant will indemnify any Indemnitee who was or is a party to an action or suit by or in the right of the registrant to procure a judgment in the registrant’s favor by reason of the fact that the Indemnitee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by him or her or on his or her behalf in connection therewith. If the registrant does not assume the defense, expenses must be advanced to an Indemnitee under certain circumstances.</w:t>
      </w:r>
    </w:p>
    <w:p>
      <w:pPr>
        <w:sectPr>
          <w:pgSz w:w="11900" w:h="16838" w:orient="portrait"/>
          <w:cols w:equalWidth="0" w:num="1">
            <w:col w:w="11000"/>
          </w:cols>
          <w:pgMar w:left="440" w:top="270" w:right="459" w:bottom="1440" w:gutter="0" w:footer="0" w:header="0"/>
        </w:sectPr>
      </w:pPr>
    </w:p>
    <w:bookmarkStart w:id="3" w:name="page4"/>
    <w:bookmarkEnd w:id="3"/>
    <w:p>
      <w:pPr>
        <w:ind w:left="4" w:right="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registrant has entered into indemnification agreements with all of the registrant’s executive officers and directors. In general, these agreements provide that the registrant will indemnify the executive officer or director to the fullest extent permitted by law for claims arising in his or her capacity as an executive officer or director of the registrant or in connection with his or her service at the registrant’s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76"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The registrant maintains a general liability insurance policy that covers certain liabilities of the registrant’s directors and officers arising out of claims based on acts or omissions in their capacities as directors or officers.</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Exemption from Registration Claimed.</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9980" w:type="dxa"/>
            <w:vAlign w:val="bottom"/>
            <w:tcBorders>
              <w:bottom w:val="single" w:sz="8" w:color="auto"/>
            </w:tcBorders>
            <w:gridSpan w:val="13"/>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3"/>
                <w:szCs w:val="23"/>
                <w:color w:val="auto"/>
              </w:rPr>
            </w:pPr>
          </w:p>
        </w:tc>
        <w:tc>
          <w:tcPr>
            <w:tcW w:w="9580" w:type="dxa"/>
            <w:vAlign w:val="bottom"/>
            <w:tcBorders>
              <w:bottom w:val="single" w:sz="8" w:color="0000EE"/>
            </w:tcBorders>
            <w:gridSpan w:val="9"/>
          </w:tcPr>
          <w:p>
            <w:pPr>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Restated Certificate of Incorporation of the Registrant (incorporated by reference to Exhibit 3.1 to the Registrant’s Current Report on</w:t>
              </w:r>
            </w:hyperlink>
          </w:p>
        </w:tc>
        <w:tc>
          <w:tcPr>
            <w:tcW w:w="400" w:type="dxa"/>
            <w:vAlign w:val="bottom"/>
            <w:gridSpan w:val="4"/>
          </w:tcPr>
          <w:p>
            <w:pPr>
              <w:spacing w:after="0"/>
              <w:rPr>
                <w:sz w:val="23"/>
                <w:szCs w:val="23"/>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Form 8-K (File No. 001-38978) filed with the Securities and Exchange Commission on July 22, 2019)</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Amended and Restated Bylaws of the Registrant (incorporated by reference to Exhibit 3.2 to the Registrant’s Current Report on Form 8-K</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(File No. 001-38978) filed with the Securities and Exchange Commission on July 22, 2019)</w:t>
              </w:r>
            </w:hyperlink>
          </w:p>
        </w:tc>
        <w:tc>
          <w:tcPr>
            <w:tcW w:w="40" w:type="dxa"/>
            <w:vAlign w:val="bottom"/>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6600" w:type="dxa"/>
            <w:vAlign w:val="bottom"/>
            <w:tcBorders>
              <w:top w:val="single" w:sz="8" w:color="0000EE"/>
            </w:tcBorders>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Opinion of Wilmer Cutler Pickering Hale and Dorr LLP, counsel to the Registrant</w:t>
              </w:r>
            </w:hyperlink>
          </w:p>
        </w:tc>
        <w:tc>
          <w:tcPr>
            <w:tcW w:w="3380" w:type="dxa"/>
            <w:vAlign w:val="bottom"/>
            <w:gridSpan w:val="7"/>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566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Consent of Ernst &amp; Young LLP, independent registered public accounting firm</w:t>
              </w:r>
            </w:hyperlink>
          </w:p>
        </w:tc>
        <w:tc>
          <w:tcPr>
            <w:tcW w:w="220" w:type="dxa"/>
            <w:vAlign w:val="bottom"/>
            <w:tcBorders>
              <w:top w:val="single" w:sz="8" w:color="0000EE"/>
            </w:tcBorders>
            <w:gridSpan w:val="3"/>
          </w:tcPr>
          <w:p>
            <w:pPr>
              <w:spacing w:after="0"/>
              <w:rPr>
                <w:sz w:val="24"/>
                <w:szCs w:val="24"/>
                <w:color w:val="auto"/>
              </w:rPr>
            </w:pPr>
          </w:p>
        </w:tc>
        <w:tc>
          <w:tcPr>
            <w:tcW w:w="4100" w:type="dxa"/>
            <w:vAlign w:val="bottom"/>
            <w:gridSpan w:val="9"/>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Consent of Wilmer Cutler Pickering Hale and Dorr LLP (included in Exhibit 5.1)</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Power of Attorney (included on the signature pages of this registration statement)</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color w:val="0000EE"/>
                <w:w w:val="92"/>
              </w:rPr>
            </w:pPr>
            <w:hyperlink r:id="rId21">
              <w:r>
                <w:rPr>
                  <w:rFonts w:ascii="Arial" w:cs="Arial" w:eastAsia="Arial" w:hAnsi="Arial"/>
                  <w:sz w:val="18"/>
                  <w:szCs w:val="18"/>
                  <w:color w:val="0000EE"/>
                  <w:w w:val="92"/>
                </w:rPr>
                <w:t>2022 Inducement Stock Incentive Plan (incorporated by reference to Exhibit 10.12 to the Registrant’s Annual Report on Form 10-K (File</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No. 001-38978) filed with the Securities and Exchange Commission on March 3, 2021)</w:t>
              </w:r>
            </w:hyperlink>
          </w:p>
        </w:tc>
        <w:tc>
          <w:tcPr>
            <w:tcW w:w="120" w:type="dxa"/>
            <w:vAlign w:val="bottom"/>
            <w:gridSpan w:val="2"/>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00" w:type="dxa"/>
            <w:vAlign w:val="bottom"/>
            <w:gridSpan w:val="5"/>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9680" w:type="dxa"/>
            <w:vAlign w:val="bottom"/>
            <w:tcBorders>
              <w:bottom w:val="single" w:sz="8" w:color="0000EE"/>
            </w:tcBorders>
            <w:gridSpan w:val="10"/>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Form of Inducement Stock Option Agreement (incorporated by reference to Exhibit 10.1 to the Registrant’s Quarterly Report on Form</w:t>
              </w:r>
            </w:hyperlink>
          </w:p>
        </w:tc>
        <w:tc>
          <w:tcPr>
            <w:tcW w:w="300" w:type="dxa"/>
            <w:vAlign w:val="bottom"/>
            <w:gridSpan w:val="3"/>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10-Q (File No. 001-38978) filed with the Securities and Exchange Commission on November 4, 2021)</w:t>
              </w:r>
            </w:hyperlink>
          </w:p>
        </w:tc>
        <w:tc>
          <w:tcPr>
            <w:tcW w:w="2580" w:type="dxa"/>
            <w:vAlign w:val="bottom"/>
            <w:gridSpan w:val="5"/>
          </w:tcPr>
          <w:p>
            <w:pPr>
              <w:spacing w:after="0"/>
              <w:rPr>
                <w:sz w:val="17"/>
                <w:szCs w:val="17"/>
                <w:color w:val="auto"/>
              </w:rPr>
            </w:pPr>
          </w:p>
        </w:tc>
      </w:tr>
    </w:tbl>
    <w:p>
      <w:pPr>
        <w:spacing w:after="0" w:line="121" w:lineRule="exact"/>
        <w:rPr>
          <w:sz w:val="20"/>
          <w:szCs w:val="20"/>
          <w:color w:val="auto"/>
        </w:rPr>
      </w:pPr>
    </w:p>
    <w:p>
      <w:pPr>
        <w:ind w:left="4" w:right="7660" w:hanging="4"/>
        <w:spacing w:after="0" w:line="559" w:lineRule="auto"/>
        <w:tabs>
          <w:tab w:leader="none" w:pos="1043" w:val="left"/>
        </w:tabs>
        <w:numPr>
          <w:ilvl w:val="0"/>
          <w:numId w:val="2"/>
        </w:numPr>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Calculation of Filing Fee Tables</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 Filed herewith</w:t>
      </w:r>
    </w:p>
    <w:p>
      <w:pPr>
        <w:sectPr>
          <w:pgSz w:w="11900" w:h="16838" w:orient="portrait"/>
          <w:cols w:equalWidth="0" w:num="1">
            <w:col w:w="11024"/>
          </w:cols>
          <w:pgMar w:left="436" w:top="274" w:right="43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9. </w:t>
      </w:r>
      <w:r>
        <w:rPr>
          <w:rFonts w:ascii="Arial" w:cs="Arial" w:eastAsia="Arial" w:hAnsi="Arial"/>
          <w:sz w:val="18"/>
          <w:szCs w:val="18"/>
          <w:color w:val="auto"/>
        </w:rPr>
        <w:t>Undertakings.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undersigned registrant hereby undertakes:</w:t>
      </w:r>
    </w:p>
    <w:p>
      <w:pPr>
        <w:spacing w:after="0" w:line="225" w:lineRule="exact"/>
        <w:rPr>
          <w:sz w:val="20"/>
          <w:szCs w:val="20"/>
          <w:color w:val="auto"/>
        </w:rPr>
      </w:pPr>
    </w:p>
    <w:p>
      <w:pPr>
        <w:ind w:left="1240" w:hanging="253"/>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jc w:val="both"/>
        <w:ind w:right="340" w:firstLine="987"/>
        <w:spacing w:after="0" w:line="263" w:lineRule="auto"/>
        <w:tabs>
          <w:tab w:leader="none" w:pos="12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3" w:lineRule="exact"/>
        <w:rPr>
          <w:rFonts w:ascii="Arial" w:cs="Arial" w:eastAsia="Arial" w:hAnsi="Arial"/>
          <w:sz w:val="18"/>
          <w:szCs w:val="18"/>
          <w:color w:val="auto"/>
        </w:rPr>
      </w:pPr>
    </w:p>
    <w:p>
      <w:pPr>
        <w:ind w:right="260" w:firstLine="987"/>
        <w:spacing w:after="0" w:line="277" w:lineRule="auto"/>
        <w:tabs>
          <w:tab w:leader="none" w:pos="1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(i) and (ii) do not apply if the information required to be included in a post-effective amendment by those paragraphs</w:t>
      </w:r>
      <w:r>
        <w:rPr>
          <w:rFonts w:ascii="Arial" w:cs="Arial" w:eastAsia="Arial" w:hAnsi="Arial"/>
          <w:sz w:val="18"/>
          <w:szCs w:val="18"/>
          <w:i w:val="1"/>
          <w:iCs w:val="1"/>
          <w:color w:val="auto"/>
        </w:rPr>
        <w:t xml:space="preserve"> </w:t>
      </w:r>
      <w:r>
        <w:rPr>
          <w:rFonts w:ascii="Arial" w:cs="Arial" w:eastAsia="Arial" w:hAnsi="Arial"/>
          <w:sz w:val="18"/>
          <w:szCs w:val="18"/>
          <w:color w:val="auto"/>
        </w:rPr>
        <w:t>is contained in reports filed with or furnished to the Commission by the registrant pursuant to Section 13 or Section 15(d) of the Exchange Act that are incorporated by reference in the registration statement.</w:t>
      </w:r>
    </w:p>
    <w:p>
      <w:pPr>
        <w:spacing w:after="0" w:line="184" w:lineRule="exact"/>
        <w:rPr>
          <w:sz w:val="20"/>
          <w:szCs w:val="20"/>
          <w:color w:val="auto"/>
        </w:rPr>
      </w:pPr>
    </w:p>
    <w:p>
      <w:pPr>
        <w:ind w:firstLine="987"/>
        <w:spacing w:after="0" w:line="263" w:lineRule="auto"/>
        <w:tabs>
          <w:tab w:leader="none" w:pos="1246"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right="60" w:firstLine="987"/>
        <w:spacing w:after="0" w:line="277" w:lineRule="auto"/>
        <w:tabs>
          <w:tab w:leader="none" w:pos="1246"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80" w:firstLine="436"/>
        <w:spacing w:after="0" w:line="259"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6" w:lineRule="exact"/>
        <w:rPr>
          <w:rFonts w:ascii="Arial" w:cs="Arial" w:eastAsia="Arial" w:hAnsi="Arial"/>
          <w:sz w:val="18"/>
          <w:szCs w:val="18"/>
          <w:color w:val="auto"/>
        </w:rPr>
      </w:pPr>
    </w:p>
    <w:p>
      <w:pPr>
        <w:ind w:right="200" w:firstLine="436"/>
        <w:spacing w:after="0" w:line="271"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80"/>
          </w:cols>
          <w:pgMar w:left="440" w:top="270" w:right="4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64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3rd day of March, 2022.</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Bryan E.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Bryan E. Stuart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the undersigned officers and directors of Fulcrum Therapeutics, Inc., hereby severally constitute and appoint Bryan E. Stuart, Esther Rajavelu and Curtis Oltmans,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Fulcrum Therapeutics,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ind w:left="18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960" w:type="dxa"/>
            <w:vAlign w:val="bottom"/>
            <w:gridSpan w:val="2"/>
          </w:tcPr>
          <w:p>
            <w:pPr>
              <w:ind w:left="2280"/>
              <w:spacing w:after="0"/>
              <w:rPr>
                <w:sz w:val="20"/>
                <w:szCs w:val="20"/>
                <w:color w:val="auto"/>
              </w:rPr>
            </w:pPr>
            <w:r>
              <w:rPr>
                <w:rFonts w:ascii="Arial" w:cs="Arial" w:eastAsia="Arial" w:hAnsi="Arial"/>
                <w:sz w:val="14"/>
                <w:szCs w:val="14"/>
                <w:b w:val="1"/>
                <w:bCs w:val="1"/>
                <w:color w:val="auto"/>
              </w:rPr>
              <w:t>Title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09"/>
        </w:trPr>
        <w:tc>
          <w:tcPr>
            <w:tcW w:w="4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Bryan E. Stuart</w:t>
            </w:r>
          </w:p>
        </w:tc>
        <w:tc>
          <w:tcPr>
            <w:tcW w:w="120" w:type="dxa"/>
            <w:vAlign w:val="bottom"/>
          </w:tcPr>
          <w:p>
            <w:pPr>
              <w:spacing w:after="0"/>
              <w:rPr>
                <w:sz w:val="18"/>
                <w:szCs w:val="18"/>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and Chief Executive Officer, Director</w:t>
            </w:r>
          </w:p>
        </w:tc>
        <w:tc>
          <w:tcPr>
            <w:tcW w:w="12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Bryan E. Stuart</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Esther Rajavelu</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Esther Rajavelu</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Thomson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Vice President, Finance &amp; Accounting</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Peter Thomson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Haviland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Kate Haviland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Sonja Banks</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Sonja Banks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Collins</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James J. Collins,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Katina Dorton</w:t>
            </w:r>
          </w:p>
        </w:tc>
        <w:tc>
          <w:tcPr>
            <w:tcW w:w="3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400" w:type="dxa"/>
            <w:vAlign w:val="bottom"/>
          </w:tcPr>
          <w:p>
            <w:pPr>
              <w:ind w:left="2340"/>
              <w:spacing w:after="0"/>
              <w:rPr>
                <w:sz w:val="20"/>
                <w:szCs w:val="20"/>
                <w:color w:val="auto"/>
              </w:rPr>
            </w:pPr>
            <w:r>
              <w:rPr>
                <w:rFonts w:ascii="Arial" w:cs="Arial" w:eastAsia="Arial" w:hAnsi="Arial"/>
                <w:sz w:val="18"/>
                <w:szCs w:val="18"/>
                <w:color w:val="auto"/>
                <w:w w:val="90"/>
              </w:rPr>
              <w:t>March 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Katina Dorton</w:t>
            </w:r>
          </w:p>
        </w:tc>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Ezekowitz</w:t>
            </w:r>
          </w:p>
        </w:tc>
        <w:tc>
          <w:tcPr>
            <w:tcW w:w="3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400" w:type="dxa"/>
            <w:vAlign w:val="bottom"/>
          </w:tcPr>
          <w:p>
            <w:pPr>
              <w:ind w:left="2340"/>
              <w:spacing w:after="0"/>
              <w:rPr>
                <w:sz w:val="20"/>
                <w:szCs w:val="20"/>
                <w:color w:val="auto"/>
              </w:rPr>
            </w:pPr>
            <w:r>
              <w:rPr>
                <w:rFonts w:ascii="Arial" w:cs="Arial" w:eastAsia="Arial" w:hAnsi="Arial"/>
                <w:sz w:val="18"/>
                <w:szCs w:val="18"/>
                <w:color w:val="auto"/>
                <w:w w:val="90"/>
              </w:rPr>
              <w:t>March 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Alan Ezekowitz, MBChB, D. Phil</w:t>
            </w:r>
          </w:p>
        </w:tc>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Geraghty</w:t>
            </w:r>
          </w:p>
        </w:tc>
        <w:tc>
          <w:tcPr>
            <w:tcW w:w="3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400" w:type="dxa"/>
            <w:vAlign w:val="bottom"/>
          </w:tcPr>
          <w:p>
            <w:pPr>
              <w:ind w:left="2340"/>
              <w:spacing w:after="0"/>
              <w:rPr>
                <w:sz w:val="20"/>
                <w:szCs w:val="20"/>
                <w:color w:val="auto"/>
              </w:rPr>
            </w:pPr>
            <w:r>
              <w:rPr>
                <w:rFonts w:ascii="Arial" w:cs="Arial" w:eastAsia="Arial" w:hAnsi="Arial"/>
                <w:sz w:val="18"/>
                <w:szCs w:val="18"/>
                <w:color w:val="auto"/>
                <w:w w:val="90"/>
              </w:rPr>
              <w:t>March 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James Geraghty</w:t>
            </w:r>
          </w:p>
        </w:tc>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c>
          <w:tcPr>
            <w:tcW w:w="3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400" w:type="dxa"/>
            <w:vAlign w:val="bottom"/>
          </w:tcPr>
          <w:p>
            <w:pPr>
              <w:ind w:left="2340"/>
              <w:spacing w:after="0"/>
              <w:rPr>
                <w:sz w:val="20"/>
                <w:szCs w:val="20"/>
                <w:color w:val="auto"/>
              </w:rPr>
            </w:pPr>
            <w:r>
              <w:rPr>
                <w:rFonts w:ascii="Arial" w:cs="Arial" w:eastAsia="Arial" w:hAnsi="Arial"/>
                <w:sz w:val="18"/>
                <w:szCs w:val="18"/>
                <w:color w:val="auto"/>
                <w:w w:val="90"/>
              </w:rPr>
              <w:t>March 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Robert J. Gould</w:t>
            </w:r>
          </w:p>
        </w:tc>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Levin</w:t>
            </w:r>
          </w:p>
        </w:tc>
        <w:tc>
          <w:tcPr>
            <w:tcW w:w="30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400" w:type="dxa"/>
            <w:vAlign w:val="bottom"/>
          </w:tcPr>
          <w:p>
            <w:pPr>
              <w:ind w:left="2340"/>
              <w:spacing w:after="0"/>
              <w:rPr>
                <w:sz w:val="20"/>
                <w:szCs w:val="20"/>
                <w:color w:val="auto"/>
              </w:rPr>
            </w:pPr>
            <w:r>
              <w:rPr>
                <w:rFonts w:ascii="Arial" w:cs="Arial" w:eastAsia="Arial" w:hAnsi="Arial"/>
                <w:sz w:val="18"/>
                <w:szCs w:val="18"/>
                <w:color w:val="auto"/>
                <w:w w:val="90"/>
              </w:rPr>
              <w:t>March 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Mark Levin</w:t>
            </w:r>
          </w:p>
        </w:tc>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ectPr>
          <w:pgSz w:w="11900" w:h="16838" w:orient="portrait"/>
          <w:cols w:equalWidth="0" w:num="1">
            <w:col w:w="10660"/>
          </w:cols>
          <w:pgMar w:left="440" w:top="490" w:right="79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r>
      <w:tr>
        <w:trPr>
          <w:trHeight w:val="891"/>
        </w:trPr>
        <w:tc>
          <w:tcPr>
            <w:tcW w:w="6900" w:type="dxa"/>
            <w:vAlign w:val="bottom"/>
            <w:gridSpan w:val="2"/>
          </w:tcPr>
          <w:p>
            <w:pPr>
              <w:spacing w:after="0"/>
              <w:rPr>
                <w:sz w:val="20"/>
                <w:szCs w:val="20"/>
                <w:color w:val="auto"/>
              </w:rPr>
            </w:pPr>
            <w:r>
              <w:rPr>
                <w:rFonts w:ascii="Arial" w:cs="Arial" w:eastAsia="Arial" w:hAnsi="Arial"/>
                <w:sz w:val="18"/>
                <w:szCs w:val="18"/>
                <w:color w:val="auto"/>
              </w:rPr>
              <w:t>March 3, 2022</w:t>
            </w:r>
          </w:p>
        </w:tc>
        <w:tc>
          <w:tcPr>
            <w:tcW w:w="4120" w:type="dxa"/>
            <w:vAlign w:val="bottom"/>
          </w:tcPr>
          <w:p>
            <w:pPr>
              <w:spacing w:after="0"/>
              <w:rPr>
                <w:sz w:val="24"/>
                <w:szCs w:val="24"/>
                <w:color w:val="auto"/>
              </w:rPr>
            </w:pPr>
          </w:p>
        </w:tc>
      </w:tr>
      <w:tr>
        <w:trPr>
          <w:trHeight w:val="445"/>
        </w:trPr>
        <w:tc>
          <w:tcPr>
            <w:tcW w:w="4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18"/>
                <w:szCs w:val="18"/>
                <w:color w:val="auto"/>
              </w:rPr>
              <w:t>+1 617 526 6000 (t)</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Fulcrum Therapeutics, Inc.</w:t>
            </w:r>
          </w:p>
        </w:tc>
        <w:tc>
          <w:tcPr>
            <w:tcW w:w="4120" w:type="dxa"/>
            <w:vAlign w:val="bottom"/>
          </w:tcPr>
          <w:p>
            <w:pPr>
              <w:jc w:val="right"/>
              <w:spacing w:after="0"/>
              <w:rPr>
                <w:sz w:val="20"/>
                <w:szCs w:val="20"/>
                <w:color w:val="auto"/>
              </w:rPr>
            </w:pPr>
            <w:r>
              <w:rPr>
                <w:rFonts w:ascii="Arial" w:cs="Arial" w:eastAsia="Arial" w:hAnsi="Arial"/>
                <w:sz w:val="18"/>
                <w:szCs w:val="18"/>
                <w:color w:val="auto"/>
              </w:rPr>
              <w:t>+1 617 526 5000 (f)</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26 Landsdowne Street</w:t>
            </w:r>
          </w:p>
        </w:tc>
        <w:tc>
          <w:tcPr>
            <w:tcW w:w="4120" w:type="dxa"/>
            <w:vAlign w:val="bottom"/>
          </w:tcPr>
          <w:p>
            <w:pPr>
              <w:jc w:val="right"/>
              <w:spacing w:after="0"/>
              <w:rPr>
                <w:sz w:val="20"/>
                <w:szCs w:val="20"/>
                <w:color w:val="auto"/>
              </w:rPr>
            </w:pPr>
            <w:r>
              <w:rPr>
                <w:rFonts w:ascii="Arial" w:cs="Arial" w:eastAsia="Arial" w:hAnsi="Arial"/>
                <w:sz w:val="18"/>
                <w:szCs w:val="18"/>
                <w:color w:val="auto"/>
              </w:rPr>
              <w:t>wilmerhale.com</w:t>
            </w: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Cambridge, Massachusetts 02139</w:t>
            </w:r>
          </w:p>
        </w:tc>
        <w:tc>
          <w:tcPr>
            <w:tcW w:w="4120" w:type="dxa"/>
            <w:vAlign w:val="bottom"/>
          </w:tcPr>
          <w:p>
            <w:pPr>
              <w:spacing w:after="0"/>
              <w:rPr>
                <w:sz w:val="20"/>
                <w:szCs w:val="20"/>
                <w:color w:val="auto"/>
              </w:rPr>
            </w:pPr>
          </w:p>
        </w:tc>
      </w:tr>
      <w:tr>
        <w:trPr>
          <w:trHeight w:val="418"/>
        </w:trPr>
        <w:tc>
          <w:tcPr>
            <w:tcW w:w="6900" w:type="dxa"/>
            <w:vAlign w:val="bottom"/>
            <w:gridSpan w:val="2"/>
          </w:tcPr>
          <w:p>
            <w:pPr>
              <w:spacing w:after="0"/>
              <w:rPr>
                <w:sz w:val="20"/>
                <w:szCs w:val="20"/>
                <w:color w:val="auto"/>
              </w:rPr>
            </w:pPr>
            <w:r>
              <w:rPr>
                <w:rFonts w:ascii="Arial" w:cs="Arial" w:eastAsia="Arial" w:hAnsi="Arial"/>
                <w:sz w:val="18"/>
                <w:szCs w:val="18"/>
                <w:color w:val="auto"/>
                <w:w w:val="91"/>
              </w:rPr>
              <w:t>RE:  2022 Inducement Stock Incentive Plan; Inducement Stock Option Award (February 2022)</w:t>
            </w:r>
          </w:p>
        </w:tc>
        <w:tc>
          <w:tcPr>
            <w:tcW w:w="412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64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5929630</wp:posOffset>
            </wp:positionH>
            <wp:positionV relativeFrom="paragraph">
              <wp:posOffset>-1388110</wp:posOffset>
            </wp:positionV>
            <wp:extent cx="106299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6299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assisted in the preparation of a Registration Statement on Form S-8 (the “Registration Statement”) to be filed with the Securities and Exchange Commission (the “Commission”) under the Securities Act of 1933, as amended (the “Securities Act”), relating to (i) an aggregate of 1,750,000 shares of common stock, par value $0.001 per share (the “Plan Shares”), of Fulcrum Therapeutics, Inc., a Delaware corporation (the “Company”), issuable under the Company’s 2022 Inducement Stock Incentive Plan (the “Plan”) and (ii) an aggregate of 43,260 shares of Common Stock (together with the Plan Shares, the “Shares”) issuable pursuant to a nonstatutory stock option agreement providing for an inducement stock option grant between the Company and an employee, which was entered into in connection with the entry into such employee’s employment with the Company pursuant to Nasdaq Stock Market Rule 5635(c)(4) (the “Inducement Award Agreement”).</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4"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We assume that the appropriate action will be taken, prior to the offer and sale of the Shares in accordance with the Plan or Inducement Award Agreement, as applicable, to register and qualify the Shares for sale under all applicable state securities or “blue sky” laws.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General Corporation Law of the State of Delaware and the federal laws of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It is understood that this opinion is to be used only in connection with the offer and sale of the Shares while the Registration Statement is in effect.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March 3,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Based on the foregoing, we are of the opinion that the Shares have been duly authorized for issuance and, when the Shares are issued and paid for in accordance with the terms and conditions of the Plan or the Inducement Award Agreement, as applicable, the Shares will be validly issued, fully paid and nonassessable.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Craig Hilts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Craig Hilts, a Partner</w:t>
      </w:r>
    </w:p>
    <w:p>
      <w:pPr>
        <w:sectPr>
          <w:pgSz w:w="11900" w:h="16838" w:orient="portrait"/>
          <w:cols w:equalWidth="0" w:num="1">
            <w:col w:w="10920"/>
          </w:cols>
          <w:pgMar w:left="440" w:top="274" w:right="5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2022 Inducement Stock Incentive Plan and Inducement Stock Option Award (February 2022) of Fulcrum Therapeutics, Inc. of our report dated March 3, 2022, with respect to the consolidated financial statements of Fulcrum Therapeutics, Inc. included in its Annual Report (Form 10-K) for the year ended December 31, 2021,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Fulcrum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1—Newly Registered Securities</w:t>
      </w:r>
    </w:p>
    <w:p>
      <w:pPr>
        <w:spacing w:after="0" w:line="250" w:lineRule="exact"/>
        <w:rPr>
          <w:sz w:val="20"/>
          <w:szCs w:val="20"/>
          <w:color w:val="auto"/>
        </w:rPr>
      </w:pPr>
    </w:p>
    <w:tbl>
      <w:tblPr>
        <w:tblLayout w:type="fixed"/>
        <w:tblInd w:w="294" w:type="dxa"/>
        <w:tblCellMar>
          <w:top w:w="0" w:type="dxa"/>
          <w:left w:w="0" w:type="dxa"/>
          <w:bottom w:w="0" w:type="dxa"/>
          <w:right w:w="0" w:type="dxa"/>
        </w:tblCellMar>
      </w:tblPr>
      <w:tr>
        <w:trPr>
          <w:trHeight w:val="143"/>
        </w:trPr>
        <w:tc>
          <w:tcPr>
            <w:tcW w:w="1780" w:type="dxa"/>
            <w:vAlign w:val="bottom"/>
            <w:tcBorders>
              <w:top w:val="single" w:sz="8" w:color="auto"/>
              <w:left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center"/>
              <w:ind w:left="20"/>
              <w:spacing w:after="0" w:line="143" w:lineRule="exact"/>
              <w:rPr>
                <w:sz w:val="20"/>
                <w:szCs w:val="20"/>
                <w:color w:val="auto"/>
              </w:rPr>
            </w:pPr>
            <w:r>
              <w:rPr>
                <w:rFonts w:ascii="Arial" w:cs="Arial" w:eastAsia="Arial" w:hAnsi="Arial"/>
                <w:sz w:val="14"/>
                <w:szCs w:val="14"/>
                <w:color w:val="auto"/>
                <w:w w:val="90"/>
              </w:rPr>
              <w:t>Proposed</w:t>
            </w:r>
          </w:p>
        </w:tc>
        <w:tc>
          <w:tcPr>
            <w:tcW w:w="154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r>
      <w:tr>
        <w:trPr>
          <w:trHeight w:val="148"/>
        </w:trPr>
        <w:tc>
          <w:tcPr>
            <w:tcW w:w="17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15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Fee</w:t>
            </w:r>
          </w:p>
        </w:tc>
        <w:tc>
          <w:tcPr>
            <w:tcW w:w="11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20"/>
              <w:spacing w:after="0" w:line="149" w:lineRule="exact"/>
              <w:rPr>
                <w:sz w:val="20"/>
                <w:szCs w:val="20"/>
                <w:color w:val="auto"/>
              </w:rPr>
            </w:pPr>
            <w:r>
              <w:rPr>
                <w:rFonts w:ascii="Arial" w:cs="Arial" w:eastAsia="Arial" w:hAnsi="Arial"/>
                <w:sz w:val="14"/>
                <w:szCs w:val="14"/>
                <w:color w:val="auto"/>
              </w:rPr>
              <w:t>Offering</w:t>
            </w:r>
          </w:p>
        </w:tc>
        <w:tc>
          <w:tcPr>
            <w:tcW w:w="1540" w:type="dxa"/>
            <w:vAlign w:val="bottom"/>
            <w:tcBorders>
              <w:right w:val="single" w:sz="8" w:color="auto"/>
            </w:tcBorders>
          </w:tcPr>
          <w:p>
            <w:pPr>
              <w:jc w:val="center"/>
              <w:ind w:left="17"/>
              <w:spacing w:after="0" w:line="149" w:lineRule="exact"/>
              <w:rPr>
                <w:sz w:val="20"/>
                <w:szCs w:val="20"/>
                <w:color w:val="auto"/>
              </w:rPr>
            </w:pPr>
            <w:r>
              <w:rPr>
                <w:rFonts w:ascii="Arial" w:cs="Arial" w:eastAsia="Arial" w:hAnsi="Arial"/>
                <w:sz w:val="14"/>
                <w:szCs w:val="14"/>
                <w:color w:val="auto"/>
                <w:w w:val="98"/>
              </w:rPr>
              <w:t>Maximum</w:t>
            </w:r>
          </w:p>
        </w:tc>
        <w:tc>
          <w:tcPr>
            <w:tcW w:w="13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Amount of</w:t>
            </w:r>
          </w:p>
        </w:tc>
      </w:tr>
      <w:tr>
        <w:trPr>
          <w:trHeight w:val="148"/>
        </w:trPr>
        <w:tc>
          <w:tcPr>
            <w:tcW w:w="1780" w:type="dxa"/>
            <w:vAlign w:val="bottom"/>
            <w:tcBorders>
              <w:left w:val="single" w:sz="8" w:color="auto"/>
              <w:right w:val="single" w:sz="8" w:color="auto"/>
            </w:tcBorders>
          </w:tcPr>
          <w:p>
            <w:pPr>
              <w:jc w:val="center"/>
              <w:ind w:left="59"/>
              <w:spacing w:after="0" w:line="149" w:lineRule="exact"/>
              <w:rPr>
                <w:sz w:val="20"/>
                <w:szCs w:val="20"/>
                <w:color w:val="auto"/>
              </w:rPr>
            </w:pPr>
            <w:r>
              <w:rPr>
                <w:rFonts w:ascii="Arial" w:cs="Arial" w:eastAsia="Arial" w:hAnsi="Arial"/>
                <w:sz w:val="14"/>
                <w:szCs w:val="14"/>
                <w:color w:val="auto"/>
                <w:w w:val="94"/>
              </w:rPr>
              <w:t>Security</w:t>
            </w:r>
          </w:p>
        </w:tc>
        <w:tc>
          <w:tcPr>
            <w:tcW w:w="1700" w:type="dxa"/>
            <w:vAlign w:val="bottom"/>
            <w:tcBorders>
              <w:right w:val="single" w:sz="8" w:color="auto"/>
            </w:tcBorders>
          </w:tcPr>
          <w:p>
            <w:pPr>
              <w:jc w:val="center"/>
              <w:ind w:left="93"/>
              <w:spacing w:after="0" w:line="149" w:lineRule="exact"/>
              <w:rPr>
                <w:sz w:val="20"/>
                <w:szCs w:val="20"/>
                <w:color w:val="auto"/>
              </w:rPr>
            </w:pPr>
            <w:r>
              <w:rPr>
                <w:rFonts w:ascii="Arial" w:cs="Arial" w:eastAsia="Arial" w:hAnsi="Arial"/>
                <w:sz w:val="14"/>
                <w:szCs w:val="14"/>
                <w:color w:val="auto"/>
                <w:w w:val="94"/>
              </w:rPr>
              <w:t>Security</w:t>
            </w:r>
          </w:p>
        </w:tc>
        <w:tc>
          <w:tcPr>
            <w:tcW w:w="10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Calculation</w:t>
            </w:r>
          </w:p>
        </w:tc>
        <w:tc>
          <w:tcPr>
            <w:tcW w:w="1120" w:type="dxa"/>
            <w:vAlign w:val="bottom"/>
            <w:tcBorders>
              <w:right w:val="single" w:sz="8" w:color="auto"/>
            </w:tcBorders>
          </w:tcPr>
          <w:p>
            <w:pPr>
              <w:jc w:val="center"/>
              <w:ind w:left="16"/>
              <w:spacing w:after="0" w:line="149" w:lineRule="exact"/>
              <w:rPr>
                <w:sz w:val="20"/>
                <w:szCs w:val="20"/>
                <w:color w:val="auto"/>
              </w:rPr>
            </w:pPr>
            <w:r>
              <w:rPr>
                <w:rFonts w:ascii="Arial" w:cs="Arial" w:eastAsia="Arial" w:hAnsi="Arial"/>
                <w:sz w:val="14"/>
                <w:szCs w:val="14"/>
                <w:color w:val="auto"/>
                <w:w w:val="95"/>
              </w:rPr>
              <w:t>Amount</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Price Per</w:t>
            </w:r>
          </w:p>
        </w:tc>
        <w:tc>
          <w:tcPr>
            <w:tcW w:w="1540" w:type="dxa"/>
            <w:vAlign w:val="bottom"/>
            <w:tcBorders>
              <w:right w:val="single" w:sz="8" w:color="auto"/>
            </w:tcBorders>
          </w:tcPr>
          <w:p>
            <w:pPr>
              <w:jc w:val="center"/>
              <w:ind w:left="17"/>
              <w:spacing w:after="0" w:line="149" w:lineRule="exact"/>
              <w:rPr>
                <w:sz w:val="20"/>
                <w:szCs w:val="20"/>
                <w:color w:val="auto"/>
              </w:rPr>
            </w:pPr>
            <w:r>
              <w:rPr>
                <w:rFonts w:ascii="Arial" w:cs="Arial" w:eastAsia="Arial" w:hAnsi="Arial"/>
                <w:sz w:val="14"/>
                <w:szCs w:val="14"/>
                <w:color w:val="auto"/>
                <w:w w:val="92"/>
              </w:rPr>
              <w:t>Aggregate</w:t>
            </w:r>
          </w:p>
        </w:tc>
        <w:tc>
          <w:tcPr>
            <w:tcW w:w="13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Registration</w:t>
            </w:r>
          </w:p>
        </w:tc>
      </w:tr>
      <w:tr>
        <w:trPr>
          <w:trHeight w:val="181"/>
        </w:trPr>
        <w:tc>
          <w:tcPr>
            <w:tcW w:w="178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4"/>
                <w:szCs w:val="14"/>
                <w:color w:val="auto"/>
                <w:w w:val="89"/>
              </w:rPr>
              <w:t>Type</w:t>
            </w:r>
          </w:p>
        </w:tc>
        <w:tc>
          <w:tcPr>
            <w:tcW w:w="1700" w:type="dxa"/>
            <w:vAlign w:val="bottom"/>
            <w:tcBorders>
              <w:bottom w:val="single" w:sz="8" w:color="auto"/>
              <w:right w:val="single" w:sz="8" w:color="auto"/>
            </w:tcBorders>
          </w:tcPr>
          <w:p>
            <w:pPr>
              <w:jc w:val="center"/>
              <w:ind w:left="93"/>
              <w:spacing w:after="0"/>
              <w:rPr>
                <w:sz w:val="20"/>
                <w:szCs w:val="20"/>
                <w:color w:val="auto"/>
              </w:rPr>
            </w:pPr>
            <w:r>
              <w:rPr>
                <w:rFonts w:ascii="Arial" w:cs="Arial" w:eastAsia="Arial" w:hAnsi="Arial"/>
                <w:sz w:val="14"/>
                <w:szCs w:val="14"/>
                <w:color w:val="auto"/>
                <w:w w:val="91"/>
              </w:rPr>
              <w:t>Class Title</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Rule</w:t>
            </w:r>
          </w:p>
        </w:tc>
        <w:tc>
          <w:tcPr>
            <w:tcW w:w="112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4"/>
                <w:szCs w:val="14"/>
                <w:color w:val="auto"/>
                <w:w w:val="92"/>
              </w:rPr>
              <w:t>Registered (1)</w:t>
            </w:r>
          </w:p>
        </w:tc>
        <w:tc>
          <w:tcPr>
            <w:tcW w:w="88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4"/>
                <w:szCs w:val="14"/>
                <w:color w:val="auto"/>
              </w:rPr>
              <w:t>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Offering Price</w:t>
            </w:r>
          </w:p>
        </w:tc>
        <w:tc>
          <w:tcPr>
            <w:tcW w:w="13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color w:val="auto"/>
              </w:rPr>
              <w:t>Fee Rate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Fee</w:t>
            </w:r>
          </w:p>
        </w:tc>
      </w:tr>
      <w:tr>
        <w:trPr>
          <w:trHeight w:val="195"/>
        </w:trPr>
        <w:tc>
          <w:tcPr>
            <w:tcW w:w="1780" w:type="dxa"/>
            <w:vAlign w:val="bottom"/>
            <w:tcBorders>
              <w:left w:val="single" w:sz="8" w:color="auto"/>
              <w:right w:val="single" w:sz="8" w:color="auto"/>
            </w:tcBorders>
          </w:tcPr>
          <w:p>
            <w:pPr>
              <w:jc w:val="center"/>
              <w:ind w:left="59"/>
              <w:spacing w:after="0" w:line="195" w:lineRule="exact"/>
              <w:rPr>
                <w:sz w:val="20"/>
                <w:szCs w:val="20"/>
                <w:color w:val="auto"/>
              </w:rPr>
            </w:pPr>
            <w:r>
              <w:rPr>
                <w:rFonts w:ascii="Arial" w:cs="Arial" w:eastAsia="Arial" w:hAnsi="Arial"/>
                <w:sz w:val="18"/>
                <w:szCs w:val="18"/>
                <w:color w:val="auto"/>
                <w:w w:val="95"/>
              </w:rPr>
              <w:t>Equity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Common Stock,</w:t>
            </w:r>
          </w:p>
        </w:tc>
        <w:tc>
          <w:tcPr>
            <w:tcW w:w="1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jc w:val="center"/>
              <w:ind w:left="73"/>
              <w:spacing w:after="0" w:line="195" w:lineRule="exact"/>
              <w:rPr>
                <w:sz w:val="20"/>
                <w:szCs w:val="20"/>
                <w:color w:val="auto"/>
              </w:rPr>
            </w:pPr>
            <w:r>
              <w:rPr>
                <w:rFonts w:ascii="Arial" w:cs="Arial" w:eastAsia="Arial" w:hAnsi="Arial"/>
                <w:sz w:val="18"/>
                <w:szCs w:val="18"/>
                <w:color w:val="auto"/>
                <w:w w:val="90"/>
              </w:rPr>
              <w:t>$92.70</w:t>
            </w:r>
          </w:p>
        </w:tc>
        <w:tc>
          <w:tcPr>
            <w:tcW w:w="1120" w:type="dxa"/>
            <w:vAlign w:val="bottom"/>
            <w:tcBorders>
              <w:right w:val="single" w:sz="8" w:color="auto"/>
            </w:tcBorders>
          </w:tcPr>
          <w:p>
            <w:pPr>
              <w:spacing w:after="0"/>
              <w:rPr>
                <w:sz w:val="16"/>
                <w:szCs w:val="16"/>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$0.001 par value</w:t>
            </w:r>
          </w:p>
        </w:tc>
        <w:tc>
          <w:tcPr>
            <w:tcW w:w="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1,750,000</w:t>
            </w:r>
          </w:p>
        </w:tc>
        <w:tc>
          <w:tcPr>
            <w:tcW w:w="880" w:type="dxa"/>
            <w:vAlign w:val="bottom"/>
            <w:tcBorders>
              <w:right w:val="single" w:sz="8" w:color="auto"/>
            </w:tcBorders>
          </w:tcPr>
          <w:p>
            <w:pPr>
              <w:jc w:val="center"/>
              <w:ind w:left="80"/>
              <w:spacing w:after="0"/>
              <w:rPr>
                <w:sz w:val="20"/>
                <w:szCs w:val="20"/>
                <w:color w:val="auto"/>
              </w:rPr>
            </w:pPr>
            <w:r>
              <w:rPr>
                <w:rFonts w:ascii="Arial" w:cs="Arial" w:eastAsia="Arial" w:hAnsi="Arial"/>
                <w:sz w:val="18"/>
                <w:szCs w:val="18"/>
                <w:color w:val="auto"/>
                <w:w w:val="87"/>
              </w:rPr>
              <w:t>$10.59</w:t>
            </w:r>
          </w:p>
        </w:tc>
        <w:tc>
          <w:tcPr>
            <w:tcW w:w="1540" w:type="dxa"/>
            <w:vAlign w:val="bottom"/>
            <w:tcBorders>
              <w:right w:val="single" w:sz="8" w:color="auto"/>
            </w:tcBorders>
          </w:tcPr>
          <w:p>
            <w:pPr>
              <w:jc w:val="right"/>
              <w:ind w:right="137"/>
              <w:spacing w:after="0"/>
              <w:rPr>
                <w:sz w:val="20"/>
                <w:szCs w:val="20"/>
                <w:color w:val="auto"/>
              </w:rPr>
            </w:pPr>
            <w:r>
              <w:rPr>
                <w:rFonts w:ascii="Arial" w:cs="Arial" w:eastAsia="Arial" w:hAnsi="Arial"/>
                <w:sz w:val="18"/>
                <w:szCs w:val="18"/>
                <w:color w:val="auto"/>
              </w:rPr>
              <w:t>$18,532,500.00</w:t>
            </w:r>
          </w:p>
        </w:tc>
        <w:tc>
          <w:tcPr>
            <w:tcW w:w="13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per</w:t>
            </w:r>
          </w:p>
        </w:tc>
        <w:tc>
          <w:tcPr>
            <w:tcW w:w="1120" w:type="dxa"/>
            <w:vAlign w:val="bottom"/>
            <w:tcBorders>
              <w:right w:val="single" w:sz="8" w:color="auto"/>
            </w:tcBorders>
          </w:tcPr>
          <w:p>
            <w:pPr>
              <w:spacing w:after="0"/>
              <w:rPr>
                <w:sz w:val="18"/>
                <w:szCs w:val="18"/>
                <w:color w:val="auto"/>
              </w:rPr>
            </w:pPr>
          </w:p>
        </w:tc>
      </w:tr>
      <w:tr>
        <w:trPr>
          <w:trHeight w:val="244"/>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w w:val="96"/>
              </w:rPr>
              <w:t>shares (2)</w:t>
            </w:r>
          </w:p>
        </w:tc>
        <w:tc>
          <w:tcPr>
            <w:tcW w:w="880" w:type="dxa"/>
            <w:vAlign w:val="bottom"/>
            <w:tcBorders>
              <w:bottom w:val="single" w:sz="8" w:color="auto"/>
              <w:right w:val="single" w:sz="8" w:color="auto"/>
            </w:tcBorders>
          </w:tcPr>
          <w:p>
            <w:pPr>
              <w:jc w:val="center"/>
              <w:ind w:left="80"/>
              <w:spacing w:after="0"/>
              <w:rPr>
                <w:sz w:val="20"/>
                <w:szCs w:val="20"/>
                <w:color w:val="auto"/>
              </w:rPr>
            </w:pPr>
            <w:r>
              <w:rPr>
                <w:rFonts w:ascii="Arial" w:cs="Arial" w:eastAsia="Arial" w:hAnsi="Arial"/>
                <w:sz w:val="18"/>
                <w:szCs w:val="18"/>
                <w:color w:val="auto"/>
                <w:w w:val="90"/>
              </w:rPr>
              <w:t>(3)</w:t>
            </w:r>
          </w:p>
        </w:tc>
        <w:tc>
          <w:tcPr>
            <w:tcW w:w="1540" w:type="dxa"/>
            <w:vAlign w:val="bottom"/>
            <w:tcBorders>
              <w:bottom w:val="single" w:sz="8" w:color="auto"/>
              <w:right w:val="single" w:sz="8" w:color="auto"/>
            </w:tcBorders>
          </w:tcPr>
          <w:p>
            <w:pPr>
              <w:jc w:val="center"/>
              <w:ind w:left="77"/>
              <w:spacing w:after="0"/>
              <w:rPr>
                <w:sz w:val="20"/>
                <w:szCs w:val="20"/>
                <w:color w:val="auto"/>
              </w:rPr>
            </w:pPr>
            <w:r>
              <w:rPr>
                <w:rFonts w:ascii="Arial" w:cs="Arial" w:eastAsia="Arial" w:hAnsi="Arial"/>
                <w:sz w:val="18"/>
                <w:szCs w:val="18"/>
                <w:color w:val="auto"/>
                <w:w w:val="99"/>
              </w:rPr>
              <w:t>(3)</w:t>
            </w:r>
          </w:p>
        </w:tc>
        <w:tc>
          <w:tcPr>
            <w:tcW w:w="1380" w:type="dxa"/>
            <w:vAlign w:val="bottom"/>
            <w:tcBorders>
              <w:bottom w:val="single" w:sz="8" w:color="auto"/>
              <w:right w:val="single" w:sz="8" w:color="auto"/>
            </w:tcBorders>
          </w:tcPr>
          <w:p>
            <w:pPr>
              <w:jc w:val="center"/>
              <w:ind w:left="73"/>
              <w:spacing w:after="0"/>
              <w:rPr>
                <w:sz w:val="20"/>
                <w:szCs w:val="20"/>
                <w:color w:val="auto"/>
              </w:rPr>
            </w:pPr>
            <w:r>
              <w:rPr>
                <w:rFonts w:ascii="Arial" w:cs="Arial" w:eastAsia="Arial" w:hAnsi="Arial"/>
                <w:sz w:val="18"/>
                <w:szCs w:val="18"/>
                <w:color w:val="auto"/>
                <w:w w:val="90"/>
              </w:rPr>
              <w:t>$1,000,000</w:t>
            </w:r>
          </w:p>
        </w:tc>
        <w:tc>
          <w:tcPr>
            <w:tcW w:w="112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8"/>
                <w:szCs w:val="18"/>
                <w:color w:val="auto"/>
              </w:rPr>
              <w:t>$1,717.97</w:t>
            </w:r>
          </w:p>
        </w:tc>
      </w:tr>
      <w:tr>
        <w:trPr>
          <w:trHeight w:val="195"/>
        </w:trPr>
        <w:tc>
          <w:tcPr>
            <w:tcW w:w="1780" w:type="dxa"/>
            <w:vAlign w:val="bottom"/>
            <w:tcBorders>
              <w:left w:val="single" w:sz="8" w:color="auto"/>
              <w:right w:val="single" w:sz="8" w:color="auto"/>
            </w:tcBorders>
          </w:tcPr>
          <w:p>
            <w:pPr>
              <w:jc w:val="center"/>
              <w:ind w:left="59"/>
              <w:spacing w:after="0" w:line="195" w:lineRule="exact"/>
              <w:rPr>
                <w:sz w:val="20"/>
                <w:szCs w:val="20"/>
                <w:color w:val="auto"/>
              </w:rPr>
            </w:pPr>
            <w:r>
              <w:rPr>
                <w:rFonts w:ascii="Arial" w:cs="Arial" w:eastAsia="Arial" w:hAnsi="Arial"/>
                <w:sz w:val="18"/>
                <w:szCs w:val="18"/>
                <w:color w:val="auto"/>
                <w:w w:val="95"/>
              </w:rPr>
              <w:t>Equity</w:t>
            </w:r>
          </w:p>
        </w:tc>
        <w:tc>
          <w:tcPr>
            <w:tcW w:w="1700" w:type="dxa"/>
            <w:vAlign w:val="bottom"/>
            <w:tcBorders>
              <w:right w:val="single" w:sz="8" w:color="auto"/>
            </w:tcBorders>
          </w:tcPr>
          <w:p>
            <w:pPr>
              <w:jc w:val="center"/>
              <w:ind w:left="93"/>
              <w:spacing w:after="0" w:line="195" w:lineRule="exact"/>
              <w:rPr>
                <w:sz w:val="20"/>
                <w:szCs w:val="20"/>
                <w:color w:val="auto"/>
              </w:rPr>
            </w:pPr>
            <w:r>
              <w:rPr>
                <w:rFonts w:ascii="Arial" w:cs="Arial" w:eastAsia="Arial" w:hAnsi="Arial"/>
                <w:sz w:val="18"/>
                <w:szCs w:val="18"/>
                <w:color w:val="auto"/>
                <w:w w:val="90"/>
              </w:rPr>
              <w:t>Common Stock,</w:t>
            </w:r>
          </w:p>
        </w:tc>
        <w:tc>
          <w:tcPr>
            <w:tcW w:w="1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jc w:val="center"/>
              <w:ind w:left="73"/>
              <w:spacing w:after="0" w:line="195" w:lineRule="exact"/>
              <w:rPr>
                <w:sz w:val="20"/>
                <w:szCs w:val="20"/>
                <w:color w:val="auto"/>
              </w:rPr>
            </w:pPr>
            <w:r>
              <w:rPr>
                <w:rFonts w:ascii="Arial" w:cs="Arial" w:eastAsia="Arial" w:hAnsi="Arial"/>
                <w:sz w:val="18"/>
                <w:szCs w:val="18"/>
                <w:color w:val="auto"/>
                <w:w w:val="90"/>
              </w:rPr>
              <w:t>$92.70</w:t>
            </w:r>
          </w:p>
        </w:tc>
        <w:tc>
          <w:tcPr>
            <w:tcW w:w="1120" w:type="dxa"/>
            <w:vAlign w:val="bottom"/>
            <w:tcBorders>
              <w:right w:val="single" w:sz="8" w:color="auto"/>
            </w:tcBorders>
          </w:tcPr>
          <w:p>
            <w:pPr>
              <w:spacing w:after="0"/>
              <w:rPr>
                <w:sz w:val="16"/>
                <w:szCs w:val="16"/>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ind w:left="93"/>
              <w:spacing w:after="0"/>
              <w:rPr>
                <w:sz w:val="20"/>
                <w:szCs w:val="20"/>
                <w:color w:val="auto"/>
              </w:rPr>
            </w:pPr>
            <w:r>
              <w:rPr>
                <w:rFonts w:ascii="Arial" w:cs="Arial" w:eastAsia="Arial" w:hAnsi="Arial"/>
                <w:sz w:val="18"/>
                <w:szCs w:val="18"/>
                <w:color w:val="auto"/>
                <w:w w:val="89"/>
              </w:rPr>
              <w:t>$0.001 par value per</w:t>
            </w:r>
          </w:p>
        </w:tc>
        <w:tc>
          <w:tcPr>
            <w:tcW w:w="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156"/>
              <w:spacing w:after="0"/>
              <w:rPr>
                <w:sz w:val="20"/>
                <w:szCs w:val="20"/>
                <w:color w:val="auto"/>
              </w:rPr>
            </w:pPr>
            <w:r>
              <w:rPr>
                <w:rFonts w:ascii="Arial" w:cs="Arial" w:eastAsia="Arial" w:hAnsi="Arial"/>
                <w:sz w:val="18"/>
                <w:szCs w:val="18"/>
                <w:color w:val="auto"/>
              </w:rPr>
              <w:t>43,260</w:t>
            </w:r>
          </w:p>
        </w:tc>
        <w:tc>
          <w:tcPr>
            <w:tcW w:w="880" w:type="dxa"/>
            <w:vAlign w:val="bottom"/>
            <w:tcBorders>
              <w:right w:val="single" w:sz="8" w:color="auto"/>
            </w:tcBorders>
          </w:tcPr>
          <w:p>
            <w:pPr>
              <w:jc w:val="center"/>
              <w:ind w:left="80"/>
              <w:spacing w:after="0"/>
              <w:rPr>
                <w:sz w:val="20"/>
                <w:szCs w:val="20"/>
                <w:color w:val="auto"/>
              </w:rPr>
            </w:pPr>
            <w:r>
              <w:rPr>
                <w:rFonts w:ascii="Arial" w:cs="Arial" w:eastAsia="Arial" w:hAnsi="Arial"/>
                <w:sz w:val="18"/>
                <w:szCs w:val="18"/>
                <w:color w:val="auto"/>
                <w:w w:val="87"/>
              </w:rPr>
              <w:t>$10.93</w:t>
            </w:r>
          </w:p>
        </w:tc>
        <w:tc>
          <w:tcPr>
            <w:tcW w:w="1540" w:type="dxa"/>
            <w:vAlign w:val="bottom"/>
            <w:tcBorders>
              <w:right w:val="single" w:sz="8" w:color="auto"/>
            </w:tcBorders>
          </w:tcPr>
          <w:p>
            <w:pPr>
              <w:jc w:val="center"/>
              <w:ind w:left="77"/>
              <w:spacing w:after="0"/>
              <w:rPr>
                <w:sz w:val="20"/>
                <w:szCs w:val="20"/>
                <w:color w:val="auto"/>
              </w:rPr>
            </w:pPr>
            <w:r>
              <w:rPr>
                <w:rFonts w:ascii="Arial" w:cs="Arial" w:eastAsia="Arial" w:hAnsi="Arial"/>
                <w:sz w:val="18"/>
                <w:szCs w:val="18"/>
                <w:color w:val="auto"/>
                <w:w w:val="89"/>
              </w:rPr>
              <w:t>$472,831.80</w:t>
            </w:r>
          </w:p>
        </w:tc>
        <w:tc>
          <w:tcPr>
            <w:tcW w:w="13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per</w:t>
            </w:r>
          </w:p>
        </w:tc>
        <w:tc>
          <w:tcPr>
            <w:tcW w:w="1120" w:type="dxa"/>
            <w:vAlign w:val="bottom"/>
            <w:tcBorders>
              <w:right w:val="single" w:sz="8" w:color="auto"/>
            </w:tcBorders>
          </w:tcPr>
          <w:p>
            <w:pPr>
              <w:spacing w:after="0"/>
              <w:rPr>
                <w:sz w:val="18"/>
                <w:szCs w:val="18"/>
                <w:color w:val="auto"/>
              </w:rPr>
            </w:pPr>
          </w:p>
        </w:tc>
      </w:tr>
      <w:tr>
        <w:trPr>
          <w:trHeight w:val="244"/>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ind w:left="93"/>
              <w:spacing w:after="0"/>
              <w:rPr>
                <w:sz w:val="20"/>
                <w:szCs w:val="20"/>
                <w:color w:val="auto"/>
              </w:rPr>
            </w:pPr>
            <w:r>
              <w:rPr>
                <w:rFonts w:ascii="Arial" w:cs="Arial" w:eastAsia="Arial" w:hAnsi="Arial"/>
                <w:sz w:val="18"/>
                <w:szCs w:val="18"/>
                <w:color w:val="auto"/>
                <w:w w:val="79"/>
              </w:rPr>
              <w:t>share</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w w:val="96"/>
              </w:rPr>
              <w:t>shares (4)</w:t>
            </w:r>
          </w:p>
        </w:tc>
        <w:tc>
          <w:tcPr>
            <w:tcW w:w="880" w:type="dxa"/>
            <w:vAlign w:val="bottom"/>
            <w:tcBorders>
              <w:bottom w:val="single" w:sz="8" w:color="auto"/>
              <w:right w:val="single" w:sz="8" w:color="auto"/>
            </w:tcBorders>
          </w:tcPr>
          <w:p>
            <w:pPr>
              <w:jc w:val="center"/>
              <w:ind w:left="80"/>
              <w:spacing w:after="0"/>
              <w:rPr>
                <w:sz w:val="20"/>
                <w:szCs w:val="20"/>
                <w:color w:val="auto"/>
              </w:rPr>
            </w:pPr>
            <w:r>
              <w:rPr>
                <w:rFonts w:ascii="Arial" w:cs="Arial" w:eastAsia="Arial" w:hAnsi="Arial"/>
                <w:sz w:val="18"/>
                <w:szCs w:val="18"/>
                <w:color w:val="auto"/>
                <w:w w:val="90"/>
              </w:rPr>
              <w:t>(5)</w:t>
            </w:r>
          </w:p>
        </w:tc>
        <w:tc>
          <w:tcPr>
            <w:tcW w:w="1540" w:type="dxa"/>
            <w:vAlign w:val="bottom"/>
            <w:tcBorders>
              <w:bottom w:val="single" w:sz="8" w:color="auto"/>
              <w:right w:val="single" w:sz="8" w:color="auto"/>
            </w:tcBorders>
          </w:tcPr>
          <w:p>
            <w:pPr>
              <w:jc w:val="center"/>
              <w:ind w:left="77"/>
              <w:spacing w:after="0"/>
              <w:rPr>
                <w:sz w:val="20"/>
                <w:szCs w:val="20"/>
                <w:color w:val="auto"/>
              </w:rPr>
            </w:pPr>
            <w:r>
              <w:rPr>
                <w:rFonts w:ascii="Arial" w:cs="Arial" w:eastAsia="Arial" w:hAnsi="Arial"/>
                <w:sz w:val="18"/>
                <w:szCs w:val="18"/>
                <w:color w:val="auto"/>
                <w:w w:val="99"/>
              </w:rPr>
              <w:t>(5)</w:t>
            </w:r>
          </w:p>
        </w:tc>
        <w:tc>
          <w:tcPr>
            <w:tcW w:w="1380" w:type="dxa"/>
            <w:vAlign w:val="bottom"/>
            <w:tcBorders>
              <w:bottom w:val="single" w:sz="8" w:color="auto"/>
              <w:right w:val="single" w:sz="8" w:color="auto"/>
            </w:tcBorders>
          </w:tcPr>
          <w:p>
            <w:pPr>
              <w:jc w:val="center"/>
              <w:ind w:left="73"/>
              <w:spacing w:after="0"/>
              <w:rPr>
                <w:sz w:val="20"/>
                <w:szCs w:val="20"/>
                <w:color w:val="auto"/>
              </w:rPr>
            </w:pPr>
            <w:r>
              <w:rPr>
                <w:rFonts w:ascii="Arial" w:cs="Arial" w:eastAsia="Arial" w:hAnsi="Arial"/>
                <w:sz w:val="18"/>
                <w:szCs w:val="18"/>
                <w:color w:val="auto"/>
                <w:w w:val="90"/>
              </w:rPr>
              <w:t>$1,000,000</w:t>
            </w:r>
          </w:p>
        </w:tc>
        <w:tc>
          <w:tcPr>
            <w:tcW w:w="11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90"/>
              </w:rPr>
              <w:t>$43.84</w:t>
            </w:r>
          </w:p>
        </w:tc>
      </w:tr>
      <w:tr>
        <w:trPr>
          <w:trHeight w:val="210"/>
        </w:trPr>
        <w:tc>
          <w:tcPr>
            <w:tcW w:w="178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center"/>
              <w:ind w:right="461"/>
              <w:spacing w:after="0"/>
              <w:rPr>
                <w:sz w:val="20"/>
                <w:szCs w:val="20"/>
                <w:color w:val="auto"/>
              </w:rPr>
            </w:pPr>
            <w:r>
              <w:rPr>
                <w:rFonts w:ascii="Arial" w:cs="Arial" w:eastAsia="Arial" w:hAnsi="Arial"/>
                <w:sz w:val="18"/>
                <w:szCs w:val="18"/>
                <w:b w:val="1"/>
                <w:bCs w:val="1"/>
                <w:color w:val="auto"/>
                <w:w w:val="91"/>
              </w:rPr>
              <w:t>Total Offering Amounts</w:t>
            </w:r>
          </w:p>
        </w:tc>
        <w:tc>
          <w:tcPr>
            <w:tcW w:w="11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left="77"/>
              <w:spacing w:after="0"/>
              <w:rPr>
                <w:sz w:val="20"/>
                <w:szCs w:val="20"/>
                <w:color w:val="auto"/>
              </w:rPr>
            </w:pPr>
            <w:r>
              <w:rPr>
                <w:rFonts w:ascii="Arial" w:cs="Arial" w:eastAsia="Arial" w:hAnsi="Arial"/>
                <w:sz w:val="18"/>
                <w:szCs w:val="18"/>
                <w:color w:val="auto"/>
                <w:w w:val="91"/>
              </w:rPr>
              <w:t>$19,005,331.80</w:t>
            </w: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left="77"/>
              <w:spacing w:after="0"/>
              <w:rPr>
                <w:sz w:val="20"/>
                <w:szCs w:val="20"/>
                <w:color w:val="auto"/>
              </w:rPr>
            </w:pPr>
            <w:r>
              <w:rPr>
                <w:rFonts w:ascii="Arial" w:cs="Arial" w:eastAsia="Arial" w:hAnsi="Arial"/>
                <w:sz w:val="18"/>
                <w:szCs w:val="18"/>
                <w:color w:val="auto"/>
                <w:w w:val="89"/>
              </w:rPr>
              <w:t>$1,761.81</w:t>
            </w:r>
          </w:p>
        </w:tc>
      </w:tr>
      <w:tr>
        <w:trPr>
          <w:trHeight w:val="210"/>
        </w:trPr>
        <w:tc>
          <w:tcPr>
            <w:tcW w:w="178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left="233"/>
              <w:spacing w:after="0"/>
              <w:rPr>
                <w:sz w:val="20"/>
                <w:szCs w:val="20"/>
                <w:color w:val="auto"/>
              </w:rPr>
            </w:pPr>
            <w:r>
              <w:rPr>
                <w:rFonts w:ascii="Arial" w:cs="Arial" w:eastAsia="Arial" w:hAnsi="Arial"/>
                <w:sz w:val="18"/>
                <w:szCs w:val="18"/>
                <w:b w:val="1"/>
                <w:bCs w:val="1"/>
                <w:color w:val="auto"/>
                <w:w w:val="87"/>
              </w:rPr>
              <w:t>Total Fee Offsets</w:t>
            </w:r>
          </w:p>
        </w:tc>
        <w:tc>
          <w:tcPr>
            <w:tcW w:w="8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89"/>
              </w:rPr>
              <w:t>$0</w:t>
            </w:r>
          </w:p>
        </w:tc>
      </w:tr>
      <w:tr>
        <w:trPr>
          <w:trHeight w:val="209"/>
        </w:trPr>
        <w:tc>
          <w:tcPr>
            <w:tcW w:w="178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left="213"/>
              <w:spacing w:after="0"/>
              <w:rPr>
                <w:sz w:val="20"/>
                <w:szCs w:val="20"/>
                <w:color w:val="auto"/>
              </w:rPr>
            </w:pPr>
            <w:r>
              <w:rPr>
                <w:rFonts w:ascii="Arial" w:cs="Arial" w:eastAsia="Arial" w:hAnsi="Arial"/>
                <w:sz w:val="18"/>
                <w:szCs w:val="18"/>
                <w:b w:val="1"/>
                <w:bCs w:val="1"/>
                <w:color w:val="auto"/>
                <w:w w:val="90"/>
              </w:rPr>
              <w:t>Net Fee Due</w:t>
            </w:r>
          </w:p>
        </w:tc>
        <w:tc>
          <w:tcPr>
            <w:tcW w:w="8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left="77"/>
              <w:spacing w:after="0"/>
              <w:rPr>
                <w:sz w:val="20"/>
                <w:szCs w:val="20"/>
                <w:color w:val="auto"/>
              </w:rPr>
            </w:pPr>
            <w:r>
              <w:rPr>
                <w:rFonts w:ascii="Arial" w:cs="Arial" w:eastAsia="Arial" w:hAnsi="Arial"/>
                <w:sz w:val="18"/>
                <w:szCs w:val="18"/>
                <w:color w:val="auto"/>
                <w:w w:val="89"/>
              </w:rPr>
              <w:t>$1,761.81</w:t>
            </w:r>
          </w:p>
        </w:tc>
      </w:tr>
    </w:tbl>
    <w:p>
      <w:pPr>
        <w:spacing w:after="0" w:line="229" w:lineRule="exact"/>
        <w:rPr>
          <w:sz w:val="20"/>
          <w:szCs w:val="20"/>
          <w:color w:val="auto"/>
        </w:rPr>
      </w:pPr>
    </w:p>
    <w:p>
      <w:pPr>
        <w:ind w:left="424" w:right="280" w:hanging="424"/>
        <w:spacing w:after="0" w:line="29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1,750,000 shares issuable under the 2022 Inducement Stock Incentive Plan.</w:t>
      </w:r>
    </w:p>
    <w:p>
      <w:pPr>
        <w:spacing w:after="0" w:line="9" w:lineRule="exact"/>
        <w:rPr>
          <w:rFonts w:ascii="Arial" w:cs="Arial" w:eastAsia="Arial" w:hAnsi="Arial"/>
          <w:sz w:val="18"/>
          <w:szCs w:val="18"/>
          <w:color w:val="auto"/>
        </w:rPr>
      </w:pPr>
    </w:p>
    <w:p>
      <w:pPr>
        <w:ind w:left="424" w:right="10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457(h) of the Securities Act of 1933, as amended, and based upon the average of the high and low sale prices of the Registrant’s Common Stock as reported on the Nasdaq Global Market on February 25, 2022.</w:t>
      </w:r>
    </w:p>
    <w:p>
      <w:pPr>
        <w:spacing w:after="0" w:line="1" w:lineRule="exact"/>
        <w:rPr>
          <w:rFonts w:ascii="Arial" w:cs="Arial" w:eastAsia="Arial" w:hAnsi="Arial"/>
          <w:sz w:val="18"/>
          <w:szCs w:val="18"/>
          <w:color w:val="auto"/>
        </w:rPr>
      </w:pPr>
    </w:p>
    <w:p>
      <w:pPr>
        <w:ind w:left="424" w:right="660" w:hanging="424"/>
        <w:spacing w:after="0" w:line="265"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Consists of shares issuable under a new hire inducement stock option award granted in February 2022 to an employee of the Registrant as inducement material to entry into employment with the Registrant in accordance with Nasdaq Listing Rule 5635(c)(4).</w:t>
      </w:r>
    </w:p>
    <w:p>
      <w:pPr>
        <w:ind w:left="424" w:right="40" w:hanging="424"/>
        <w:spacing w:after="0" w:line="323"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 of the Securities Act. The price per share and aggregate offering price are calculated on the basis of the exercise price of the options outstanding under the inducement stock option award.</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decimal"/>
      <w:start w:val="107"/>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decimal"/>
      <w:start w:val="1"/>
    </w:lvl>
    <w:lvl w:ilvl="1">
      <w:lvlJc w:val="left"/>
      <w:lvlText w:val="(%2)"/>
      <w:numFmt w:val="decimal"/>
      <w:start w:val="2"/>
    </w:lvl>
  </w:abstractNum>
  <w:abstractNum w:abstractNumId="5">
    <w:nsid w:val="2EB141F2"/>
    <w:multiLevelType w:val="hybridMultilevel"/>
    <w:lvl w:ilvl="0">
      <w:lvlJc w:val="left"/>
      <w:lvlText w:val="%1."/>
      <w:numFmt w:val="decimal"/>
      <w:start w:val="2"/>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jpeg"/><Relationship Id="rId28" Type="http://schemas.openxmlformats.org/officeDocument/2006/relationships/image" Target="media/image17.png"/><Relationship Id="rId29" Type="http://schemas.openxmlformats.org/officeDocument/2006/relationships/image" Target="media/image18.png"/><Relationship Id="rId19" Type="http://schemas.openxmlformats.org/officeDocument/2006/relationships/hyperlink" Target="http://www.sec.gov/Archives/edgar/data/1680581/000104746919004324/a2239321zex-3_1.htm" TargetMode="External"/><Relationship Id="rId20" Type="http://schemas.openxmlformats.org/officeDocument/2006/relationships/hyperlink" Target="http://www.sec.gov/Archives/edgar/data/1680581/000104746919004324/a2239321zex-3_2.htm" TargetMode="External"/><Relationship Id="rId21" Type="http://schemas.openxmlformats.org/officeDocument/2006/relationships/hyperlink" Target="http://www.sec.gov/Archives/edgar/data/1680581/000095017022002727/fulc-ex10_12.htm" TargetMode="External"/><Relationship Id="rId22" Type="http://schemas.openxmlformats.org/officeDocument/2006/relationships/hyperlink" Target="http://www.sec.gov/Archives/edgar/data/0001680581/000156459021054234/fulc-ex101_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2022-03-03T06:38:39Z</dcterms:created>
  <dcterms:modified xsi:type="dcterms:W3CDTF">2022-03-03T06:38:39Z</dcterms:modified>
</cp:coreProperties>
</file>