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200660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6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 Securities Exchange Act of 1934</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17, 2024</w:t>
      </w:r>
    </w:p>
    <w:p>
      <w:pPr>
        <w:spacing w:after="0" w:line="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4" w:type="dxa"/>
        <w:tblCellMar>
          <w:top w:w="0" w:type="dxa"/>
          <w:left w:w="0" w:type="dxa"/>
          <w:bottom w:w="0" w:type="dxa"/>
          <w:right w:w="0" w:type="dxa"/>
        </w:tblCellMar>
      </w:tblPr>
      <w:tr>
        <w:trPr>
          <w:trHeight w:val="220"/>
        </w:trPr>
        <w:tc>
          <w:tcPr>
            <w:tcW w:w="502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001-38978</w:t>
            </w:r>
          </w:p>
        </w:tc>
        <w:tc>
          <w:tcPr>
            <w:tcW w:w="25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47-4839948</w:t>
            </w:r>
          </w:p>
        </w:tc>
      </w:tr>
      <w:tr>
        <w:trPr>
          <w:trHeight w:val="216"/>
        </w:trPr>
        <w:tc>
          <w:tcPr>
            <w:tcW w:w="502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3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(Commission</w:t>
            </w:r>
          </w:p>
        </w:tc>
        <w:tc>
          <w:tcPr>
            <w:tcW w:w="25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02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3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File Number)</w:t>
            </w:r>
          </w:p>
        </w:tc>
        <w:tc>
          <w:tcPr>
            <w:tcW w:w="25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83"/>
        </w:trPr>
        <w:tc>
          <w:tcPr>
            <w:tcW w:w="502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9"/>
              </w:rPr>
              <w:t>26 Landsdowne Street</w:t>
            </w:r>
          </w:p>
        </w:tc>
        <w:tc>
          <w:tcPr>
            <w:tcW w:w="23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20"/>
        </w:trPr>
        <w:tc>
          <w:tcPr>
            <w:tcW w:w="502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9"/>
              </w:rPr>
              <w:t>Cambridge, Massachusetts</w:t>
            </w:r>
          </w:p>
        </w:tc>
        <w:tc>
          <w:tcPr>
            <w:tcW w:w="2320" w:type="dxa"/>
            <w:vAlign w:val="bottom"/>
          </w:tcPr>
          <w:p>
            <w:pPr>
              <w:spacing w:after="0"/>
              <w:rPr>
                <w:sz w:val="19"/>
                <w:szCs w:val="19"/>
                <w:color w:val="auto"/>
              </w:rPr>
            </w:pPr>
          </w:p>
        </w:tc>
        <w:tc>
          <w:tcPr>
            <w:tcW w:w="25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234"/>
        </w:trPr>
        <w:tc>
          <w:tcPr>
            <w:tcW w:w="502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320" w:type="dxa"/>
            <w:vAlign w:val="bottom"/>
          </w:tcPr>
          <w:p>
            <w:pPr>
              <w:spacing w:after="0"/>
              <w:rPr>
                <w:sz w:val="20"/>
                <w:szCs w:val="20"/>
                <w:color w:val="auto"/>
              </w:rPr>
            </w:pPr>
          </w:p>
        </w:tc>
        <w:tc>
          <w:tcPr>
            <w:tcW w:w="25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92"/>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651-8851</w:t>
            </w:r>
          </w:p>
        </w:tc>
        <w:tc>
          <w:tcPr>
            <w:tcW w:w="232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1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6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24" w:hanging="324"/>
        <w:spacing w:after="0"/>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24" w:hanging="324"/>
        <w:spacing w:after="0"/>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24" w:hanging="324"/>
        <w:spacing w:after="0"/>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24" w:hanging="324"/>
        <w:spacing w:after="0"/>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185" w:lineRule="exact"/>
        <w:rPr>
          <w:sz w:val="24"/>
          <w:szCs w:val="24"/>
          <w:color w:val="auto"/>
        </w:rPr>
      </w:pPr>
    </w:p>
    <w:tbl>
      <w:tblPr>
        <w:tblLayout w:type="fixed"/>
        <w:tblInd w:w="4" w:type="dxa"/>
        <w:tblCellMar>
          <w:top w:w="0" w:type="dxa"/>
          <w:left w:w="0" w:type="dxa"/>
          <w:bottom w:w="0" w:type="dxa"/>
          <w:right w:w="0" w:type="dxa"/>
        </w:tblCellMar>
      </w:tblP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14"/>
        </w:trPr>
        <w:tc>
          <w:tcPr>
            <w:tcW w:w="4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Trading</w:t>
            </w: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41"/>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Symbol(s)</w:t>
            </w:r>
          </w:p>
        </w:tc>
        <w:tc>
          <w:tcPr>
            <w:tcW w:w="4520" w:type="dxa"/>
            <w:vAlign w:val="bottom"/>
          </w:tcPr>
          <w:p>
            <w:pPr>
              <w:spacing w:after="0"/>
              <w:rPr>
                <w:sz w:val="20"/>
                <w:szCs w:val="20"/>
                <w:color w:val="auto"/>
              </w:rPr>
            </w:pPr>
          </w:p>
        </w:tc>
      </w:tr>
      <w:tr>
        <w:trPr>
          <w:trHeight w:val="238"/>
        </w:trPr>
        <w:tc>
          <w:tcPr>
            <w:tcW w:w="4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FULC</w:t>
            </w:r>
          </w:p>
        </w:tc>
        <w:tc>
          <w:tcPr>
            <w:tcW w:w="100" w:type="dxa"/>
            <w:vAlign w:val="bottom"/>
          </w:tcPr>
          <w:p>
            <w:pPr>
              <w:spacing w:after="0"/>
              <w:rPr>
                <w:sz w:val="20"/>
                <w:szCs w:val="20"/>
                <w:color w:val="auto"/>
              </w:rPr>
            </w:pPr>
          </w:p>
        </w:tc>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bl>
    <w:p>
      <w:pPr>
        <w:spacing w:after="0" w:line="148"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8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162560</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4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500"/>
            <w:col w:w="9780"/>
          </w:cols>
          <w:pgMar w:left="440" w:top="293" w:right="479" w:bottom="1440" w:gutter="0" w:footer="0" w:header="0"/>
        </w:sect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June 17, 2024, the board of directors, or the Board, of Fulcrum Therapeutics, Inc., or Fulcrum, increased the size of the Board from eight to nine members, and upon recommendation from the Nominating and Corporate Governance Committee of the Board, elected Colin Hill as a member of the Board, effective June 17, 2024, to serve as a Class I director with a term expiring at Fulcrum’s 2026 annual meeting of stockholders and thereafter until his successor has been duly elected and qualified or until his earlier death, resignation or removal. Mr. Hill was appointed to serve on the Science &amp; Technology Committee. The Board has determined that Mr. Hill is “independent” as contemplated by the Nasdaq Stock Market and other governing laws and applicable regulations.</w:t>
      </w:r>
    </w:p>
    <w:p>
      <w:pPr>
        <w:spacing w:after="0" w:line="187" w:lineRule="exact"/>
        <w:rPr>
          <w:sz w:val="20"/>
          <w:szCs w:val="20"/>
          <w:color w:val="auto"/>
        </w:rPr>
      </w:pPr>
    </w:p>
    <w:p>
      <w:pPr>
        <w:jc w:val="both"/>
        <w:ind w:right="420"/>
        <w:spacing w:after="0" w:line="312" w:lineRule="auto"/>
        <w:rPr>
          <w:sz w:val="20"/>
          <w:szCs w:val="20"/>
          <w:color w:val="auto"/>
        </w:rPr>
      </w:pPr>
      <w:r>
        <w:rPr>
          <w:rFonts w:ascii="Times New Roman" w:cs="Times New Roman" w:eastAsia="Times New Roman" w:hAnsi="Times New Roman"/>
          <w:sz w:val="17"/>
          <w:szCs w:val="17"/>
          <w:color w:val="auto"/>
        </w:rPr>
        <w:t>There are no arrangements or understandings between Mr. Hill and any other persons pursuant to which he was appointed as director. There are no transactions in which Mr. Hill has an interest requiring disclosure under Item 404(a) of Regulation S-K of the Securities Act of 1933, as amended.</w:t>
      </w:r>
    </w:p>
    <w:p>
      <w:pPr>
        <w:spacing w:after="0" w:line="1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Mr. Hill will receive compensation for his services as a non-employee director and for any committee service in accordance with Fulcrum’s non-employee director compensation policy, a summary of which was filed as Exhibit 10.16 to Fulcrum’s Annual Report on Form 10-K for the fiscal year ended December 31, 2022 filed with the Securities and Exchange Commission, or SEC, on March 9, 2023, including the automatic grant of a one-time nonqualified stock option under Fulcrum’s 2019 Stock Incentive Plan to purchase 60,000 shares of Fulcrum’s common stock, $0.001 par value per share at an exercise price per share equal to $7.00 per share, the closing price on the Nasdaq Global Market on June 17, 2024, the effective date of his appointment to the Board.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his appointment, Mr. Hill entered into Fulcrum’s standard form of indemnification agreement, a copy of which was filed as</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Exhibit 10.15 to Fulcrum’s Registration Statement on Form S-1 (File No. 333-232260) filed with the SEC on June 21, 2019. Pursuant to the terms of the indemnification agreement, Fulcrum may be required, among other things, to indemnify Mr. Hill for certain expenses (including attorneys’ fees), judgments, fines and settlement amounts actually and reasonably incurred by him in any action or proceeding arising out of his service as a member of the Board.</w:t>
      </w:r>
    </w:p>
    <w:p>
      <w:pPr>
        <w:spacing w:after="0" w:line="33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matters voted on at Fulcrum’s 2024 annual meeting of stockholders held on June 17, 2024, or the Annual Meeting.</w:t>
      </w:r>
    </w:p>
    <w:p>
      <w:pPr>
        <w:spacing w:after="0" w:line="131" w:lineRule="exact"/>
        <w:rPr>
          <w:sz w:val="20"/>
          <w:szCs w:val="20"/>
          <w:color w:val="auto"/>
        </w:rPr>
      </w:pPr>
    </w:p>
    <w:p>
      <w:pPr>
        <w:ind w:left="960" w:right="140" w:hanging="532"/>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Fulcrum’s stockholders elected James Collins, James Geraghty, and Alex Sapir as class II directors, for a three-year term ending at the annual meeting of stockholders to be held in 2027 and each until his respective successor has been duly elected and qualified or until his earlier death, resignation or removal. The results of the stockholders’ vote with respect to the election of the three class II directors are as follows:</w:t>
      </w:r>
    </w:p>
    <w:p>
      <w:pPr>
        <w:spacing w:after="0" w:line="188"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60"/>
        </w:trPr>
        <w:tc>
          <w:tcPr>
            <w:tcW w:w="6100" w:type="dxa"/>
            <w:vAlign w:val="bottom"/>
            <w:gridSpan w:val="3"/>
            <w:vMerge w:val="continue"/>
          </w:tcPr>
          <w:p>
            <w:pPr>
              <w:spacing w:after="0"/>
              <w:rPr>
                <w:sz w:val="13"/>
                <w:szCs w:val="13"/>
                <w:color w:val="auto"/>
              </w:rPr>
            </w:pPr>
          </w:p>
        </w:tc>
        <w:tc>
          <w:tcPr>
            <w:tcW w:w="11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For</w:t>
            </w:r>
          </w:p>
        </w:tc>
        <w:tc>
          <w:tcPr>
            <w:tcW w:w="10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Withheld</w:t>
            </w:r>
          </w:p>
        </w:tc>
        <w:tc>
          <w:tcPr>
            <w:tcW w:w="84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James Collins</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44,330,059</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944,238</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9"/>
              </w:rPr>
              <w:t>6,161,330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Geraghty</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38,461,173</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6,813,124</w:t>
            </w:r>
          </w:p>
        </w:tc>
        <w:tc>
          <w:tcPr>
            <w:tcW w:w="220" w:type="dxa"/>
            <w:vAlign w:val="bottom"/>
          </w:tcPr>
          <w:p>
            <w:pPr>
              <w:spacing w:after="0"/>
              <w:rPr>
                <w:sz w:val="18"/>
                <w:szCs w:val="18"/>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6,161,330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 Sapir</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45,190,497</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6,161,330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960" w:right="4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Fulcrum’s stockholders ratified the selection of Ernst &amp; Young LLP as its independent registered public accounting firm for the fiscal year ending December 31, 2024. The results of the stockholders’ vote with respect to such ratification are as follows:</w:t>
      </w:r>
    </w:p>
    <w:p>
      <w:pPr>
        <w:spacing w:after="0" w:line="17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2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7"/>
        </w:trPr>
        <w:tc>
          <w:tcPr>
            <w:tcW w:w="2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w:t>
            </w: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660" w:type="dxa"/>
            <w:vAlign w:val="bottom"/>
            <w:gridSpan w:val="2"/>
            <w:vMerge w:val="continue"/>
          </w:tcPr>
          <w:p>
            <w:pPr>
              <w:spacing w:after="0"/>
              <w:rPr>
                <w:sz w:val="16"/>
                <w:szCs w:val="16"/>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10"/>
        </w:trPr>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51,009,941</w:t>
            </w:r>
          </w:p>
        </w:tc>
        <w:tc>
          <w:tcPr>
            <w:tcW w:w="8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2,163</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423,523</w:t>
            </w:r>
          </w:p>
        </w:tc>
        <w:tc>
          <w:tcPr>
            <w:tcW w:w="14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ectPr>
          <w:pgSz w:w="11900" w:h="16838" w:orient="portrait"/>
          <w:cols w:equalWidth="0" w:num="1">
            <w:col w:w="10980"/>
          </w:cols>
          <w:pgMar w:left="440" w:top="293" w:right="479" w:bottom="1440" w:gutter="0" w:footer="0" w:header="0"/>
          <w:type w:val="continuous"/>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June 17,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Curtis Oltmans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Curtis Oltmans</w:t>
      </w:r>
    </w:p>
    <w:p>
      <w:pPr>
        <w:spacing w:after="0" w:line="27"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Chief Legal Officer</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2024-06-17T15:43:57Z</dcterms:created>
  <dcterms:modified xsi:type="dcterms:W3CDTF">2024-06-17T15:43:57Z</dcterms:modified>
</cp:coreProperties>
</file>