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-3810</wp:posOffset>
            </wp:positionV>
            <wp:extent cx="1251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27940</wp:posOffset>
            </wp:positionV>
            <wp:extent cx="1251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81915</wp:posOffset>
            </wp:positionV>
            <wp:extent cx="1251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150495</wp:posOffset>
            </wp:positionV>
            <wp:extent cx="1251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35"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240" w:type="dxa"/>
            <w:vAlign w:val="bottom"/>
          </w:tcPr>
          <w:p>
            <w:pPr>
              <w:jc w:val="center"/>
              <w:ind w:right="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240" w:type="dxa"/>
            <w:vAlign w:val="bottom"/>
          </w:tcPr>
          <w:p>
            <w:pPr>
              <w:jc w:val="center"/>
              <w:ind w:right="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6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240" w:type="dxa"/>
            <w:vAlign w:val="bottom"/>
          </w:tcPr>
          <w:p>
            <w:pPr>
              <w:jc w:val="center"/>
              <w:ind w:left="10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40" w:type="dxa"/>
            <w:vAlign w:val="bottom"/>
          </w:tcPr>
          <w:p>
            <w:pPr>
              <w:jc w:val="center"/>
              <w:ind w:right="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6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24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324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660" w:type="dxa"/>
            <w:vAlign w:val="bottom"/>
          </w:tcPr>
          <w:p>
            <w:pPr>
              <w:spacing w:after="0"/>
              <w:rPr>
                <w:sz w:val="18"/>
                <w:szCs w:val="18"/>
                <w:color w:val="auto"/>
              </w:rPr>
            </w:pPr>
          </w:p>
        </w:tc>
        <w:tc>
          <w:tcPr>
            <w:tcW w:w="22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240" w:type="dxa"/>
            <w:vAlign w:val="bottom"/>
          </w:tcPr>
          <w:p>
            <w:pPr>
              <w:jc w:val="center"/>
              <w:ind w:right="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60" w:type="dxa"/>
            <w:vAlign w:val="bottom"/>
          </w:tcPr>
          <w:p>
            <w:pPr>
              <w:spacing w:after="0"/>
              <w:rPr>
                <w:sz w:val="16"/>
                <w:szCs w:val="16"/>
                <w:color w:val="auto"/>
              </w:rPr>
            </w:pPr>
          </w:p>
        </w:tc>
        <w:tc>
          <w:tcPr>
            <w:tcW w:w="2240" w:type="dxa"/>
            <w:vAlign w:val="bottom"/>
          </w:tcPr>
          <w:p>
            <w:pPr>
              <w:jc w:val="center"/>
              <w:ind w:left="11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116205</wp:posOffset>
            </wp:positionV>
            <wp:extent cx="1251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3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tbl>
      <w:tblPr>
        <w:tblLayout w:type="fixed"/>
        <w:tblInd w:w="4"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1"/>
        </w:trPr>
        <w:tc>
          <w:tcPr>
            <w:tcW w:w="4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On December 18, 2024, Fulcrum Therapeutics, Inc., or Fulcrum, received written notice from Genzyme Corporation, a wholly-owned subsidiary of Sanofi, or Sanofi, of Sanofi’s election to terminate for convenience the collaboration and license agreement dated May 11, 2024 between Fulcrum and Sanofi, under which Fulcrum granted to Sanofi certain intellectual property rights to commercialize losmapimod, an oral small molecule for the treatment of facioscapulohumeral muscular dystrophy, or FSHD, outside of the United States. In accordance with the agreement, the termination will become effective on April 17, 2025, which is 120 days following the date of receipt of the notice by Fulcrum.</w:t>
      </w:r>
    </w:p>
    <w:p>
      <w:pPr>
        <w:spacing w:after="0" w:line="183"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Until the termination of the agreement, the parties will continue to perform their respective obligations under the agreement. As of the termination date, the agreement will be terminated in its entirety, following which Fulcrum will not be entitled to receive any further milestone payments, royalties, or global development cost reimbursement.</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Under the agreement, pursuant to a mutually agreed global development plan, Fulcrum continued the Phase 3 clinical trial for losmapimod for the treatment of FSHD, and Fulcrum and Sanofi agreed to equally share global development costs. In addition to potential future activities conducted under a mutually agreed global development plan, Sanofi had the right to conduct certain development activities that were solely intended to support obtaining or maintaining regulatory approval outside of the United States. Fulcrum had the sole right to manufacture for its activities under the global development plan and for commercialization in the United States and, subject to the terms of a supply agreement, Fulcrum was to have supplied Sanofi’s clinical and commercial supply requirements of losmapimod until Sanofi elected to take over such manufacturing responsibilities.</w:t>
      </w:r>
    </w:p>
    <w:p>
      <w:pPr>
        <w:spacing w:after="0" w:line="18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Per the terms of the agreement, Sanofi made an upfront payment of $80.0 million to Fulcrum. Fulcrum was also eligible to receive up to an additional $975.0 million in specified regulatory and sales-based milestones, and Sanofi agreed to pay Fulcrum tiered royalties ranging from low-teens to mid-twenties based on Sanofi’s and any of its affiliates’ and sublicensees’ annual net sales of losmapimod outside the United States. The royalties were payable on a product-by-product basis during a specified royalty term, and could have been reduced in specified circumstances.</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agreement is qualified in its entirety by reference to the full text of the agreement, a copy of which was filed with the Securities and Exchange Commission as exhibit 10.1 to Fulcrum’s Quarterly Report on Form 10-Q for the quarter ending June 30, 2024, and which is incorporated by reference herein.</w:t>
      </w:r>
    </w:p>
    <w:p>
      <w:pPr>
        <w:sectPr>
          <w:pgSz w:w="11900" w:h="16838" w:orient="portrait"/>
          <w:cols w:equalWidth="0" w:num="1">
            <w:col w:w="11004"/>
          </w:cols>
          <w:pgMar w:left="436" w:top="293" w:right="459" w:bottom="1440" w:gutter="0" w:footer="0" w:header="0"/>
        </w:sectPr>
      </w:pP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ectPr>
          <w:pgSz w:w="11900" w:h="16838" w:orient="portrait"/>
          <w:cols w:equalWidth="0" w:num="2">
            <w:col w:w="704" w:space="500"/>
            <w:col w:w="9800"/>
          </w:cols>
          <w:pgMar w:left="436" w:top="293"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4"/>
          </w:cols>
          <w:pgMar w:left="436" w:top="293" w:right="459" w:bottom="1440" w:gutter="0" w:footer="0" w:header="0"/>
          <w:type w:val="continuous"/>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24" w:space="720"/>
            <w:col w:w="5460"/>
          </w:cols>
          <w:pgMar w:left="436" w:top="293" w:right="459" w:bottom="1440" w:gutter="0" w:footer="0" w:header="0"/>
          <w:type w:val="continuous"/>
        </w:sectPr>
      </w:pPr>
    </w:p>
    <w:p>
      <w:pPr>
        <w:ind w:left="784" w:right="160" w:hanging="782"/>
        <w:spacing w:after="0" w:line="266"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8">
        <w:r>
          <w:rPr>
            <w:rFonts w:ascii="Times New Roman" w:cs="Times New Roman" w:eastAsia="Times New Roman" w:hAnsi="Times New Roman"/>
            <w:sz w:val="18"/>
            <w:szCs w:val="18"/>
            <w:u w:val="single" w:color="auto"/>
            <w:color w:val="0000EE"/>
          </w:rPr>
          <w:t>Collaboration and License Agreement, dated as of May 11, 2024, by and between Fulcrum and Genzyme Corporation, Inc, a wholly-owned</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subsidiary of Sanofi (incorporated by reference to Exhibit 10.1 to Fulcrum’s quarterly report on Form 10-Q filed with the Securities and</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Exchange Commission on July 31, 2024).</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u w:val="single" w:color="auto"/>
          <w:color w:val="0000EE"/>
        </w:rPr>
      </w:pPr>
    </w:p>
    <w:p>
      <w:pPr>
        <w:ind w:left="224" w:right="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280" w:val="left"/>
          <w:tab w:leader="none" w:pos="5720" w:val="left"/>
        </w:tabs>
        <w:rPr>
          <w:sz w:val="20"/>
          <w:szCs w:val="20"/>
          <w:color w:val="auto"/>
        </w:rPr>
      </w:pPr>
      <w:r>
        <w:rPr>
          <w:rFonts w:ascii="Times New Roman" w:cs="Times New Roman" w:eastAsia="Times New Roman" w:hAnsi="Times New Roman"/>
          <w:sz w:val="18"/>
          <w:szCs w:val="18"/>
          <w:color w:val="auto"/>
        </w:rPr>
        <w:t>Date:    December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680581/000095017024088238/ful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2024-12-23T15:52:57Z</dcterms:created>
  <dcterms:modified xsi:type="dcterms:W3CDTF">2024-12-23T15:52:57Z</dcterms:modified>
</cp:coreProperties>
</file>