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001-38978</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(State or other jurisdiction</w:t>
            </w:r>
          </w:p>
        </w:tc>
        <w:tc>
          <w:tcPr>
            <w:tcW w:w="328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2940" w:type="dxa"/>
            <w:vAlign w:val="bottom"/>
          </w:tcPr>
          <w:p>
            <w:pPr>
              <w:jc w:val="center"/>
              <w:ind w:right="641"/>
              <w:spacing w:after="0"/>
              <w:rPr>
                <w:sz w:val="20"/>
                <w:szCs w:val="20"/>
                <w:color w:val="auto"/>
              </w:rPr>
            </w:pPr>
            <w:r>
              <w:rPr>
                <w:rFonts w:ascii="Arial" w:cs="Arial" w:eastAsia="Arial" w:hAnsi="Arial"/>
                <w:sz w:val="18"/>
                <w:szCs w:val="18"/>
                <w:b w:val="1"/>
                <w:bCs w:val="1"/>
                <w:color w:val="auto"/>
                <w:w w:val="88"/>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02139</w:t>
            </w:r>
          </w:p>
        </w:tc>
      </w:tr>
      <w:tr>
        <w:trPr>
          <w:trHeight w:val="175"/>
        </w:trPr>
        <w:tc>
          <w:tcPr>
            <w:tcW w:w="2940" w:type="dxa"/>
            <w:vAlign w:val="bottom"/>
          </w:tcPr>
          <w:p>
            <w:pPr>
              <w:jc w:val="center"/>
              <w:ind w:right="62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FULC</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November 7, 2023, Fulcrum Therapeutics, Inc., or Fulcrum, announced its financial results for the quarter ended September 30, 2023.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3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issued November 7, 2023, announcing financial results for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-10160</wp:posOffset>
            </wp:positionV>
            <wp:extent cx="5784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4215"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Alex C. Sapir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66306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line="443" w:lineRule="auto"/>
        <w:rPr>
          <w:sz w:val="20"/>
          <w:szCs w:val="20"/>
          <w:color w:val="auto"/>
        </w:rPr>
      </w:pPr>
      <w:r>
        <w:rPr>
          <w:rFonts w:ascii="Arial" w:cs="Arial" w:eastAsia="Arial" w:hAnsi="Arial"/>
          <w:sz w:val="25"/>
          <w:szCs w:val="25"/>
          <w:b w:val="1"/>
          <w:bCs w:val="1"/>
          <w:color w:val="auto"/>
        </w:rPr>
        <w:t>Fulcrum Therapeutics Announces Recent Business Highlights and Financial Results for Third Quarter 2023</w:t>
      </w:r>
    </w:p>
    <w:p>
      <w:pPr>
        <w:ind w:left="260" w:hanging="233"/>
        <w:spacing w:after="0"/>
        <w:tabs>
          <w:tab w:leader="none" w:pos="2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Completed enrollment in the Phase 3 REACH trial of losmapimod in facioscapulohumeral muscular dystrophy (FSHD); expect to report topline data in</w:t>
      </w:r>
    </w:p>
    <w:p>
      <w:pPr>
        <w:spacing w:after="0" w:line="46" w:lineRule="exact"/>
        <w:rPr>
          <w:rFonts w:ascii="Arial" w:cs="Arial" w:eastAsia="Arial" w:hAnsi="Arial"/>
          <w:sz w:val="16"/>
          <w:szCs w:val="16"/>
          <w:i w:val="1"/>
          <w:iCs w:val="1"/>
          <w:color w:val="auto"/>
        </w:rPr>
      </w:pPr>
    </w:p>
    <w:p>
      <w:pPr>
        <w:ind w:left="458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the fourth quarter of 2024 ―</w:t>
      </w:r>
    </w:p>
    <w:p>
      <w:pPr>
        <w:spacing w:after="0" w:line="210" w:lineRule="exact"/>
        <w:rPr>
          <w:rFonts w:ascii="Arial" w:cs="Arial" w:eastAsia="Arial" w:hAnsi="Arial"/>
          <w:sz w:val="16"/>
          <w:szCs w:val="16"/>
          <w:i w:val="1"/>
          <w:iCs w:val="1"/>
          <w:color w:val="auto"/>
        </w:rPr>
      </w:pPr>
    </w:p>
    <w:p>
      <w:pPr>
        <w:ind w:left="560" w:hanging="219"/>
        <w:spacing w:after="0"/>
        <w:tabs>
          <w:tab w:leader="none" w:pos="560" w:val="left"/>
        </w:tabs>
        <w:numPr>
          <w:ilvl w:val="1"/>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U.S. Food and Drug Administration (FDA) lifted clinical hold for pociredir (formerly FTX-6058) in sickle cell disease (SCD); trial reinitiation</w:t>
      </w:r>
    </w:p>
    <w:p>
      <w:pPr>
        <w:spacing w:after="0" w:line="34" w:lineRule="exact"/>
        <w:rPr>
          <w:rFonts w:ascii="Arial" w:cs="Arial" w:eastAsia="Arial" w:hAnsi="Arial"/>
          <w:sz w:val="17"/>
          <w:szCs w:val="17"/>
          <w:i w:val="1"/>
          <w:iCs w:val="1"/>
          <w:color w:val="auto"/>
        </w:rPr>
      </w:pPr>
    </w:p>
    <w:p>
      <w:pPr>
        <w:ind w:left="516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underway ―</w:t>
      </w:r>
    </w:p>
    <w:p>
      <w:pPr>
        <w:spacing w:after="0" w:line="210" w:lineRule="exact"/>
        <w:rPr>
          <w:rFonts w:ascii="Arial" w:cs="Arial" w:eastAsia="Arial" w:hAnsi="Arial"/>
          <w:sz w:val="17"/>
          <w:szCs w:val="17"/>
          <w:i w:val="1"/>
          <w:iCs w:val="1"/>
          <w:color w:val="auto"/>
        </w:rPr>
      </w:pPr>
    </w:p>
    <w:p>
      <w:pPr>
        <w:ind w:left="4440" w:hanging="225"/>
        <w:spacing w:after="0"/>
        <w:tabs>
          <w:tab w:leader="none" w:pos="4440" w:val="left"/>
        </w:tabs>
        <w:numPr>
          <w:ilvl w:val="3"/>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Cash runway extended into 2026 ―</w:t>
      </w:r>
    </w:p>
    <w:p>
      <w:pPr>
        <w:spacing w:after="0" w:line="225" w:lineRule="exact"/>
        <w:rPr>
          <w:rFonts w:ascii="Arial" w:cs="Arial" w:eastAsia="Arial" w:hAnsi="Arial"/>
          <w:sz w:val="18"/>
          <w:szCs w:val="18"/>
          <w:i w:val="1"/>
          <w:iCs w:val="1"/>
          <w:color w:val="auto"/>
        </w:rPr>
      </w:pPr>
    </w:p>
    <w:p>
      <w:pPr>
        <w:ind w:left="3360" w:hanging="224"/>
        <w:spacing w:after="0"/>
        <w:tabs>
          <w:tab w:leader="none" w:pos="3360" w:val="left"/>
        </w:tabs>
        <w:numPr>
          <w:ilvl w:val="2"/>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Conference call and webcast scheduled for 8:00 a.m. ET today ―</w:t>
      </w:r>
    </w:p>
    <w:p>
      <w:pPr>
        <w:spacing w:after="0" w:line="338"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color w:val="auto"/>
        </w:rPr>
        <w:t xml:space="preserve">CAMBRIDGE, Mass., – November 7, 2023 </w:t>
      </w:r>
      <w:r>
        <w:rPr>
          <w:rFonts w:ascii="Arial" w:cs="Arial" w:eastAsia="Arial" w:hAnsi="Arial"/>
          <w:sz w:val="18"/>
          <w:szCs w:val="18"/>
          <w:color w:val="auto"/>
        </w:rPr>
        <w:t>– Fulcrum Therapeutics, Inc.</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(“Fulcrum”) (Nasdaq: FULC), a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small molecules to improve the lives of patients with genetically defined rare diseases, today reported financial results for the third quarter of 2023 and provided a business update.</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third quarter of 2023, we completed enrollment for the Phase 3 REACH trial of losmapimod and resolved the clinical hold for pociredir, bringing us one step closer to delivering on our mission to improve the lives of patients with rare genetic diseases,” said Alex C. Sapir, Fulcrum’s president and chief executive officer. “Building on this momentum, we remain focused on strong execution and believe we are now well-positioned to deliver on important clinical milestones, including topline data for REACH, which is expected in the fourth quarter of 2024. REACH is designed to demonstrate the potential of losmapimod to slow disease progression and address the debilitating effects of FSHD. We believe losmapimod could be the first approved treatment for this disease. With the clinical hold for pociredir lifted, we have been working diligently to resume enrollment in the Phase 1b trial for patients with SCD and look forward to building on the encouraging early clinical data observed to date. We remain very excited about pociredir’s potential to shift the current standard of care and importantly, offer a differentiated oral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337" w:lineRule="exact"/>
        <w:rPr>
          <w:sz w:val="20"/>
          <w:szCs w:val="20"/>
          <w:color w:val="auto"/>
        </w:rPr>
      </w:pPr>
    </w:p>
    <w:p>
      <w:pPr>
        <w:ind w:left="1020" w:right="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2023, completed enrollment in REACH, a Phase 3 clinical trial evaluating losmapimod in patients with FSHD at sites in the United States, Canada, and Europe. The trial enrolled 260 patients. Fulcrum expects to report topline data in the fourth quarter of 2024. There are currently no approved treatments for FSHD.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August 2023, the FDA lifted the clinical hold on the Investigational New Drug application for pociredir for the treatment of SCD.</w:t>
      </w:r>
    </w:p>
    <w:p>
      <w:pPr>
        <w:spacing w:after="0" w:line="128" w:lineRule="exact"/>
        <w:rPr>
          <w:rFonts w:ascii="Arial" w:cs="Arial" w:eastAsia="Arial" w:hAnsi="Arial"/>
          <w:sz w:val="17"/>
          <w:szCs w:val="17"/>
          <w:color w:val="auto"/>
        </w:rPr>
      </w:pPr>
    </w:p>
    <w:p>
      <w:pPr>
        <w:ind w:left="1540" w:right="100" w:hanging="509"/>
        <w:spacing w:after="0" w:line="279" w:lineRule="auto"/>
        <w:rPr>
          <w:rFonts w:ascii="Arial" w:cs="Arial" w:eastAsia="Arial" w:hAnsi="Arial"/>
          <w:sz w:val="17"/>
          <w:szCs w:val="17"/>
          <w:color w:val="auto"/>
        </w:rPr>
      </w:pPr>
      <w:r>
        <w:rPr>
          <w:rFonts w:ascii="Arial" w:cs="Arial" w:eastAsia="Arial" w:hAnsi="Arial"/>
          <w:sz w:val="18"/>
          <w:szCs w:val="18"/>
          <w:color w:val="auto"/>
        </w:rPr>
        <w:t>o</w:t>
      </w:r>
      <w:r>
        <w:rPr>
          <w:rFonts w:ascii="Arial" w:cs="Arial" w:eastAsia="Arial" w:hAnsi="Arial"/>
          <w:sz w:val="17"/>
          <w:szCs w:val="17"/>
          <w:color w:val="auto"/>
        </w:rPr>
        <w:t>The Phase 1b trial will be re-initiated at the 12 mg once daily dose (Cohort 3), which is expected to enroll approximately 10 patients, followed by an additional cohort of 10 patients at the 20 mg once daily dose (Cohort 4). The protocol was amended to revise the inclusion and exclusion criteria to target patients with higher disease severity. To learn more about the amended protocol and planned Phase 1b trial of pociredir, please see the program update presentation on Fulcrum’s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Third Quarter 2023 Financial Results</w:t>
      </w:r>
    </w:p>
    <w:p>
      <w:pPr>
        <w:spacing w:after="0" w:line="117" w:lineRule="exact"/>
        <w:rPr>
          <w:sz w:val="20"/>
          <w:szCs w:val="20"/>
          <w:color w:val="auto"/>
        </w:rPr>
      </w:pPr>
    </w:p>
    <w:p>
      <w:pPr>
        <w:ind w:left="1020" w:right="280" w:hanging="503"/>
        <w:spacing w:after="0" w:line="28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2023, cash, cash equivalents, and marketable securities were $257.1 million, as compared to $202.9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of December 31, 2022.</w:t>
      </w:r>
    </w:p>
    <w:p>
      <w:pPr>
        <w:spacing w:after="0" w:line="53" w:lineRule="exact"/>
        <w:rPr>
          <w:rFonts w:ascii="Arial" w:cs="Arial" w:eastAsia="Arial" w:hAnsi="Arial"/>
          <w:sz w:val="18"/>
          <w:szCs w:val="18"/>
          <w:color w:val="auto"/>
        </w:rPr>
      </w:pPr>
    </w:p>
    <w:p>
      <w:pPr>
        <w:ind w:left="1020" w:right="380" w:hanging="503"/>
        <w:spacing w:after="0" w:line="28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 was $0.8 million for the third quarter of 2023 as compared to $1.2 million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2022.</w:t>
      </w:r>
    </w:p>
    <w:p>
      <w:pPr>
        <w:spacing w:after="0" w:line="53" w:lineRule="exact"/>
        <w:rPr>
          <w:rFonts w:ascii="Arial" w:cs="Arial" w:eastAsia="Arial" w:hAnsi="Arial"/>
          <w:sz w:val="18"/>
          <w:szCs w:val="18"/>
          <w:color w:val="auto"/>
        </w:rPr>
      </w:pPr>
    </w:p>
    <w:p>
      <w:pPr>
        <w:ind w:left="1020" w:right="100" w:hanging="503"/>
        <w:spacing w:after="0" w:line="26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$18.2 million for the third quarter of 2023 as compared to $15.4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2022. The increase of $2.8 million was primarily due to increased costs associated with the advancement of REACH, including the completion of enrollment during September 2023.</w:t>
      </w:r>
    </w:p>
    <w:p>
      <w:pPr>
        <w:spacing w:after="0" w:line="67" w:lineRule="exact"/>
        <w:rPr>
          <w:rFonts w:ascii="Arial" w:cs="Arial" w:eastAsia="Arial" w:hAnsi="Arial"/>
          <w:sz w:val="18"/>
          <w:szCs w:val="18"/>
          <w:color w:val="auto"/>
        </w:rPr>
      </w:pPr>
    </w:p>
    <w:p>
      <w:pPr>
        <w:ind w:left="1020" w:right="160" w:hanging="503"/>
        <w:spacing w:after="0" w:line="347"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$10.0 million for the third quarter of 2023 as compared to $9.7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2022. The increase of $0.3 million was primarily due to increased facilities, professional services, and software costs.</w:t>
      </w:r>
    </w:p>
    <w:p>
      <w:pPr>
        <w:spacing w:after="0" w:line="7"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$24.0 million for the third quarter of 2023 as compared to $23.7 million for the third quarter of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Cash Runway Guidance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Fulcrum now expects that its existing cash, cash equivalents, and marketable securities will be sufficient to fund its operating requirements into 2026, an update to previous guidance of mid-2025.</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Fulcrum Therapeutics, Inc. will host a conference call and webcast today at 8:00 a.m. ET to review the third quarter 2023 recent business highlights and financial results. Individuals may register for the conference call by clicking the link here. Once registered participants will receive dial-in details and a unique pin which will allow them to access the call. The webcast will be accessible through the Investor Relations section of Fulcrum’s website at www.fulcrumtx.com or by clicking here. Following the live webcast, an archived replay will also be available for 90 days.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Fulcrum Therapeutics is a clinical-stage biopharmaceutical company focused on developing small molecules to improve the lives of patients with genetically defined rare diseases in areas of high unmet medical need. Fulcrum’s two lead programs in clinical development are losmapimod, a small molecule in development for the treatment of facioscapulohumeral muscular dystrophy (FSHD), and pociredir (formerly known as FTX-6058), a small molecule designed to increase expression of fetal hemoglobin and in development for the treatment of sickle cell disease (SCD) and other hemoglobinopathies. Fulcrum uses proprietary technology to identify drug targets that can modulate gene expression to treat the known root cause of gene mis-expression. For more information, visit www.fulcrumtx.com and follow us on Twitter</w:t>
      </w:r>
      <w:r>
        <w:rPr>
          <w:rFonts w:ascii="Arial" w:cs="Arial" w:eastAsia="Arial" w:hAnsi="Arial"/>
          <w:sz w:val="17"/>
          <w:szCs w:val="17"/>
          <w:b w:val="1"/>
          <w:bCs w:val="1"/>
          <w:color w:val="auto"/>
        </w:rPr>
        <w:t>@FulcrumTx</w:t>
      </w:r>
      <w:r>
        <w:rPr>
          <w:rFonts w:ascii="Arial" w:cs="Arial" w:eastAsia="Arial" w:hAnsi="Arial"/>
          <w:sz w:val="17"/>
          <w:szCs w:val="17"/>
          <w:color w:val="auto"/>
        </w:rPr>
        <w:t xml:space="preserve"> and </w:t>
      </w:r>
      <w:r>
        <w:rPr>
          <w:rFonts w:ascii="Arial" w:cs="Arial" w:eastAsia="Arial" w:hAnsi="Arial"/>
          <w:sz w:val="17"/>
          <w:szCs w:val="17"/>
          <w:b w:val="1"/>
          <w:bCs w:val="1"/>
          <w:color w:val="auto"/>
        </w:rPr>
        <w:t>LinkedIn</w:t>
      </w:r>
      <w:r>
        <w:rPr>
          <w:rFonts w:ascii="Arial" w:cs="Arial" w:eastAsia="Arial" w:hAnsi="Arial"/>
          <w:sz w:val="17"/>
          <w:szCs w:val="17"/>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slower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FDA Fast Track designation and Orphan Drug Designation for the treatment of FSHD. Losmapimod is currently being evaluated in a Phase 3 multi-center randomized, double-blind, placebo-controlled, 48-week parallel-group study in people with FSHD (NCT05397470).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FSHD</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16,000 to 38,000 in the United States alone.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Pociredir</w:t>
      </w:r>
    </w:p>
    <w:p>
      <w:pPr>
        <w:spacing w:after="0" w:line="2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and other hemoglobinopathies. Initial data in SCD demonstrated proof-of-concept and achieved absolute levels of HbF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5" w:name="page6"/>
    <w:bookmarkEnd w:id="5"/>
    <w:p>
      <w:pPr>
        <w:ind w:right="140"/>
        <w:spacing w:after="0" w:line="259" w:lineRule="auto"/>
        <w:rPr>
          <w:sz w:val="20"/>
          <w:szCs w:val="20"/>
          <w:color w:val="auto"/>
        </w:rPr>
      </w:pPr>
      <w:r>
        <w:rPr>
          <w:rFonts w:ascii="Arial" w:cs="Arial" w:eastAsia="Arial" w:hAnsi="Arial"/>
          <w:sz w:val="18"/>
          <w:szCs w:val="18"/>
          <w:color w:val="auto"/>
        </w:rPr>
        <w:t>associated with potential overall patient benefit. In clinical trials conducted prior to the clinical hold, pociredir was generally well-tolerated in people with SCD with up to three months of exposure, with no serious treatment-related adverse events reported. Pociredir has been granted U.S. Food and Drug Administration (FDA) Fast Track designation and Orphan Drug Designation for the treatment of SCD. To learn more about these trials please visit ClinicalTrials.gov.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timing of topline data for the Phase 3 REACH trial of losmapimod; reinitiation of the Phase 1b trial of pociredir; Fulcrum’s ability to deliver an FDA-approved therapy for FSHD patients; effects of the revised inclusion and exclusion criteria on Fulcrum’s Phase 1b trial of pociredir; the potential for pociredir to shift the standard of care;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pociredir and any other product candidates; obtaining, maintaining or protecting intellectual property rights related to its product candidates; managing expenses; managing executive and employee turnover, including integrating a new CEO and CFO;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257,091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202,921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line="243"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248,415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190,794</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226,685</w:t>
            </w:r>
          </w:p>
        </w:tc>
        <w:tc>
          <w:tcPr>
            <w:tcW w:w="100" w:type="dxa"/>
            <w:vAlign w:val="bottom"/>
            <w:shd w:val="clear" w:color="auto" w:fill="CFF0FC"/>
          </w:tcPr>
          <w:p>
            <w:pPr>
              <w:spacing w:after="0"/>
              <w:rPr>
                <w:sz w:val="21"/>
                <w:szCs w:val="2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198,942</w:t>
            </w:r>
          </w:p>
        </w:tc>
        <w:tc>
          <w:tcPr>
            <w:tcW w:w="100" w:type="dxa"/>
            <w:vAlign w:val="bottom"/>
          </w:tcPr>
          <w:p>
            <w:pPr>
              <w:spacing w:after="0"/>
              <w:rPr>
                <w:sz w:val="20"/>
                <w:szCs w:val="20"/>
                <w:color w:val="auto"/>
              </w:rPr>
            </w:pPr>
          </w:p>
        </w:tc>
      </w:tr>
      <w:tr>
        <w:trPr>
          <w:trHeight w:val="269"/>
        </w:trPr>
        <w:tc>
          <w:tcPr>
            <w:tcW w:w="7740" w:type="dxa"/>
            <w:vAlign w:val="bottom"/>
          </w:tcPr>
          <w:p>
            <w:pPr>
              <w:spacing w:after="0"/>
              <w:rPr>
                <w:sz w:val="20"/>
                <w:szCs w:val="20"/>
                <w:color w:val="auto"/>
              </w:rPr>
            </w:pPr>
            <w:r>
              <w:rPr>
                <w:rFonts w:ascii="Arial" w:cs="Arial" w:eastAsia="Arial" w:hAnsi="Arial"/>
                <w:sz w:val="18"/>
                <w:szCs w:val="18"/>
                <w:color w:val="auto"/>
              </w:rPr>
              <w:t>(1)  Fulcrum defines working capital as current assets minus current liabilities.</w:t>
            </w: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3"/>
        </w:trPr>
        <w:tc>
          <w:tcPr>
            <w:tcW w:w="7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5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52,802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58,216</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31,804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expenses</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28,199</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84,606</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90,245</w:t>
            </w:r>
          </w:p>
        </w:tc>
        <w:tc>
          <w:tcPr>
            <w:tcW w:w="100" w:type="dxa"/>
            <w:vAlign w:val="bottom"/>
            <w:tcBorders>
              <w:top w:val="single" w:sz="8" w:color="CFF0FC"/>
            </w:tcBorders>
          </w:tcPr>
          <w:p>
            <w:pPr>
              <w:spacing w:after="0"/>
              <w:rPr>
                <w:sz w:val="20"/>
                <w:szCs w:val="20"/>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(0.39 )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(0.51 )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(1.19 )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(1.97 )</w:t>
            </w: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61,823</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46,213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61,121</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-1028065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-1028065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-385445</wp:posOffset>
            </wp:positionV>
            <wp:extent cx="269176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1765" cy="2057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 Calabrese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2023-11-07T06:14:04Z</dcterms:created>
  <dcterms:modified xsi:type="dcterms:W3CDTF">2023-11-07T06:14:04Z</dcterms:modified>
</cp:coreProperties>
</file>