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Fulcrum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TCG Crossover GP II,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5,250,000.00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5,250,000.00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5,250,000.00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These securities are held of record by TCG Crossover II (as defined in Item 2(a) below). TCG Crossover GP II (as defined in Item 2(a) below) is the general partner of TCG Crossover II and may be deemed to have voting, investment, and dispositive power with respect to these securities. Chen Yu is the sole managing member of TCG Crossover GP II and may be deemed to share voting, investment and dispositive power with respect to these securities. Based on 66,633,321 shares of Common Stock outstanding as of April 20, 2026, as reported by the Issuer (as defined in Item 1(a) below) in its quarterly report on Form 10-Q filed with the Securities and Exchange Commission (the "Commission") on April 27, 2026 (the "Form 10-Q").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TCG Crossover Fund II,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5,250,000.00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5,250,000.00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5,250,000.00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These securities are held of record by TCG Crossover II. TCG Crossover GP II is the general partner of TCG Crossover II and may be deemed to have voting, investment, and dispositive power with respect to these securities. Chen Yu is the sole managing member of TCG Crossover GP II and may be deemed to share voting, investment and dispositive power with respect to these securities. Based on 66,633,321 shares of Common Stock outstanding as of April 20, 2026, as reported by the Issuer in the Form 10-Q.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Chen Yu</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5,250,000.00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5,250,000.00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5,250,000.00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These securities are held of record by TCG Crossover II. TCG Crossover GP II is the general partner of TCG Crossover II and may be deemed to have voting, investment, and dispositive power with respect to these securities. Chen Yu is the sole managing member of TCG Crossover GP II and may be deemed to share voting, investment and dispositive power with respect to these securities. Based on 66,633,321 shares of Common Stock outstanding as of April 20, 2026, as reported by the Issuer in the Form 10-Q.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53"/>
        <w:gridCol w:w="8897"/>
        <w:gridCol w:w="155"/>
      </w:tblGrid>
      <w:tr>
        <w:trPr/>
        <w:tc>
          <w:tcPr>
            <w:tcW w:w="1153" w:type="dxa"/>
            <w:tcBorders/>
            <w:vAlign w:val="center"/>
          </w:tcPr>
          <w:p>
            <w:pPr>
              <w:pStyle w:val="TableContents"/>
              <w:bidi w:val="0"/>
              <w:spacing w:before="0" w:after="283"/>
              <w:jc w:val="left"/>
              <w:rPr/>
            </w:pPr>
            <w:r>
              <w:rPr/>
              <w:t>Item 1.</w:t>
            </w:r>
          </w:p>
        </w:tc>
        <w:tc>
          <w:tcPr>
            <w:tcW w:w="889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Name of issuer: </w:t>
            </w:r>
          </w:p>
          <w:p>
            <w:pPr>
              <w:pStyle w:val="TableContents"/>
              <w:bidi w:val="0"/>
              <w:spacing w:before="0" w:after="0"/>
              <w:jc w:val="left"/>
              <w:rPr/>
            </w:pPr>
            <w:r>
              <w:rPr/>
              <w:t>Fulcrum Therapeutics, Inc.</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26 Landsdowne Street, Cambridge, MA 02139</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2.</w:t>
            </w:r>
          </w:p>
        </w:tc>
        <w:tc>
          <w:tcPr>
            <w:tcW w:w="889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Amendment No. 1 (Amendment No. 1) amends and supplements the Schedule 13G initially filed with the Commission on September 20, 2024 (the Original Schedule 13G) and is being filed by TCG Crossover Fund II, L.P. (TCG Crossover II), TCG Crossover GP II, LLC (TCG Crossover GP II, and together with TCG Crossover II, the Reporting Entities) and Chen Yu (the Reporting Individual). The Reporting Entities and the Reporting Individual are collectively referred to as the Reporting Persons. The Reporting Persons expressly disclaim status as a group for purposes of this Schedule 13G. The agreement among the Reporting Persons to file jointly in accordance with the provisions of Rule 13d-1(k)(1) under the Act is attached as Exhibit 1 to the Original Schedule 13G. Other than those securities reported herein as being held directly by such Reporting Person, each Reporting Person disclaims beneficial ownership of all securities reported in this Statement except to the extent of such Reporting Person's pecuniary interest therein. Capitalized terms not defined in this Amendment No. 1 have the meanings ascribed to them in the Original Schedule 13G.</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each Reporting Person is 245 Lytton Ave., Suite 350, Palo Alto, CA 94301.</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jc w:val="left"/>
              <w:rPr/>
            </w:pPr>
            <w:r>
              <w:rPr/>
              <w:t xml:space="preserve">Citizenship: </w:t>
            </w:r>
          </w:p>
          <w:p>
            <w:pPr>
              <w:pStyle w:val="TableContents"/>
              <w:bidi w:val="0"/>
              <w:spacing w:before="0" w:after="0"/>
              <w:jc w:val="left"/>
              <w:rPr/>
            </w:pPr>
            <w:r>
              <w:rPr/>
              <w:t>TCG Crossover GP II is a limited liability company organized under the laws of the State of Delaware. TCG Crossover II is a limited partnership organized under the laws of the State of Delaware. The Reporting Individual is a citizen of the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(d)</w:t>
            </w:r>
          </w:p>
        </w:tc>
        <w:tc>
          <w:tcPr>
            <w:tcW w:w="889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(e)</w:t>
            </w:r>
          </w:p>
        </w:tc>
        <w:tc>
          <w:tcPr>
            <w:tcW w:w="889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3.</w:t>
            </w:r>
          </w:p>
        </w:tc>
        <w:tc>
          <w:tcPr>
            <w:tcW w:w="889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(d)</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(e)</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(f)</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(g)</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(h)</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(j)</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(k)</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9052" w:type="dxa"/>
            <w:gridSpan w:val="2"/>
            <w:tcBorders/>
            <w:vAlign w:val="center"/>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4.</w:t>
            </w:r>
          </w:p>
        </w:tc>
        <w:tc>
          <w:tcPr>
            <w:tcW w:w="889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Row 9 of the cover page for each Reporting Person and the corresponding comments.</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Row 11 of the cover page for each Reporting Person and the corresponding comments.  %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Row 5 of the cover page for each Reporting Person and the corresponding comments.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Row 6 of the cover page for each Reporting Person and the corresponding comments.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Row 7 of the cover page for each Reporting Person and the corresponding comments.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Row 8 of the cover page for each Reporting Person and the corresponding comments.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5.</w:t>
            </w:r>
          </w:p>
        </w:tc>
        <w:tc>
          <w:tcPr>
            <w:tcW w:w="889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6.</w:t>
            </w:r>
          </w:p>
        </w:tc>
        <w:tc>
          <w:tcPr>
            <w:tcW w:w="889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7.</w:t>
            </w:r>
          </w:p>
        </w:tc>
        <w:tc>
          <w:tcPr>
            <w:tcW w:w="889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8.</w:t>
            </w:r>
          </w:p>
        </w:tc>
        <w:tc>
          <w:tcPr>
            <w:tcW w:w="889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9.</w:t>
            </w:r>
          </w:p>
        </w:tc>
        <w:tc>
          <w:tcPr>
            <w:tcW w:w="889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972" w:type="dxa"/>
        <w:jc w:val="left"/>
        <w:tblInd w:w="0" w:type="dxa"/>
        <w:tblLayout w:type="fixed"/>
        <w:tblCellMar>
          <w:top w:w="28" w:type="dxa"/>
          <w:left w:w="28" w:type="dxa"/>
          <w:bottom w:w="28" w:type="dxa"/>
          <w:right w:w="28" w:type="dxa"/>
        </w:tblCellMar>
      </w:tblPr>
      <w:tblGrid>
        <w:gridCol w:w="2986"/>
        <w:gridCol w:w="2986"/>
      </w:tblGrid>
      <w:tr>
        <w:trPr/>
        <w:tc>
          <w:tcPr>
            <w:tcW w:w="2986" w:type="dxa"/>
            <w:tcBorders/>
            <w:vAlign w:val="center"/>
          </w:tcPr>
          <w:p>
            <w:pPr>
              <w:pStyle w:val="TableContents"/>
              <w:bidi w:val="0"/>
              <w:spacing w:before="0" w:after="0"/>
              <w:jc w:val="left"/>
              <w:rPr/>
            </w:pPr>
            <w:r>
              <w:rPr/>
              <w:t> </w:t>
            </w:r>
          </w:p>
          <w:tbl>
            <w:tblPr>
              <w:tblW w:w="2851" w:type="dxa"/>
              <w:jc w:val="left"/>
              <w:tblInd w:w="0" w:type="dxa"/>
              <w:tblLayout w:type="fixed"/>
              <w:tblCellMar>
                <w:top w:w="28" w:type="dxa"/>
                <w:left w:w="28" w:type="dxa"/>
                <w:bottom w:w="28" w:type="dxa"/>
                <w:right w:w="28" w:type="dxa"/>
              </w:tblCellMar>
            </w:tblPr>
            <w:tblGrid>
              <w:gridCol w:w="2851"/>
            </w:tblGrid>
            <w:tr>
              <w:trPr/>
              <w:tc>
                <w:tcPr>
                  <w:tcW w:w="2851" w:type="dxa"/>
                  <w:tcBorders/>
                  <w:vAlign w:val="center"/>
                </w:tcPr>
                <w:p>
                  <w:pPr>
                    <w:pStyle w:val="TableContents"/>
                    <w:bidi w:val="0"/>
                    <w:spacing w:before="0" w:after="0"/>
                    <w:jc w:val="left"/>
                    <w:rPr/>
                  </w:pPr>
                  <w:r>
                    <w:rPr/>
                    <w:t>TCG Crossover GP II, LLC</w:t>
                  </w:r>
                </w:p>
              </w:tc>
            </w:tr>
          </w:tbl>
          <w:p>
            <w:pPr>
              <w:pStyle w:val="TableContents"/>
              <w:bidi w:val="0"/>
              <w:spacing w:before="0" w:after="283"/>
              <w:jc w:val="left"/>
              <w:rPr/>
            </w:pPr>
            <w:r>
              <w:rPr/>
            </w:r>
          </w:p>
        </w:tc>
        <w:tc>
          <w:tcPr>
            <w:tcW w:w="298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8"/>
        <w:gridCol w:w="4357"/>
      </w:tblGrid>
      <w:tr>
        <w:trPr/>
        <w:tc>
          <w:tcPr>
            <w:tcW w:w="58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Craig Skaling</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Craig Skaling, Authorized Signatory</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57" w:type="dxa"/>
            <w:tcBorders/>
            <w:vAlign w:val="center"/>
          </w:tcPr>
          <w:p>
            <w:pPr>
              <w:pStyle w:val="TableContents"/>
              <w:bidi w:val="0"/>
              <w:spacing w:before="0" w:after="283"/>
              <w:jc w:val="left"/>
              <w:rPr>
                <w:sz w:val="4"/>
                <w:szCs w:val="4"/>
              </w:rPr>
            </w:pPr>
            <w:r>
              <w:rPr>
                <w:sz w:val="4"/>
                <w:szCs w:val="4"/>
              </w:rPr>
            </w:r>
          </w:p>
        </w:tc>
      </w:tr>
    </w:tbl>
    <w:tbl>
      <w:tblPr>
        <w:tblW w:w="6202" w:type="dxa"/>
        <w:jc w:val="left"/>
        <w:tblInd w:w="0" w:type="dxa"/>
        <w:tblLayout w:type="fixed"/>
        <w:tblCellMar>
          <w:top w:w="28" w:type="dxa"/>
          <w:left w:w="28" w:type="dxa"/>
          <w:bottom w:w="28" w:type="dxa"/>
          <w:right w:w="28" w:type="dxa"/>
        </w:tblCellMar>
      </w:tblPr>
      <w:tblGrid>
        <w:gridCol w:w="3101"/>
        <w:gridCol w:w="3101"/>
      </w:tblGrid>
      <w:tr>
        <w:trPr/>
        <w:tc>
          <w:tcPr>
            <w:tcW w:w="3101" w:type="dxa"/>
            <w:tcBorders/>
            <w:vAlign w:val="center"/>
          </w:tcPr>
          <w:p>
            <w:pPr>
              <w:pStyle w:val="TableContents"/>
              <w:bidi w:val="0"/>
              <w:spacing w:before="0" w:after="0"/>
              <w:jc w:val="left"/>
              <w:rPr/>
            </w:pPr>
            <w:r>
              <w:rPr/>
              <w:t> </w:t>
            </w:r>
          </w:p>
          <w:tbl>
            <w:tblPr>
              <w:tblW w:w="2971" w:type="dxa"/>
              <w:jc w:val="left"/>
              <w:tblInd w:w="0" w:type="dxa"/>
              <w:tblLayout w:type="fixed"/>
              <w:tblCellMar>
                <w:top w:w="28" w:type="dxa"/>
                <w:left w:w="28" w:type="dxa"/>
                <w:bottom w:w="28" w:type="dxa"/>
                <w:right w:w="28" w:type="dxa"/>
              </w:tblCellMar>
            </w:tblPr>
            <w:tblGrid>
              <w:gridCol w:w="2971"/>
            </w:tblGrid>
            <w:tr>
              <w:trPr/>
              <w:tc>
                <w:tcPr>
                  <w:tcW w:w="2971" w:type="dxa"/>
                  <w:tcBorders/>
                  <w:vAlign w:val="center"/>
                </w:tcPr>
                <w:p>
                  <w:pPr>
                    <w:pStyle w:val="TableContents"/>
                    <w:bidi w:val="0"/>
                    <w:spacing w:before="0" w:after="0"/>
                    <w:jc w:val="left"/>
                    <w:rPr/>
                  </w:pPr>
                  <w:r>
                    <w:rPr/>
                    <w:t>TCG Crossover Fund II, L.P.</w:t>
                  </w:r>
                </w:p>
              </w:tc>
            </w:tr>
          </w:tbl>
          <w:p>
            <w:pPr>
              <w:pStyle w:val="TableContents"/>
              <w:bidi w:val="0"/>
              <w:spacing w:before="0" w:after="283"/>
              <w:jc w:val="left"/>
              <w:rPr/>
            </w:pPr>
            <w:r>
              <w:rPr/>
            </w:r>
          </w:p>
        </w:tc>
        <w:tc>
          <w:tcPr>
            <w:tcW w:w="310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8"/>
        <w:gridCol w:w="4357"/>
      </w:tblGrid>
      <w:tr>
        <w:trPr/>
        <w:tc>
          <w:tcPr>
            <w:tcW w:w="58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Craig Skaling</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Craig Skaling, Authorized Signatory</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57" w:type="dxa"/>
            <w:tcBorders/>
            <w:vAlign w:val="center"/>
          </w:tcPr>
          <w:p>
            <w:pPr>
              <w:pStyle w:val="TableContents"/>
              <w:bidi w:val="0"/>
              <w:spacing w:before="0" w:after="283"/>
              <w:jc w:val="left"/>
              <w:rPr>
                <w:sz w:val="4"/>
                <w:szCs w:val="4"/>
              </w:rPr>
            </w:pPr>
            <w:r>
              <w:rPr>
                <w:sz w:val="4"/>
                <w:szCs w:val="4"/>
              </w:rPr>
            </w:r>
          </w:p>
        </w:tc>
      </w:tr>
    </w:tbl>
    <w:tbl>
      <w:tblPr>
        <w:tblW w:w="2304" w:type="dxa"/>
        <w:jc w:val="left"/>
        <w:tblInd w:w="0" w:type="dxa"/>
        <w:tblLayout w:type="fixed"/>
        <w:tblCellMar>
          <w:top w:w="28" w:type="dxa"/>
          <w:left w:w="28" w:type="dxa"/>
          <w:bottom w:w="28" w:type="dxa"/>
          <w:right w:w="28" w:type="dxa"/>
        </w:tblCellMar>
      </w:tblPr>
      <w:tblGrid>
        <w:gridCol w:w="1152"/>
        <w:gridCol w:w="1152"/>
      </w:tblGrid>
      <w:tr>
        <w:trPr/>
        <w:tc>
          <w:tcPr>
            <w:tcW w:w="1152" w:type="dxa"/>
            <w:tcBorders/>
            <w:vAlign w:val="center"/>
          </w:tcPr>
          <w:p>
            <w:pPr>
              <w:pStyle w:val="TableContents"/>
              <w:bidi w:val="0"/>
              <w:spacing w:before="0" w:after="0"/>
              <w:jc w:val="left"/>
              <w:rPr/>
            </w:pPr>
            <w:r>
              <w:rPr/>
              <w:t> </w:t>
            </w:r>
          </w:p>
          <w:tbl>
            <w:tblPr>
              <w:tblW w:w="1036" w:type="dxa"/>
              <w:jc w:val="left"/>
              <w:tblInd w:w="0" w:type="dxa"/>
              <w:tblLayout w:type="fixed"/>
              <w:tblCellMar>
                <w:top w:w="28" w:type="dxa"/>
                <w:left w:w="28" w:type="dxa"/>
                <w:bottom w:w="28" w:type="dxa"/>
                <w:right w:w="28" w:type="dxa"/>
              </w:tblCellMar>
            </w:tblPr>
            <w:tblGrid>
              <w:gridCol w:w="1036"/>
            </w:tblGrid>
            <w:tr>
              <w:trPr/>
              <w:tc>
                <w:tcPr>
                  <w:tcW w:w="1036" w:type="dxa"/>
                  <w:tcBorders/>
                  <w:vAlign w:val="center"/>
                </w:tcPr>
                <w:p>
                  <w:pPr>
                    <w:pStyle w:val="TableContents"/>
                    <w:bidi w:val="0"/>
                    <w:spacing w:before="0" w:after="0"/>
                    <w:jc w:val="left"/>
                    <w:rPr/>
                  </w:pPr>
                  <w:r>
                    <w:rPr/>
                    <w:t>Chen Yu</w:t>
                  </w:r>
                </w:p>
              </w:tc>
            </w:tr>
          </w:tbl>
          <w:p>
            <w:pPr>
              <w:pStyle w:val="TableContents"/>
              <w:bidi w:val="0"/>
              <w:spacing w:before="0" w:after="283"/>
              <w:jc w:val="left"/>
              <w:rPr/>
            </w:pPr>
            <w:r>
              <w:rPr/>
            </w:r>
          </w:p>
        </w:tc>
        <w:tc>
          <w:tcPr>
            <w:tcW w:w="115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20"/>
        <w:gridCol w:w="4085"/>
      </w:tblGrid>
      <w:tr>
        <w:trPr/>
        <w:tc>
          <w:tcPr>
            <w:tcW w:w="61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Craig Skaling</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Craig Skaling, as Attorney-in-Fact for Chen Yu</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08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1619</Words>
  <Characters>8218</Characters>
  <CharactersWithSpaces>9791</CharactersWithSpaces>
  <Paragraphs>256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