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#359616109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5,680,158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5,684,615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5,684,615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9.195%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5,684,615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5,684,615</w:t>
      </w:r>
    </w:p>
    <w:p>
      <w:pPr>
        <w:spacing w:after="0"/>
        <w:rPr>
          <w:sz w:val="20"/>
          <w:szCs w:val="20"/>
          <w:color w:val="auto"/>
        </w:rPr>
      </w:pPr>
      <w:r>
        <w:rPr>
          <w:rFonts w:ascii="Courier New" w:cs="Courier New" w:eastAsia="Courier New" w:hAnsi="Courier New"/>
          <w:sz w:val="18"/>
          <w:szCs w:val="18"/>
          <w:color w:val="auto"/>
        </w:rPr>
        <w:t>Item 11: 9.195%</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5,684,615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9.195%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5,684,615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FULCRUM THERAPEUTICS INC. No one other person's interest in the COMMON STOCK of FULCRUM THERAPEUTICS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133" w:gutter="0" w:footer="0" w:header="0"/>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FULCRUM THERAPEUTICS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2024-02-09T08:11:42Z</dcterms:created>
  <dcterms:modified xsi:type="dcterms:W3CDTF">2024-02-09T08:11:42Z</dcterms:modified>
</cp:coreProperties>
</file>