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001-38978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June 10, 2022, Fulcrum Therapeutics, Inc., or Fulcrum, announced clinical proof-of-concept data from the ongoing Phase 1b trial of FTX-6058 for the treatment of sickle cell disease, or SCD. Initial data from the first subjects to receive a 6 mg dose of FTX-6058, an oral fetal hemoglobin, or HbF, inducer, showed a rapid and robust induction of HbF and achieved increases of up to 6.3% over baseline, were increasing at last measured time point, and that maximal levels of HbF may have not yet been achieved.</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Increases in HbF have been shown to reduce the frequency or severity of a broad range of SCD symptoms, including vaso-occlusive crises, or VOC, anemia, pain, infection, stroke and others. Based on a large body of genetic, clinical, and observational evidence showing the effects of higher levels of HbF in people with SCD, the induction of HbF by 5-10% over baseline could be associated with reduced disease burden and improved clinical outcomes. These initial data showing that FTX-6058 increases HbF levels by up to 6.3% support its potential to become a transformative therapy for people living with SCD.</w:t>
      </w:r>
    </w:p>
    <w:p>
      <w:pPr>
        <w:spacing w:after="0" w:line="18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Phase 1b study has enrolled six of up to ten subjects. These six subjects (none on background hydroxyurea) received at least one 6 mg dose of FTX-6058 and all were included in the safety analyses. As of the data cut-off on May 25, 2022, three subjects were evaluable at day 28 and beyond for increases in HbF. Three subjects were not evaluated due to non-adherence or protocol deviation, as specified in the statistical analysis plan.</w:t>
      </w:r>
    </w:p>
    <w:p>
      <w:pPr>
        <w:spacing w:after="0" w:line="14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All subjects evaluable for HbF change over baseline achieved increases in HbF by day 28. Changes in additional parameters, such as total bilirubin, reticulocyte count, and total hemoglobin were also observed, consistent with reduced hemolysis. A table showing the percent increase in HbF at pre-specified time-points is provided below.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Absolute HbF (%)</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Baseline</w:t>
            </w:r>
          </w:p>
        </w:tc>
        <w:tc>
          <w:tcPr>
            <w:tcW w:w="1180" w:type="dxa"/>
            <w:vAlign w:val="bottom"/>
            <w:tcBorders>
              <w:top w:val="single" w:sz="8" w:color="auto"/>
            </w:tcBorders>
            <w:gridSpan w:val="2"/>
            <w:vMerge w:val="restart"/>
          </w:tcPr>
          <w:p>
            <w:pPr>
              <w:ind w:left="320"/>
              <w:spacing w:after="0"/>
              <w:rPr>
                <w:sz w:val="20"/>
                <w:szCs w:val="20"/>
                <w:color w:val="auto"/>
              </w:rPr>
            </w:pPr>
            <w:r>
              <w:rPr>
                <w:rFonts w:ascii="Arial" w:cs="Arial" w:eastAsia="Arial" w:hAnsi="Arial"/>
                <w:sz w:val="14"/>
                <w:szCs w:val="14"/>
                <w:b w:val="1"/>
                <w:bCs w:val="1"/>
                <w:color w:val="auto"/>
              </w:rPr>
              <w:t>Day 14</w:t>
            </w:r>
          </w:p>
        </w:tc>
        <w:tc>
          <w:tcPr>
            <w:tcW w:w="1160" w:type="dxa"/>
            <w:vAlign w:val="bottom"/>
            <w:tcBorders>
              <w:top w:val="single" w:sz="8" w:color="auto"/>
            </w:tcBorders>
            <w:gridSpan w:val="2"/>
            <w:vMerge w:val="restart"/>
          </w:tcPr>
          <w:p>
            <w:pPr>
              <w:ind w:left="320"/>
              <w:spacing w:after="0"/>
              <w:rPr>
                <w:sz w:val="20"/>
                <w:szCs w:val="20"/>
                <w:color w:val="auto"/>
              </w:rPr>
            </w:pPr>
            <w:r>
              <w:rPr>
                <w:rFonts w:ascii="Arial" w:cs="Arial" w:eastAsia="Arial" w:hAnsi="Arial"/>
                <w:sz w:val="14"/>
                <w:szCs w:val="14"/>
                <w:b w:val="1"/>
                <w:bCs w:val="1"/>
                <w:color w:val="auto"/>
              </w:rPr>
              <w:t>Day 28</w:t>
            </w:r>
          </w:p>
        </w:tc>
        <w:tc>
          <w:tcPr>
            <w:tcW w:w="1180" w:type="dxa"/>
            <w:vAlign w:val="bottom"/>
            <w:tcBorders>
              <w:top w:val="single" w:sz="8" w:color="auto"/>
            </w:tcBorders>
            <w:gridSpan w:val="2"/>
            <w:vMerge w:val="restart"/>
          </w:tcPr>
          <w:p>
            <w:pPr>
              <w:ind w:left="320"/>
              <w:spacing w:after="0"/>
              <w:rPr>
                <w:sz w:val="20"/>
                <w:szCs w:val="20"/>
                <w:color w:val="auto"/>
              </w:rPr>
            </w:pPr>
            <w:r>
              <w:rPr>
                <w:rFonts w:ascii="Arial" w:cs="Arial" w:eastAsia="Arial" w:hAnsi="Arial"/>
                <w:sz w:val="14"/>
                <w:szCs w:val="14"/>
                <w:b w:val="1"/>
                <w:bCs w:val="1"/>
                <w:color w:val="auto"/>
              </w:rPr>
              <w:t>Day 42</w:t>
            </w:r>
          </w:p>
        </w:tc>
        <w:tc>
          <w:tcPr>
            <w:tcW w:w="1180" w:type="dxa"/>
            <w:vAlign w:val="bottom"/>
            <w:tcBorders>
              <w:top w:val="single" w:sz="8" w:color="auto"/>
            </w:tcBorders>
            <w:gridSpan w:val="2"/>
            <w:vMerge w:val="restart"/>
          </w:tcPr>
          <w:p>
            <w:pPr>
              <w:ind w:left="320"/>
              <w:spacing w:after="0"/>
              <w:rPr>
                <w:sz w:val="20"/>
                <w:szCs w:val="20"/>
                <w:color w:val="auto"/>
              </w:rPr>
            </w:pPr>
            <w:r>
              <w:rPr>
                <w:rFonts w:ascii="Arial" w:cs="Arial" w:eastAsia="Arial" w:hAnsi="Arial"/>
                <w:sz w:val="14"/>
                <w:szCs w:val="14"/>
                <w:b w:val="1"/>
                <w:bCs w:val="1"/>
                <w:color w:val="auto"/>
              </w:rPr>
              <w:t>Day 56</w:t>
            </w:r>
          </w:p>
        </w:tc>
        <w:tc>
          <w:tcPr>
            <w:tcW w:w="1180" w:type="dxa"/>
            <w:vAlign w:val="bottom"/>
            <w:tcBorders>
              <w:top w:val="single" w:sz="8" w:color="auto"/>
            </w:tcBorders>
            <w:gridSpan w:val="2"/>
            <w:vMerge w:val="restart"/>
          </w:tcPr>
          <w:p>
            <w:pPr>
              <w:ind w:left="320"/>
              <w:spacing w:after="0"/>
              <w:rPr>
                <w:sz w:val="20"/>
                <w:szCs w:val="20"/>
                <w:color w:val="auto"/>
              </w:rPr>
            </w:pPr>
            <w:r>
              <w:rPr>
                <w:rFonts w:ascii="Arial" w:cs="Arial" w:eastAsia="Arial" w:hAnsi="Arial"/>
                <w:sz w:val="14"/>
                <w:szCs w:val="14"/>
                <w:b w:val="1"/>
                <w:bCs w:val="1"/>
                <w:color w:val="auto"/>
              </w:rPr>
              <w:t>Day 70</w:t>
            </w:r>
          </w:p>
        </w:tc>
        <w:tc>
          <w:tcPr>
            <w:tcW w:w="12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Day 84 (EOS)</w:t>
            </w:r>
          </w:p>
        </w:tc>
        <w:tc>
          <w:tcPr>
            <w:tcW w:w="11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Post Tx + 7D</w:t>
            </w: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Increase from</w:t>
            </w:r>
          </w:p>
        </w:tc>
        <w:tc>
          <w:tcPr>
            <w:tcW w:w="0" w:type="dxa"/>
            <w:vAlign w:val="bottom"/>
          </w:tcPr>
          <w:p>
            <w:pPr>
              <w:spacing w:after="0"/>
              <w:rPr>
                <w:sz w:val="1"/>
                <w:szCs w:val="1"/>
                <w:color w:val="auto"/>
              </w:rPr>
            </w:pPr>
          </w:p>
        </w:tc>
      </w:tr>
      <w:tr>
        <w:trPr>
          <w:trHeight w:val="185"/>
        </w:trPr>
        <w:tc>
          <w:tcPr>
            <w:tcW w:w="720" w:type="dxa"/>
            <w:vAlign w:val="bottom"/>
            <w:vMerge w:val="restart"/>
          </w:tcPr>
          <w:p>
            <w:pPr>
              <w:spacing w:after="0"/>
              <w:rPr>
                <w:sz w:val="20"/>
                <w:szCs w:val="20"/>
                <w:color w:val="auto"/>
              </w:rPr>
            </w:pPr>
            <w:r>
              <w:rPr>
                <w:rFonts w:ascii="Arial" w:cs="Arial" w:eastAsia="Arial" w:hAnsi="Arial"/>
                <w:sz w:val="18"/>
                <w:szCs w:val="18"/>
                <w:color w:val="auto"/>
                <w:w w:val="93"/>
              </w:rPr>
              <w:t>Subject 1</w:t>
            </w:r>
          </w:p>
        </w:tc>
        <w:tc>
          <w:tcPr>
            <w:tcW w:w="10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baseline</w:t>
            </w:r>
          </w:p>
        </w:tc>
        <w:tc>
          <w:tcPr>
            <w:tcW w:w="0" w:type="dxa"/>
            <w:vAlign w:val="bottom"/>
          </w:tcPr>
          <w:p>
            <w:pPr>
              <w:spacing w:after="0"/>
              <w:rPr>
                <w:sz w:val="1"/>
                <w:szCs w:val="1"/>
                <w:color w:val="auto"/>
              </w:rPr>
            </w:pPr>
          </w:p>
        </w:tc>
      </w:tr>
      <w:tr>
        <w:trPr>
          <w:trHeight w:val="195"/>
        </w:trPr>
        <w:tc>
          <w:tcPr>
            <w:tcW w:w="720" w:type="dxa"/>
            <w:vAlign w:val="bottom"/>
            <w:vMerge w:val="continue"/>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9.2%</w:t>
            </w:r>
          </w:p>
        </w:tc>
        <w:tc>
          <w:tcPr>
            <w:tcW w:w="120" w:type="dxa"/>
            <w:vAlign w:val="bottom"/>
          </w:tcPr>
          <w:p>
            <w:pPr>
              <w:spacing w:after="0"/>
              <w:rPr>
                <w:sz w:val="16"/>
                <w:szCs w:val="16"/>
                <w:color w:val="auto"/>
              </w:rPr>
            </w:pPr>
          </w:p>
        </w:tc>
        <w:tc>
          <w:tcPr>
            <w:tcW w:w="10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9.8%</w:t>
            </w:r>
          </w:p>
        </w:tc>
        <w:tc>
          <w:tcPr>
            <w:tcW w:w="12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10.9%</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13.5%</w:t>
            </w:r>
          </w:p>
        </w:tc>
        <w:tc>
          <w:tcPr>
            <w:tcW w:w="100" w:type="dxa"/>
            <w:vAlign w:val="bottom"/>
          </w:tcPr>
          <w:p>
            <w:pPr>
              <w:spacing w:after="0"/>
              <w:rPr>
                <w:sz w:val="16"/>
                <w:szCs w:val="16"/>
                <w:color w:val="auto"/>
              </w:rPr>
            </w:pPr>
          </w:p>
        </w:tc>
        <w:tc>
          <w:tcPr>
            <w:tcW w:w="106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14.0%</w:t>
            </w:r>
          </w:p>
        </w:tc>
        <w:tc>
          <w:tcPr>
            <w:tcW w:w="120" w:type="dxa"/>
            <w:vAlign w:val="bottom"/>
          </w:tcPr>
          <w:p>
            <w:pPr>
              <w:spacing w:after="0"/>
              <w:rPr>
                <w:sz w:val="16"/>
                <w:szCs w:val="16"/>
                <w:color w:val="auto"/>
              </w:rPr>
            </w:pPr>
          </w:p>
        </w:tc>
        <w:tc>
          <w:tcPr>
            <w:tcW w:w="108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right"/>
              <w:ind w:right="219"/>
              <w:spacing w:after="0" w:line="195" w:lineRule="exact"/>
              <w:rPr>
                <w:sz w:val="20"/>
                <w:szCs w:val="20"/>
                <w:color w:val="auto"/>
              </w:rPr>
            </w:pPr>
            <w:r>
              <w:rPr>
                <w:rFonts w:ascii="Arial" w:cs="Arial" w:eastAsia="Arial" w:hAnsi="Arial"/>
                <w:sz w:val="18"/>
                <w:szCs w:val="18"/>
                <w:color w:val="auto"/>
              </w:rPr>
              <w:t>13.7%</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right"/>
              <w:ind w:right="239"/>
              <w:spacing w:after="0" w:line="195" w:lineRule="exact"/>
              <w:rPr>
                <w:sz w:val="20"/>
                <w:szCs w:val="20"/>
                <w:color w:val="auto"/>
              </w:rPr>
            </w:pPr>
            <w:r>
              <w:rPr>
                <w:rFonts w:ascii="Arial" w:cs="Arial" w:eastAsia="Arial" w:hAnsi="Arial"/>
                <w:sz w:val="18"/>
                <w:szCs w:val="18"/>
                <w:color w:val="auto"/>
              </w:rPr>
              <w:t>14.4%</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5.2%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3"/>
              </w:rPr>
              <w:t>Subject 2</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18"/>
                <w:szCs w:val="18"/>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7.8%</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6.3%</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3"/>
              </w:rPr>
              <w:t>Subject 3</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6.2%</w:t>
            </w:r>
          </w:p>
        </w:tc>
        <w:tc>
          <w:tcPr>
            <w:tcW w:w="120" w:type="dxa"/>
            <w:vAlign w:val="bottom"/>
          </w:tcPr>
          <w:p>
            <w:pPr>
              <w:spacing w:after="0"/>
              <w:rPr>
                <w:sz w:val="20"/>
                <w:szCs w:val="20"/>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7.3%</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FTX-6058 was generally well-tolerated in the initial cohort. No serious treatment emergent adverse effects, or TEAEs, were reported, and there were no discontinuations due to TEAEs. All non-serious TEAEs were transient and deemed unrelated to study drug.</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By the end of this year, Fulcrum plans to complete enrollment in the current dose cohort, as well as its second and third cohorts in this dose-ranging study, with the goal to initiate a registrational trial in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disclosure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statements regarding the potential benefits of FTX-6058 and achieving a 5-10% increase in HbF and effects on SCD, the clinical development plan for FTX-6058 and initiation of registrational trial for sickle cell disease,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and its other product candidates;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its views to change. However, while Fulcrum may elect to update these forward-looking statements at some point in the future, Fulcrum specifically disclaims any obligation to do so.</w:t>
      </w:r>
    </w:p>
    <w:p>
      <w:pPr>
        <w:sectPr>
          <w:pgSz w:w="11900" w:h="16838" w:orient="portrait"/>
          <w:cols w:equalWidth="0" w:num="1">
            <w:col w:w="11020"/>
          </w:cols>
          <w:pgMar w:left="440" w:top="297"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Curtis Oltmans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2022-06-10T15:22:56Z</dcterms:created>
  <dcterms:modified xsi:type="dcterms:W3CDTF">2022-06-10T15:22:56Z</dcterms:modified>
</cp:coreProperties>
</file>