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Stuart Bryan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FULCRUM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26 LANDSDOWNE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CAMBRIDGE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02139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highlight w:val="white"/>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See Remarks</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08/10/2021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32,000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7.84</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32,000</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32,000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17.5</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08/11/2021</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28,000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7.84</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28,000</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08/11/2021</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28,000</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23.75</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029"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7.84</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08/10/2021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12/17/2028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271,571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7.84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08/11/2021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28,000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12/17/2028</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28,000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243,571</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29, 2020.</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option was granted on December 18, 2018 and is scheduled to vest 25% on the first anniversary of the vesting commencement date of December 18, 2018. The remainder of the shares underlying the grant shall vest in equal quarterly installments over the following three years until the fourth anniversary of the vesting commencement date, subject to continued service.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President &amp; Chief Executive Officer</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Peter Thomson, as attorney-in-fact for Bryan Stuart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08/12/2021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19846"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677</Words>
  <CharactersWithSpaces>4220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