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Montanova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3,680,921.00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3,680,921.00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3,680,921.00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Averill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2,553,201.00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2,553,201.00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2,553,201.00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Cowen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3,680,921.00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3,680,921.00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3,680,921.00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Montanova Capital, LLC Averill Master Fund, Ltd. Aaron Cowen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Montanova Capital, LLC 11 E 26th Street, 16th Floor New York, New York 10010 United States of America Averill Master Fund, Ltd. c/o Maples Corporate Services Limited P.O. Box 309 Ugland House Grand Cayman KY1-1104 Cayman Islands Aaron Cowen c/o Montanova Capital, LLC 11 E 26th Street, 16th Floor New York, New York 10010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Montanova Capital, LLC - Delaware Averill Master Fund, Ltd. - Cayman Islands Aaron Cowen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Montanova Capital, LLC - 3,680,921 Averill Master Fund, Ltd. - 2,553,201 Aaron Cowen - 3,680,921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Montanova Capital, LLC - 5.5% Averill Master Fund, Ltd. - 3.8% Aaron Cowen - 5.5%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Montanova Capital, LLC - 3,680,921 Averill Master Fund, Ltd. - 2,553,201 Aaron Cowen - 3,680,921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Montanova Capital, LLC - 3,680,921 Averill Master Fund, Ltd. - 2,553,201 Aaron Cowen - 3,680,921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Amendment No. 2 are directly owned by advisory clients of Montanova Capital, LLC. None of those advisory clients may be deemed to beneficially own more than 5% of the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Montanova Capital,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Nathanson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Nathanson,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Aaron Cowen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Cowen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p15047085_ex-a.htm"/>
      <w:bookmarkStart w:id="25" w:name="ksp15047085_ex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2 dated August 14, 2026 relating to the Common Stock, par value $0.001 per share, of Fulcrum Therapeutics, Inc. shall be filed on behalf of the undersigned.</w:t>
      </w:r>
    </w:p>
    <w:tbl>
      <w:tblPr>
        <w:tblW w:w="5270" w:type="dxa"/>
        <w:jc w:val="left"/>
        <w:tblInd w:w="0" w:type="dxa"/>
        <w:tblLayout w:type="fixed"/>
        <w:tblCellMar>
          <w:top w:w="0" w:type="dxa"/>
          <w:left w:w="0" w:type="dxa"/>
          <w:bottom w:w="0" w:type="dxa"/>
          <w:right w:w="0" w:type="dxa"/>
        </w:tblCellMar>
      </w:tblPr>
      <w:tblGrid>
        <w:gridCol w:w="75"/>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Title:   General Counsel and Chief Compliance Officer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AVERILL MASTER FUND, LTD.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COWEN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Cowen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6" w:name="p15047085_ex-b.htm"/>
      <w:bookmarkStart w:id="27" w:name="ksp15047085_exb"/>
      <w:bookmarkEnd w:id="26"/>
      <w:bookmarkEnd w:id="27"/>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 is the relevant entity for which Aaron Cowen is the control person.</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1564</Words>
  <Characters>8052</Characters>
  <CharactersWithSpaces>9570</CharactersWithSpaces>
  <Paragraphs>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