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106"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205740</wp:posOffset>
            </wp:positionV>
            <wp:extent cx="202311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9, 2021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You are cordially invited to virtually attend the 2021 annual meeting of stockholders, or the Annual Meeting, of Fulcrum Therapeutics, Inc. The Annual Meeting will be held via the Internet at a virtual audio web conference at www.proxydocs.com/FULC on Wednesday, June 9, 2021 at 9:00 a.m., Eastern time.</w:t>
      </w:r>
    </w:p>
    <w:p>
      <w:pPr>
        <w:spacing w:after="0" w:line="184"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Only stockholders who owned shares of our common stock at the close of business on April 12, 2021 are entitled to notice of and to vote at the Annual Meeting or any adjournment thereof. At the Annual Meeting, the stockholders will consider and vote on the following matters:</w:t>
      </w:r>
    </w:p>
    <w:p>
      <w:pPr>
        <w:spacing w:after="0" w:line="52" w:lineRule="exact"/>
        <w:rPr>
          <w:sz w:val="20"/>
          <w:szCs w:val="20"/>
          <w:color w:val="auto"/>
        </w:rPr>
      </w:pPr>
    </w:p>
    <w:p>
      <w:pPr>
        <w:ind w:left="10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three Class II directors, James Collins, James Geraghty and Bryan Stuart, nominated by our board of directors, each to serve for a three-year term expiring at the 2024 annual meeting of stockholders;</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ending December 31, 2021;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Transaction of any other business that may properly come before the Annual Meeting or any adjournment or postponement thereof.</w:t>
      </w:r>
    </w:p>
    <w:p>
      <w:pPr>
        <w:spacing w:after="0" w:line="23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Monday, June 7, 2021 at 5:00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You can find more information, including the nominees for director, in the proxy statement for the Annual Meeting, which is available for viewing, printing and downloading at www.proxydocs.com/FULC. The board of directors recommends that you vote “FOR” each of the Class II directors (Proposal 1) and “FOR” the ratification of the appointment of the proposed independent registered public accounting firm (Proposal 2) as outlined in the attached proxy statement.</w:t>
      </w:r>
    </w:p>
    <w:p>
      <w:pPr>
        <w:spacing w:after="0" w:line="187"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We are pleased to comply with the rules of the Securities and Exchange Commission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December 31, 2020, or the 2020 Annual Report. We will mail the Notice of Availability on or about April 29, 2021, and the Notice of Availability contains instructions on how to access our proxy materials over the Internet. The Notice of Availability also contains instructions on how each of our stockholders can receive a paper copy of our proxy materials, including the proxy statement, our 2020 Annual Report, and a form of proxy card.</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spacing w:after="0" w:line="178"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w:t>
      </w:r>
    </w:p>
    <w:p>
      <w:pPr>
        <w:spacing w:after="0" w:line="18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40640</wp:posOffset>
            </wp:positionV>
            <wp:extent cx="229743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743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Bryan Stuart</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 xml:space="preserve">Important Notice Regarding Internet Availability of Proxy Materials: </w:t>
      </w:r>
      <w:r>
        <w:rPr>
          <w:rFonts w:ascii="Arial" w:cs="Arial" w:eastAsia="Arial" w:hAnsi="Arial"/>
          <w:sz w:val="17"/>
          <w:szCs w:val="17"/>
          <w:color w:val="auto"/>
        </w:rPr>
        <w:t>The attached proxy statement and our 2020 Annual Report , which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our annual report on Form 10-K for the fiscal year ended December 31, 2020,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2020 are also available on the SEC’s website at http://www.sec.gov.</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4"/>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INFORMATION CONCERNING SOLICITATION AND VOTING</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IMPORTANT INFORMATION ABOUT THE ANNUAL MEETING AND VOTING</w:t>
              </w:r>
            </w:hyperlink>
          </w:p>
        </w:tc>
        <w:tc>
          <w:tcPr>
            <w:tcW w:w="446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518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PROPOSAL NO. 1—ELECTION OF THREE CLASS II DIRECTORS</w:t>
              </w:r>
            </w:hyperlink>
          </w:p>
        </w:tc>
        <w:tc>
          <w:tcPr>
            <w:tcW w:w="548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066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PROPOSAL 2—RATIFICATION OF THE APPOINTMENT OF ERNST &amp; YOUNG LLP AS OUR INDEPENDENT REGISTERED</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PUBLIC ACCOUNTING FIRM FOR THE FISCAL YEAR ENDING DECEMBER 31, 2021</w:t>
              </w:r>
            </w:hyperlink>
          </w:p>
        </w:tc>
        <w:tc>
          <w:tcPr>
            <w:tcW w:w="27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CORPORATE GOVERNANCE</w:t>
              </w:r>
            </w:hyperlink>
          </w:p>
        </w:tc>
        <w:tc>
          <w:tcPr>
            <w:tcW w:w="832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38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EXECUTIVE AND DIRECTOR COMPENSATION</w:t>
              </w:r>
            </w:hyperlink>
          </w:p>
        </w:tc>
        <w:tc>
          <w:tcPr>
            <w:tcW w:w="68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35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TRANSACTIONS WITH RELATED PERSONS</w:t>
              </w:r>
            </w:hyperlink>
          </w:p>
        </w:tc>
        <w:tc>
          <w:tcPr>
            <w:tcW w:w="710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3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PRINCIPAL STOCKHOLDERS</w:t>
              </w:r>
            </w:hyperlink>
          </w:p>
        </w:tc>
        <w:tc>
          <w:tcPr>
            <w:tcW w:w="828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06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THE AUDIT COMMITTEE OF THE BOARD OF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4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HOUSEHOLDING</w:t>
              </w:r>
            </w:hyperlink>
          </w:p>
        </w:tc>
        <w:tc>
          <w:tcPr>
            <w:tcW w:w="4260" w:type="dxa"/>
            <w:vAlign w:val="bottom"/>
            <w:tcBorders>
              <w:top w:val="single" w:sz="8" w:color="0000EE"/>
            </w:tcBorders>
            <w:gridSpan w:val="8"/>
          </w:tcPr>
          <w:p>
            <w:pPr>
              <w:spacing w:after="0"/>
              <w:rPr>
                <w:sz w:val="24"/>
                <w:szCs w:val="24"/>
                <w:color w:val="auto"/>
              </w:rPr>
            </w:pPr>
          </w:p>
        </w:tc>
        <w:tc>
          <w:tcPr>
            <w:tcW w:w="49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066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STOCKHOLDER PROPOSALS FOR OUR 2022 ANNUAL MEETING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526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MATTERS</w:t>
              </w:r>
            </w:hyperlink>
          </w:p>
        </w:tc>
        <w:tc>
          <w:tcPr>
            <w:tcW w:w="540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205740</wp:posOffset>
            </wp:positionV>
            <wp:extent cx="202311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231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(617) 651-8851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ANNUAL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9, 2021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This proxy statement contains information about the Annual Meeting of Stockholders of Fulcrum Therapeutics, Inc., or the Annual Meeting, to be held on Wednesday, June 9, 2021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spacing w:after="0" w:line="18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elected to provide access to our proxy materials over the Internet under the Securities and Exchange Commission’s “notice and access” rules. As a result, we are mailing to our stockholders a Notice of Internet Availability of Proxy Materials, or Notice of Availability, instead of a paper copy of this proxy statement and our annual report for the fiscal year ended December 31, 2020, or the 2020 Annual Report. We are sending the Notice of Availability on or about April 29, 2021, and it contains instructions on how to access those documents over the Internet. The Notice of Availability also contains instructions on how each of our stockholders can receive a paper copy of our proxy materials, including this proxy statement, our 2020 Annual Report, and a form of proxy card.</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Annual Meeting of Stockholders to be Held on June 9, 2021: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statement and our 2020 Annual Report are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for viewing, printing and downloading at www.proxydocs.com/FULC.</w:t>
      </w:r>
    </w:p>
    <w:p>
      <w:pPr>
        <w:spacing w:after="0" w:line="99"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2020, as filed with the Securities and Exchange Commission, or SEC, except for exhibits, will be furnished without charge to any stockholder upon written request to Fulcrum Therapeutics, Inc., 26 Landsdowne Street, Cambridge, Massachusetts 02139. This proxy statement and our annual report on Form 10-K for the fiscal year ended December 31, 2020 are also available on the SEC’s website at http://www.sec.gov.</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our stockholders will consider and vote on the following matters:</w:t>
      </w:r>
    </w:p>
    <w:p>
      <w:pPr>
        <w:spacing w:after="0" w:line="131" w:lineRule="exact"/>
        <w:rPr>
          <w:sz w:val="20"/>
          <w:szCs w:val="20"/>
          <w:color w:val="auto"/>
        </w:rPr>
      </w:pPr>
    </w:p>
    <w:p>
      <w:pPr>
        <w:ind w:left="10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three Class II directors, James Collins, James Geraghty and Bryan Stuart, nominated by our board of directors, each to serve for a three-year term expiring at the 2024 annual meeting of stockholders;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2021;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the date of this proxy statement, we are not aware of any business to come before the meeting other than the first two items noted above.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221"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FOR the election of the three nominees to serve as Class II directors on our board of directors, each for a three-year term expiring at the 2024 annual meeting of stockholders; and</w:t>
      </w:r>
    </w:p>
    <w:p>
      <w:pPr>
        <w:spacing w:after="0" w:line="162" w:lineRule="exact"/>
        <w:rPr>
          <w:sz w:val="20"/>
          <w:szCs w:val="20"/>
          <w:color w:val="auto"/>
        </w:rPr>
      </w:pPr>
    </w:p>
    <w:p>
      <w:pPr>
        <w:ind w:left="120" w:right="74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Availability of Proxy Materials</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proxy materials, including this proxy statement, a proxy card and our 2020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Only stockholders of record at the close of business on the record date of April 12, 2021 are entitled to receive notice of the Annual Meeting and to vote the shares of our common stock that they held on that date. As of April 12, 2021, there were 32,677,486 shares of our common stock issued and outstanding. Each share of common stock is entitled to one vote on each matter properly brought before the Annual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 Between a “Stockholder of Record” and a Beneficial Owner of Shares Held in “Street Name”</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Computershare Trust Company,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spacing w:after="0" w:line="187"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by a bank, broker or other nominee, then you are considered the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Why Did I Receive a Notice in the Mail Regarding the Internet Availability of Proxy Materials instead of a Full Set of Proxy Materials?</w:t>
      </w:r>
    </w:p>
    <w:p>
      <w:pPr>
        <w:spacing w:after="0" w:line="133"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 copies of this proxy statement, our proxy card, and our 2020 Annual Report. We will send the Notice of Availability on or about April 29, 2021. Detailed instructions on how to access these materials via the Internet may be found in the Notice of Availability. This proxy statement and our 2020 Annual Report are available for viewing, printing and downloading on the Internet at www.proxydocs.com/FULC.</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the Annual Meeting a Virtual, Online Meeting?</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 xml:space="preserve">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t>
      </w:r>
      <w:r>
        <w:rPr>
          <w:rFonts w:ascii="Arial" w:cs="Arial" w:eastAsia="Arial" w:hAnsi="Arial"/>
          <w:sz w:val="17"/>
          <w:szCs w:val="17"/>
          <w:u w:val="single" w:color="auto"/>
          <w:color w:val="auto"/>
        </w:rPr>
        <w:t>www.proxydocs</w:t>
      </w:r>
      <w:r>
        <w:rPr>
          <w:rFonts w:ascii="Arial" w:cs="Arial" w:eastAsia="Arial" w:hAnsi="Arial"/>
          <w:sz w:val="17"/>
          <w:szCs w:val="17"/>
          <w:color w:val="auto"/>
        </w:rPr>
        <w:t>.com/FULC in advance of the meeting. We have designed the virtual annual meeting to provide our stockholders with the same rights and opportunities to participate as stockholders would have at an in person meeting, including the right to vote and ask questions during and shortly before the meeting through the virtual meeting platform.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Virtually Attend the Annual Meeting</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Annual Meeting will be a virtual meeting and you may not attend in person. In order to attend the meeting online, you must register in advance at www.proxydocs.com/FULC prior to the deadline of June 7, 2021 at 5:00 p.m., Eastern time. You may attend the Annual Meeting online by following the instructions that you will receive once your registration is complete.</w:t>
      </w:r>
    </w:p>
    <w:p>
      <w:pPr>
        <w:spacing w:after="0" w:line="184"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Online registration for the Annual Meeting will begin on April 29, 2021, and you should allow ample time for the online registration. Upon completing your registration, you will receive further instructions via email, including your unique link that will allow you access to the meeting and you will have the ability to submit questions. Please be sure to following the instructions you will receive once your registration is complete.</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Annual Meeting will start at 9:00 a.m., Eastern time, on June 9, 2021. You may log on to the virtual meeting starting one hour before it begins. We will have technicians standing by and ready to assist you with any technical difficulties you may have accessing the virtual meeting starting at 8:00 a.m., Eastern time, on June 9, 2021. If you encounter any difficulties accessing the virtual Annual Meeting, please contact technical support by following the instructions provided to you upon registration for the Annual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w:t>
      </w:r>
    </w:p>
    <w:p>
      <w:pPr>
        <w:spacing w:after="0" w:line="117" w:lineRule="exact"/>
        <w:rPr>
          <w:sz w:val="20"/>
          <w:szCs w:val="20"/>
          <w:color w:val="auto"/>
        </w:rPr>
      </w:pPr>
    </w:p>
    <w:p>
      <w:pPr>
        <w:ind w:left="120" w:right="500"/>
        <w:spacing w:after="0" w:line="347" w:lineRule="auto"/>
        <w:rPr>
          <w:sz w:val="20"/>
          <w:szCs w:val="20"/>
          <w:color w:val="auto"/>
        </w:rPr>
      </w:pPr>
      <w:r>
        <w:rPr>
          <w:rFonts w:ascii="Arial" w:cs="Arial" w:eastAsia="Arial" w:hAnsi="Arial"/>
          <w:sz w:val="16"/>
          <w:szCs w:val="16"/>
          <w:b w:val="1"/>
          <w:bCs w:val="1"/>
          <w:color w:val="auto"/>
        </w:rPr>
        <w:t>If you are the stockholder of record of your shares</w:t>
      </w:r>
      <w:r>
        <w:rPr>
          <w:rFonts w:ascii="Arial" w:cs="Arial" w:eastAsia="Arial" w:hAnsi="Arial"/>
          <w:sz w:val="16"/>
          <w:szCs w:val="16"/>
          <w:color w:val="auto"/>
        </w:rPr>
        <w:t>, you can vote your shares by proxy prior to the Annual Meeting or online during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 choose to vote by proxy prior to the Annual Meeting, you may do so by telephone, via the Internet or by mail as follows:</w:t>
      </w:r>
    </w:p>
    <w:p>
      <w:pPr>
        <w:spacing w:after="0" w:line="25"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By Telephone Prior to the Annual Meeting</w:t>
      </w:r>
      <w:r>
        <w:rPr>
          <w:rFonts w:ascii="Arial" w:cs="Arial" w:eastAsia="Arial" w:hAnsi="Arial"/>
          <w:sz w:val="18"/>
          <w:szCs w:val="18"/>
          <w:color w:val="auto"/>
        </w:rPr>
        <w:t>. You may transmit your proxy prior to the Annual Meeting over the phone by calling</w:t>
      </w:r>
    </w:p>
    <w:p>
      <w:pPr>
        <w:spacing w:after="0" w:line="23" w:lineRule="exact"/>
        <w:rPr>
          <w:rFonts w:ascii="Arial" w:cs="Arial" w:eastAsia="Arial" w:hAnsi="Arial"/>
          <w:sz w:val="18"/>
          <w:szCs w:val="18"/>
          <w:color w:val="auto"/>
        </w:rPr>
      </w:pPr>
    </w:p>
    <w:p>
      <w:pPr>
        <w:ind w:left="1080" w:right="440"/>
        <w:spacing w:after="0" w:line="260" w:lineRule="auto"/>
        <w:rPr>
          <w:rFonts w:ascii="Arial" w:cs="Arial" w:eastAsia="Arial" w:hAnsi="Arial"/>
          <w:sz w:val="18"/>
          <w:szCs w:val="18"/>
          <w:color w:val="auto"/>
        </w:rPr>
      </w:pPr>
      <w:r>
        <w:rPr>
          <w:rFonts w:ascii="Arial" w:cs="Arial" w:eastAsia="Arial" w:hAnsi="Arial"/>
          <w:sz w:val="18"/>
          <w:szCs w:val="18"/>
          <w:color w:val="auto"/>
        </w:rPr>
        <w:t>866-390-9953 and following the instructions provided in the Notice of Availability and on the proxy card. You will need to have your Notice of Availability or proxy card in hand when you call.</w:t>
      </w:r>
    </w:p>
    <w:p>
      <w:pPr>
        <w:spacing w:after="0" w:line="9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Via the Internet Prior to the Annual Meeting</w:t>
      </w:r>
      <w:r>
        <w:rPr>
          <w:rFonts w:ascii="Arial" w:cs="Arial" w:eastAsia="Arial" w:hAnsi="Arial"/>
          <w:sz w:val="17"/>
          <w:szCs w:val="17"/>
          <w:color w:val="auto"/>
        </w:rPr>
        <w:t>. You may transmit your proxy via the Internet prior to the Annual Meeting by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provided in the Notice of Availability and on the proxy card. You will need to have your Notice of Availability or proxy card in hand when you access the website. The website for voting is available at www.proxypush.com/FULC.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By Mail Prior to the Annual Meeting</w:t>
      </w:r>
      <w:r>
        <w:rPr>
          <w:rFonts w:ascii="Arial" w:cs="Arial" w:eastAsia="Arial" w:hAnsi="Arial"/>
          <w:sz w:val="18"/>
          <w:szCs w:val="18"/>
          <w:color w:val="auto"/>
        </w:rPr>
        <w:t>. If you requested printed copies of proxy materials, you can vote by mailing your proxy card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proxy materials.</w:t>
      </w:r>
    </w:p>
    <w:p>
      <w:pPr>
        <w:spacing w:after="0" w:line="75" w:lineRule="exact"/>
        <w:rPr>
          <w:rFonts w:ascii="Arial" w:cs="Arial" w:eastAsia="Arial" w:hAnsi="Arial"/>
          <w:sz w:val="18"/>
          <w:szCs w:val="18"/>
          <w:color w:val="auto"/>
        </w:rPr>
      </w:pPr>
    </w:p>
    <w:p>
      <w:pPr>
        <w:ind w:left="1080" w:right="100" w:hanging="424"/>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Online during the Annual Meeting</w:t>
      </w:r>
      <w:r>
        <w:rPr>
          <w:rFonts w:ascii="Arial" w:cs="Arial" w:eastAsia="Arial" w:hAnsi="Arial"/>
          <w:sz w:val="18"/>
          <w:szCs w:val="18"/>
          <w:color w:val="auto"/>
        </w:rPr>
        <w:t>. In order to attend the Annual Meeting online and vote online during the Annual Meeting, 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in advance at www.proxydocs.com/FULC prior to the deadline of June 7, 2021 at 5:00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Telephone and Internet voting for stockholders of record will be available until 11:59 p.m. Eastern time on June 8, 2021, and mailed proxy cards must be received by 11:59 p.m. Eastern time on June 8, 2021 in order to be counted at the Annual Meeting. If the Annual Meeting is adjourned or postponed, these deadlines may be extended.</w:t>
      </w:r>
    </w:p>
    <w:p>
      <w:pPr>
        <w:spacing w:after="0" w:line="18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color w:val="auto"/>
        </w:rPr>
        <w:t>If your shares are held in street name</w:t>
      </w:r>
      <w:r>
        <w:rPr>
          <w:rFonts w:ascii="Arial" w:cs="Arial" w:eastAsia="Arial" w:hAnsi="Arial"/>
          <w:sz w:val="17"/>
          <w:szCs w:val="17"/>
          <w:color w:val="auto"/>
        </w:rPr>
        <w:t>, your bank, broker or other nominee is required to vote the shares it holds on your behalf according to your</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7, 2021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spacing w:after="0" w:line="177"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My Shares by Filling Out and Returning the Notice of Internet Availability of Proxy Materials?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Submit a Question at the Annual Meeting</w:t>
      </w:r>
      <w:r>
        <w:rPr>
          <w:rFonts w:ascii="Arial" w:cs="Arial" w:eastAsia="Arial" w:hAnsi="Arial"/>
          <w:sz w:val="18"/>
          <w:szCs w:val="18"/>
          <w:color w:val="auto"/>
        </w:rPr>
        <w:t>?</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you wish to submit a question during the Annual Meeting, beginning at 8:45 a.m., Eastern time, on June 9, 2021,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May I See a List of Stockholders Entitled to Vote as of the Record Date?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 list of stockholders as of the close of business on the record date will be available for examination by the stockholders during the Annual Meeting using the unique link provided via email following the completion of registration for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w:t>
      </w:r>
    </w:p>
    <w:p>
      <w:pPr>
        <w:spacing w:after="0" w:line="15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Ballot Measures Considered “Discretionary” and “Non-Discretionary”</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election of directors (Proposal No. 1) is a matter considered non-discretionary under applicable rules. A bank, broker or other nominee cannot vote without instructions on non-discretionary matters, and therefore there may be broker non-votes on Proposal No. 1.</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2021 (Proposal No. 2) is a matter considered discretionary under applicable rules. A bank, broker or other nominee generally may exercise discretionary authority and vote on discretionary matters. If they exercise this discretionary authority, no broker non-votes are expected in connection with Proposal No. 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Votes Required to Elect a Director and to Ratify Appointment of Ernst &amp; Young LLP</w:t>
      </w:r>
    </w:p>
    <w:p>
      <w:pPr>
        <w:spacing w:after="0" w:line="12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 nominee will be elected as a director if the nominee receives a plurality of the votes cast by stockholders entitled to vote at the meeting (Proposal No. 1). Votes withheld and broker non-votes will not be counted as votes cast or vote on Proposal No. 1. Accordingly, votes withheld and broker non-votes will have no have no effect on the voting on Proposal No. 1.</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2021 requires the affirmative vote of a majority of the shares of common stock present or represented by proxy and voted “for” or “against” such matter (Proposal No. 2).</w:t>
      </w:r>
    </w:p>
    <w:p>
      <w:pPr>
        <w:spacing w:after="0" w:line="184"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Abstentions and broker non-votes will not be counted as votes cast or voted on Proposal No. 2. Accordingly, abstentions and broker non-votes will have no effect on the voting on Proposal No. 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 of Counting Votes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Each holder of common stock is entitled to one vote at the Annual Meeting on each matter to come before the Annual Meeting, including the election of directors, for each share held by such stockholder as of the record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Votes cast online during the Annual Meeting or by proxy by mail, via the Internet or by telephone will be tabulated by the inspector of election appointed for the Annual Meeting, who will also determine whether a quorum is present.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a Proxy; Changing Your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may revoke your proxy and change your vote before the vote is taken at the Annual Meeting:</w:t>
      </w:r>
    </w:p>
    <w:p>
      <w:pPr>
        <w:spacing w:after="0" w:line="131" w:lineRule="exact"/>
        <w:rPr>
          <w:sz w:val="20"/>
          <w:szCs w:val="20"/>
          <w:color w:val="auto"/>
        </w:rPr>
      </w:pPr>
    </w:p>
    <w:p>
      <w:pPr>
        <w:ind w:left="1080" w:right="42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submitting a new proxy with a later date before the applicable deadline either signed and returned by mail or transmitted using the telephone or Internet voting procedures described in the “How to Vote” section above, in each case, prior to the Annual Meeting;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voting online at the Annual Meeting using the procedures described in the “How to Vote” section above;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delivering a written revocation to our corporate secretary before the annual meeting.</w:t>
      </w:r>
    </w:p>
    <w:p>
      <w:pPr>
        <w:spacing w:after="0" w:line="225"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virtual attendance at the Annual Meeting, without voting online during the Annual Meeting, will not revoke your proxy.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Proxy Solicitation</w:t>
      </w:r>
    </w:p>
    <w:p>
      <w:pPr>
        <w:spacing w:after="0" w:line="12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We will bear the costs of soliciting proxies. Our directors, officers and regular employees, without additional remuneration, may solicit proxies by mail, telephone, facsimile, email, personal interviews and other means.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remain an emerging growth company until December 31, 2024, although if the market value of our common stock that is held by non-affiliates exceeds $700 million as of any June 30 before that time or if we have annual gross revenues of $1.07 billion or more in any fiscal year, we would cease to be an emerging growth company as of December 31 of the applicable year. We also would cease to be an emerging growth company if we issue more than $1 billion of non-convertible debt over a three-year period.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1—ELECTION OF THREE CLASS II DIRECTORS</w:t>
      </w:r>
    </w:p>
    <w:p>
      <w:pPr>
        <w:spacing w:after="0" w:line="22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board of directors currently consists of eight members. Effective March 31, 2021, Robert Gould resigned as our president and chief executive officer and will remain as a member of the board of directors. Effective March 31, 2021, Bryan Stuart was promoted from our chief operating officer to our president and chief executive officer and was appointed to our board of directors.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93"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Class I directors are Alan Ezekowitz and Mark Levin, and their term expires at the annual meeting of stockholders to be held in 2023;</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 directors are James Collins, James Geraghty and Bryan Stuart, and their term expires at the Annual Meeting;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III directors are Katina Dorton, Robert Gould and Kate Haviland, and their term expires at the annual meeting of stockholders to be held in 2022.</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of directors has nominated James Collins, James Geraghty and Bryan Stuart for election as Class II directors at the Annual Meeting. Messrs.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Collins, Geraghty, and Stuart are all presently directors, and have indicated a willingness to continue to serve as directors, if elected.</w:t>
      </w:r>
    </w:p>
    <w:p>
      <w:pPr>
        <w:spacing w:after="0" w:line="21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Election as Class II Directors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Biographical information as of March 31, 2021, including principal occupation and business experience during the last five years, for our nominees for election as Class II directors at our Annual Meeting is set forth below.</w:t>
      </w:r>
    </w:p>
    <w:p>
      <w:pPr>
        <w:spacing w:after="0" w:line="170"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b w:val="1"/>
          <w:bCs w:val="1"/>
          <w:i w:val="1"/>
          <w:iCs w:val="1"/>
          <w:color w:val="auto"/>
        </w:rPr>
        <w:t>James J. Collins, Ph.D.</w:t>
      </w:r>
      <w:r>
        <w:rPr>
          <w:rFonts w:ascii="Arial" w:cs="Arial" w:eastAsia="Arial" w:hAnsi="Arial"/>
          <w:sz w:val="16"/>
          <w:szCs w:val="16"/>
          <w:color w:val="auto"/>
        </w:rPr>
        <w:t>, age 55, has served on our board of directors since January 2017. Dr. Collins has served as the Termeer Professor of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b w:val="1"/>
          <w:bCs w:val="1"/>
          <w:i w:val="1"/>
          <w:iCs w:val="1"/>
          <w:color w:val="auto"/>
        </w:rPr>
        <w:t>James Geraghty</w:t>
      </w:r>
      <w:r>
        <w:rPr>
          <w:rFonts w:ascii="Arial" w:cs="Arial" w:eastAsia="Arial" w:hAnsi="Arial"/>
          <w:sz w:val="17"/>
          <w:szCs w:val="17"/>
          <w:color w:val="auto"/>
        </w:rPr>
        <w:t>, age 66, has served on our board of directors since July 2016. Mr. Geraghty is an industry leader with over 30 years of strategic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leadership experience. Mr. Geraghty currently serves as chairman of the board of directors of Orchard Therapeutics plc, Idera Pharmaceuticals, Inc., or Idera, and Pieris Pharmaceuticals, Inc., each publicly traded companies, and as a member of the board of directors of Voyager Therapeutics, Inc., or Voyager, a publicly traded company.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He previously served as chairman of the board of Juniper Pharmaceuticals, Inc. and as a director of bluebird bio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b w:val="1"/>
          <w:bCs w:val="1"/>
          <w:i w:val="1"/>
          <w:iCs w:val="1"/>
          <w:color w:val="auto"/>
        </w:rPr>
        <w:t>Bryan Stuart</w:t>
      </w:r>
      <w:r>
        <w:rPr>
          <w:rFonts w:ascii="Arial" w:cs="Arial" w:eastAsia="Arial" w:hAnsi="Arial"/>
          <w:sz w:val="16"/>
          <w:szCs w:val="16"/>
          <w:color w:val="auto"/>
        </w:rPr>
        <w:t>, age 44, has served as our president and chief executive officer and as a member of our board of directors since March 2021, and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chief operating officer from December 2018 to March 2021. Prior to joining our company, Mr. Stuart served as president and chief executive officer of Yarra Therapeutics, LLC from December 2017 to August 2018 and as president and chief executive officer of Kastle Therapeutics, LLC from July 2015 to March 2017, both companies focused on developing therapies for rare diseases. Mr. Stuart was the chief business officer of Civitas Therapeutics, Inc., a biopharmaceutical company, from August 2012 to October 2014. He previously led business development, corporate development and strategy at EKR Therapeutics Inc. (acquired by Chiesi Farmaceutici S.p.A.) and Ovation Pharmaceuticals Inc. (acquired by Lundbeck A/S).</w:t>
      </w:r>
    </w:p>
    <w:p>
      <w:pPr>
        <w:spacing w:after="0" w:line="4" w:lineRule="exact"/>
        <w:rPr>
          <w:sz w:val="20"/>
          <w:szCs w:val="20"/>
          <w:color w:val="auto"/>
        </w:rPr>
      </w:pPr>
    </w:p>
    <w:p>
      <w:pPr>
        <w:ind w:left="120" w:right="280"/>
        <w:spacing w:after="0" w:line="277" w:lineRule="auto"/>
        <w:rPr>
          <w:sz w:val="20"/>
          <w:szCs w:val="20"/>
          <w:color w:val="auto"/>
        </w:rPr>
      </w:pPr>
      <w:r>
        <w:rPr>
          <w:rFonts w:ascii="Arial" w:cs="Arial" w:eastAsia="Arial" w:hAnsi="Arial"/>
          <w:sz w:val="17"/>
          <w:szCs w:val="17"/>
          <w:color w:val="auto"/>
        </w:rPr>
        <w:t>Mr. Stuart began his career as a healthcare investment banker at William Blair &amp; Company. Mr. Stuart received an MBA from the Kellogg School of Management at Northwestern University and a B.S. from the University of Illinois. We believe that Mr. Stuart is qualified to serve on our board of directors due to his extensive knowledge of our company and his significant background in working with life sciences companies.</w:t>
      </w:r>
    </w:p>
    <w:p>
      <w:pPr>
        <w:spacing w:after="0" w:line="169"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The board of directors recommends voting “FOR” the election of James Collins, James Geraghty and Bryan Stuart as Class II directors for a three-year term ending at the annual meeting of stockholders to be held in 2024.</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Biographical information as of March 31, 2021, including principal occupation and business experience during the last five years, for our directors continuing in office after the Annual Meeting is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11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b w:val="1"/>
          <w:bCs w:val="1"/>
          <w:i w:val="1"/>
          <w:iCs w:val="1"/>
          <w:color w:val="auto"/>
        </w:rPr>
        <w:t>Alan Ezekowitz, MBChB, D.Phil</w:t>
      </w:r>
      <w:r>
        <w:rPr>
          <w:rFonts w:ascii="Arial" w:cs="Arial" w:eastAsia="Arial" w:hAnsi="Arial"/>
          <w:sz w:val="17"/>
          <w:szCs w:val="17"/>
          <w:color w:val="auto"/>
        </w:rPr>
        <w:t>, age 67, has served on our board of directors since December 2016. Dr. Ezekowitz has served as a venture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Rock Ventures, LLC since December 2019.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b w:val="1"/>
          <w:bCs w:val="1"/>
          <w:i w:val="1"/>
          <w:iCs w:val="1"/>
          <w:color w:val="auto"/>
        </w:rPr>
        <w:t>Mark Levin</w:t>
      </w:r>
      <w:r>
        <w:rPr>
          <w:rFonts w:ascii="Arial" w:cs="Arial" w:eastAsia="Arial" w:hAnsi="Arial"/>
          <w:sz w:val="16"/>
          <w:szCs w:val="16"/>
          <w:color w:val="auto"/>
        </w:rPr>
        <w:t>, age 70, has served as a member of our board of directors since August 2015, as chairman of our board of directors since August 2016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executive chairman since March 2021. Mr. Levin currently serves as a partner at Third Rock Ventures, LLC, which he co-founded in 2007. Mr. Levin served as our interim president and chief executive officer from August 2015 to July 2016. He serves as a member of the board of directors of Voyager, a biotechnology company. Mr. Levin received both a B.S. and an M.S. in Chemical and Biochemical Engineering from Washington University in</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St. Louis. We believe Mr. Levin’s experience working with and serving on the boards of directors of life sciences companies and his experience working in the venture capital industry qualifies him to serve on our board of directors.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b w:val="1"/>
          <w:bCs w:val="1"/>
          <w:i w:val="1"/>
          <w:iCs w:val="1"/>
          <w:color w:val="auto"/>
        </w:rPr>
        <w:t>Katina Dorton</w:t>
      </w:r>
      <w:r>
        <w:rPr>
          <w:rFonts w:ascii="Arial" w:cs="Arial" w:eastAsia="Arial" w:hAnsi="Arial"/>
          <w:sz w:val="17"/>
          <w:szCs w:val="17"/>
          <w:color w:val="auto"/>
        </w:rPr>
        <w:t>, age 63, has served on our board of directors since January 2020. Ms. Dorton has served as chief financial officer of Nodthera Limited,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therapeutics company, since November 2020. Ms. Dorton previously served as executive vice president and chief financial officer at Repare Therapeutics, an oncology company focused on DNA damage repair and synthetic lethality, from April 2019 to December 2019 and prior to that, as chief financial officer at AVROBIO, Inc., a gene therapy company focused on rare disease, from August 2017 to December 2018. Ms. Dorton also served as chief financial officer of Immatics GmbH, a biotechnology company, from 2015 to 2017. Prior to that, Ms. Dorton served as the principal owner of Doric LLC, an advisory firm, from 2011 to 2015, where she provided consulting services to public and private companies in the areas of mergers and acquisitions and strategic finance. Prior to that, she was a Managing Director at Morgan Stanley and a Managing Director at Needham &amp; Co. She also served as an attorney in private practice at Sullivan &amp; Cromwell. Ms. Dorton currently is on the board of directors of US Ecology, Inc., an environmental services company. Ms. Dorton served on the board of directors of Pandion Therapeutics, Inc., a biopharmaceutical company, from December 2020 until its acquisition by Merck &amp; Co., Inc in April 2021. Ms. Dorton holds a J.D. from the University of Virginia School of Law, an M.B.A. from George Washington University and a B.A. from Duke University. We believe Ms. Dorton’s extensive experience working with life sciences companies qualifies her to serve on our board of directors.</w:t>
      </w:r>
    </w:p>
    <w:p>
      <w:pPr>
        <w:spacing w:after="0" w:line="17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i w:val="1"/>
          <w:iCs w:val="1"/>
          <w:color w:val="auto"/>
        </w:rPr>
        <w:t>Robert J. Gould, Ph.D.</w:t>
      </w:r>
      <w:r>
        <w:rPr>
          <w:rFonts w:ascii="Arial" w:cs="Arial" w:eastAsia="Arial" w:hAnsi="Arial"/>
          <w:sz w:val="17"/>
          <w:szCs w:val="17"/>
          <w:color w:val="auto"/>
        </w:rPr>
        <w:t>, age 66, has served as a member of our board of directors since July 2016 and served as our president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July 2016 to March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served as a member of the board of directors of Epizyme from March 2010 to March 2016.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previous role as our chief executive officer qualify him to serve on our board of directors.</w:t>
      </w:r>
    </w:p>
    <w:p>
      <w:pPr>
        <w:spacing w:after="0" w:line="18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Kate Haviland</w:t>
      </w:r>
      <w:r>
        <w:rPr>
          <w:rFonts w:ascii="Arial" w:cs="Arial" w:eastAsia="Arial" w:hAnsi="Arial"/>
          <w:sz w:val="18"/>
          <w:szCs w:val="18"/>
          <w:color w:val="auto"/>
        </w:rPr>
        <w:t>, age 45, has served on our board of directors since June 2018. Ms. Haviland has served as chief operating officer of Blueprint Medicines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previously served as executive director of commercial development at PTC Therapeutics, Inc., a biopharmaceutical company, from March 2007 to June 2012 and held corporate development and project management roles at Genzyme, a biotechnology company, from July 2005 to April 2007.</w:t>
      </w:r>
    </w:p>
    <w:p>
      <w:pPr>
        <w:ind w:left="120" w:right="140"/>
        <w:spacing w:after="0" w:line="255" w:lineRule="auto"/>
        <w:rPr>
          <w:sz w:val="20"/>
          <w:szCs w:val="20"/>
          <w:color w:val="auto"/>
        </w:rPr>
      </w:pPr>
      <w:r>
        <w:rPr>
          <w:rFonts w:ascii="Arial" w:cs="Arial" w:eastAsia="Arial" w:hAnsi="Arial"/>
          <w:sz w:val="18"/>
          <w:szCs w:val="18"/>
          <w:color w:val="auto"/>
        </w:rPr>
        <w:t>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Biographical information as of March 31, 2021 for our executive officers who are not directors is listed below.</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Judith A. Dunn, Ph.D., </w:t>
      </w:r>
      <w:r>
        <w:rPr>
          <w:rFonts w:ascii="Arial" w:cs="Arial" w:eastAsia="Arial" w:hAnsi="Arial"/>
          <w:sz w:val="17"/>
          <w:szCs w:val="17"/>
          <w:color w:val="auto"/>
        </w:rPr>
        <w:t>age 57, has severed as our president, research and development since April 2021. Dr. Dunn has served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entrepreneur-in-residence at Atlas Venture, a venture capital firm, since June 2018, where she has supported the development of new companies targeting areas of unmet need in neuroscience. Prior to joining Atlas Venture, she served as vice president, clinical development at F. Hoffman-La Roche AG, a healthcare company, from January 2013 to January 2018 and as the Head of Roche Innovation Center from 2013 to 2018. Dr. Dunn also served as the executive medical director, CNS clinical development (Ph I-III) at Sepracor, Inc. (now Sunovion Pharmaceuticals Inc.) from 2005 to 2010 and in a number of roles at Pfizer Inc. from 1997 to 2005. She supported the establishment of the Empire Discovery Institute, a New York State initiative to support progression of early stage research to clinical application. She has served as a member of the board of directors of Seelos Therapeutics, Inc., a publicly traded biopharmaceutical company, since May 2020. Dr. Dunn received a Postdoctoral Fellowship in New Drug Development from Pfizer Inc., a Training Fellowship in Neuropharmacology from the Center for Brain Research, a Doctor of Philosophy, Developmental Neurobiology from Wesleyan University and a B.S. in Neurobiology from the University of Rochester.</w:t>
      </w:r>
    </w:p>
    <w:p>
      <w:pPr>
        <w:spacing w:after="0" w:line="185"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b w:val="1"/>
          <w:bCs w:val="1"/>
          <w:i w:val="1"/>
          <w:iCs w:val="1"/>
          <w:color w:val="auto"/>
        </w:rPr>
        <w:t>Christopher Moxham, Ph.D.</w:t>
      </w:r>
      <w:r>
        <w:rPr>
          <w:rFonts w:ascii="Arial" w:cs="Arial" w:eastAsia="Arial" w:hAnsi="Arial"/>
          <w:sz w:val="17"/>
          <w:szCs w:val="17"/>
          <w:color w:val="auto"/>
        </w:rPr>
        <w:t>, age 53, has served as our chief scientific officer since February 2021, and served as our senior vice president, discovery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January 2019 to February 2021. Previously, Dr. Moxham spent over 20 years at Eli Lilly and Company, a pharmaceutical company, including as vice president, quantitative biology from January 2015 to January 2019. Dr. Moxham serves on the external review boards of the Long Island Bioscience Hub and the Alzheimer’s Drug Discovery Foundation. Dr. Moxham received a B.S. in Biological Sciences from Cornell University and his Ph.D. in Molecular and Cellular Pharmacology from the State University of New York at Stony Brook. Dr. Moxham also conducted postdoctoral training at SUNY Stony Brook under the sponsorship of the National Institutes of Health.</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b w:val="1"/>
          <w:bCs w:val="1"/>
          <w:i w:val="1"/>
          <w:iCs w:val="1"/>
          <w:color w:val="auto"/>
        </w:rPr>
        <w:t>Curtis Oltmans, J.D.</w:t>
      </w:r>
      <w:r>
        <w:rPr>
          <w:rFonts w:ascii="Arial" w:cs="Arial" w:eastAsia="Arial" w:hAnsi="Arial"/>
          <w:sz w:val="16"/>
          <w:szCs w:val="16"/>
          <w:color w:val="auto"/>
        </w:rPr>
        <w:t>, age 57, has served as our general counsel since November 2020. Mr. Oltmans previously served as vice president,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 Mr. Oltmans is on the board of directors of Avenue Therapeutics, Inc., a therapeutics company. Mr. Oltmans earned a B.A. in Political Science from the University of Nebraska and a J.D. from the University of Nebraska College of Law.</w:t>
      </w:r>
    </w:p>
    <w:p>
      <w:pPr>
        <w:spacing w:after="0" w:line="16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There is no arrangement or understanding between any of our directors or executive officers and any other person or persons pursuant to which he or she was or is to be selected as a director or executive officer.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PROPOSAL 2—RATIFICATION OF THE APPOINTMENT OF ERNST &amp; YOUNG LLP AS OUR INDEPENDENT REGISTERED PUBLIC ACCOUNTING FIRM FOR THE FISCAL YEAR ENDING DECEMBER 31, 2021</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stockholders are being asked to ratify the appointment by the audit committee of the board of directors of Ernst &amp; Young LLP as our independent registered public accounting firm for the fiscal year ending December 31, 2021. Ernst &amp; Young LLP has served as our independent registered public accounting firm since 2017.</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audit committee is solely responsible for selecting our independent registered public accounting firm for the fiscal year ending December 31, 2021.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incurred the following fees from Ernst &amp; Young LLP for the audit of the consolidated financial statements and for other services provided during the years ended December 31,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6"/>
                <w:szCs w:val="16"/>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483,300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1,091,000</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Audit related fees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22,360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All other fees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526,200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1,113,360</w:t>
            </w:r>
          </w:p>
        </w:tc>
      </w:tr>
      <w:tr>
        <w:trPr>
          <w:trHeight w:val="20"/>
        </w:trPr>
        <w:tc>
          <w:tcPr>
            <w:tcW w:w="5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the review of the interim financial statements included in our quarterly reports on Form 10-Q, our IPO that was completed in July 2019 and other professional services provided in connection with regulatory filings or engagements.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compliance, advice and tax planning.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During our 2020 and 2019 fiscal years, no services were provided to us by Ernst &amp; Young LLP other than in accordance with the pre-approval policies and procedures described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2 to ratify the appointment of Ernst &amp; Young LLP as our independent registered public accounting firm for the fiscal year ending December 31, 2021.</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60"/>
          </w:cols>
          <w:pgMar w:left="320" w:top="459" w:right="11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the qualifications, qualities and skills that our nominating and corporate governance committee believes must be met by a committee-recommended nominee for a position on our board of directors are as follows:</w:t>
      </w:r>
    </w:p>
    <w:p>
      <w:pPr>
        <w:spacing w:after="0" w:line="67"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130"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should have a commitment to understand our company and our industry and to regularly attend and participate in meetings of our board of directors and its committees.</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The value of diversity on our board of directors is considered.</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2022 Annual Meeting.”</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3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April 2021,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Mr. Stuart and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Stuart is not an independent director under these rules because he is our president and chief executive officer. Dr. Gould is not an independent director under these rules because he was previously our president and chief executive officer.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the compensation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members of our audit committee are Katina Dorton, James Geraghty and Kate Haviland, and Katina Dorton serves as the chair of the audit committee. Alan Ezekowitz served as the chair of the audit committee until January 2, 2020, at which time Katina Dorton joined the audit committee as chair. Our audit committee met four times during 2020. Our audit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meeting independently with our internal auditing staff, if any, our independent registered public accounting firm and management;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or SEC, rules.</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The members of our compensation committee are Alan Ezekowitz, Kate Haviland and Katina Dorton, and Alan Ezekowitz serves as chair of the compensation committee. James Geraghty served as a member of our compensation committee and Mark Levin served as the chair of compensation committee until the committee was reconstituted on January 23, 2020, at which time Kate Haviland and Kate Dorton joined the committee and Alan Ezekowitz became the chair. Our compensation committee met four times during 2020. Our compensation committee’s responsibilities include:</w:t>
      </w:r>
    </w:p>
    <w:p>
      <w:pPr>
        <w:spacing w:after="0" w:line="63" w:lineRule="exact"/>
        <w:rPr>
          <w:sz w:val="20"/>
          <w:szCs w:val="20"/>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believe that the composition of our compensation committee meets the requirements for independence under current Nasdaq and SEC rules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The members of our nominating and corporate governance committee are James Geraghty, James Collins and Mark Levin, and Mr. Geraghty serves as chair of the nominating and corporate governance committee. Our nominating and corporate governance committee took all actions in 2020 by written consent without a meeting. Our nominating and corporate governance committee’s responsibilities include:</w:t>
      </w:r>
    </w:p>
    <w:p>
      <w:pPr>
        <w:spacing w:after="0" w:line="7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to our board of directors the persons to be nominated for election as directors and to each of our board’s committees;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believe that the composition of our nominating and corporate governance committee meets the requirements for independence under current Nasdaq and SEC rules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members of our science and technology committee are James Collins, Alan Ezekowitz Mark Levin and Robert J. Gould, who joined the committee in March 2021, and Dr. Collins serves as chair of the science and technology committee. The science and technology committee assists our board’s oversight of our research activities and assists us in evaluating science and technology issues. Our science and technology committee’s responsibilities include:</w:t>
      </w:r>
    </w:p>
    <w:p>
      <w:pPr>
        <w:spacing w:after="0" w:line="92" w:lineRule="exact"/>
        <w:rPr>
          <w:sz w:val="20"/>
          <w:szCs w:val="20"/>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evaluating, and advising our board of directors and management regarding our long-term strategic goals and objectives and the quality and direction of our research and development programs;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monitoring and evaluating trends in research and development, and recommending to our board of directors and management emerging technologies for building the company’s technological strength;</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approaches to acquiring and maintaining technology positions (including but not limited to contracts, grants, collaborative efforts, alliances, and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advising our board of directors and management on the scientific aspects of business development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regularly reviewing our research and development pipeline; and</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assisting our board of directors with its oversight responsibility for enterprise risk management in areas affecting our research and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During 2020, the members of our compensation committee were Alan Ezekowitz, Kate Haviland, Katina Dorton, Mark Levin (who served on such committee until January 23, 2020) and James Geraghty (who served on such committee until January 23, 2020). 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current members, or members serving during 2020, of our compensation committee is, or has ever been, an officer or employee of our company, other than Mr. Levin, who previously served as our interim president and chief executive officer from August 2015 to July 2016.</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 Meetings and Attendance</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board of directors recognizes the importance of director attendance at board and committee meetings. The full board of directors met nine times during 2020. During 2020,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corporate governance guidelines provide that directors are responsible for attending the annual meeting of stockholders. All then-serving directors attended our 2020 annual meeting of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responsibility of our board of directors is to oversee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majority of the members of the board of directors must be independent directors, unless otherwise permitted by Nasdaq rules;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independent directors meet in executive session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independent advisors;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expected to participate in continuing director education on an ongoing basis;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will oversee an annual self-evaluation of the board to determine whether it and its committees are functioning effectively.</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 copy of the corporate governance guidelines is available on the “Corporate Governance” section of the “Investor Relations” section of our website, which is located at www.fulcrumtx.com.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Oversight of Risk</w:t>
      </w:r>
    </w:p>
    <w:p>
      <w:pPr>
        <w:spacing w:after="0" w:line="121" w:lineRule="exact"/>
        <w:rPr>
          <w:sz w:val="20"/>
          <w:szCs w:val="20"/>
          <w:color w:val="auto"/>
        </w:rPr>
      </w:pPr>
    </w:p>
    <w:p>
      <w:pPr>
        <w:jc w:val="both"/>
        <w:ind w:left="120" w:right="120"/>
        <w:spacing w:after="0" w:line="275" w:lineRule="auto"/>
        <w:rPr>
          <w:sz w:val="20"/>
          <w:szCs w:val="20"/>
          <w:color w:val="auto"/>
        </w:rPr>
      </w:pPr>
      <w:r>
        <w:rPr>
          <w:rFonts w:ascii="Arial" w:cs="Arial" w:eastAsia="Arial" w:hAnsi="Arial"/>
          <w:sz w:val="17"/>
          <w:szCs w:val="17"/>
          <w:color w:val="auto"/>
        </w:rPr>
        <w:t>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 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spacing w:after="0" w:line="16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has appointed Mark Levin, an independent director, as executive chairman. Mr. Levin possesses valuable leadership skills and has an in-depth knowledge of our company, opportunities and challenges, and the board of directors believes he is the person best positioned to ensure that the time and attention of our directors is focused on the most critical matters.</w:t>
      </w:r>
    </w:p>
    <w:p>
      <w:pPr>
        <w:spacing w:after="0" w:line="184"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those described under “Risk Factors” in our annual report on Form 10-K for the year ended December 31, 2020.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Policies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insider trading policy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Our Directors</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Board of Directors</w:t>
      </w:r>
    </w:p>
    <w:p>
      <w:pPr>
        <w:spacing w:after="0" w:line="21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4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for 2020. Our named executive officers for 2020 were Robert J. Gould, Bryan Stuart and Curtis Oltmans. This section also describes the material elements of compensation awarded to, earned by or paid to each of our non-employee directors.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This section also provides qualitative information regarding the manner and context in which compensation is awarded to and earned by our executive officers and our directors and is intended to place in perspective the data presented in the tables and narrative that follow.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and Director Compensation Processes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executive compensation program is administered by the compensation committee of our board of directors, subject to the oversight and approval of our board of directors. Our compensation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committee has retained Radford, part of the Rewards Solutions practice of Aon Plc, as its independent compensation consultant, to provide comparative data on executive compensation practices in our industry and to advise on our executive compensation program generally. During 2020, our compensation committee directly retained Radford to advise the compensation committee on our compensation program for executive officers, which includes base salaries, annual performance-based cash incentives and equity incentive awards, and our compensation program for directors and Radford made recommendations with respect to the amount and form of executive and director compensation. Although our compensation committee considers the advice and guidance of Radford as to our executive compensation program and our director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our director compensation programs and to conduct further competitive benchmarking against a peer group of publicly traded companies.</w:t>
      </w:r>
    </w:p>
    <w:p>
      <w:pPr>
        <w:spacing w:after="0" w:line="16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compensation committee reviewed information regarding the independence and potential conflicts of interest of Radford, taking into account, among other things, the factors set forth in the Nasdaq listing standards. Based on such review, the compensation committee concluded that the engagement of Radford did not raise any conflict of interest.</w:t>
      </w:r>
    </w:p>
    <w:p>
      <w:pPr>
        <w:spacing w:after="0" w:line="18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Under its charter, the compensation committee may form, and delegate authority to, subcommittees, consisting of independent directors, as it deems appropriate. During 2020, the compensation committee did not form or delegate authority to such subcommittees. In addition, under its charter, the compensation committee may delegate to one or more executive officers the power to grant options or other stock awards pursuant to its 2019 Stock Incentive Plan to employees who are not directors or executive officers of the Company. During 2020, the compensation committee delegated authority to the then-current chief executive officer to grant certain stock options to non-executive employees.</w:t>
      </w:r>
    </w:p>
    <w:p>
      <w:pPr>
        <w:spacing w:after="0" w:line="176"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Our director compensation program is administered by our board of directors with the assistance of the compensation committee. The compensation committee conducts an annual review of director compensation and makes recommendations to the board of directors with respect thereto.</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the years ended December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2,240,600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3,016,350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478,195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3,111,158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3,889,353</w:t>
            </w:r>
          </w:p>
        </w:tc>
        <w:tc>
          <w:tcPr>
            <w:tcW w:w="0" w:type="dxa"/>
            <w:vAlign w:val="bottom"/>
          </w:tcPr>
          <w:p>
            <w:pPr>
              <w:spacing w:after="0"/>
              <w:rPr>
                <w:sz w:val="1"/>
                <w:szCs w:val="1"/>
                <w:color w:val="auto"/>
              </w:rPr>
            </w:pPr>
          </w:p>
        </w:tc>
      </w:tr>
      <w:tr>
        <w:trPr>
          <w:trHeight w:val="310"/>
        </w:trPr>
        <w:tc>
          <w:tcPr>
            <w:tcW w:w="6480" w:type="dxa"/>
            <w:vAlign w:val="bottom"/>
          </w:tcPr>
          <w:p>
            <w:pPr>
              <w:spacing w:after="0"/>
              <w:rPr>
                <w:sz w:val="20"/>
                <w:szCs w:val="20"/>
                <w:color w:val="auto"/>
              </w:rPr>
            </w:pPr>
            <w:r>
              <w:rPr>
                <w:rFonts w:ascii="Arial" w:cs="Arial" w:eastAsia="Arial" w:hAnsi="Arial"/>
                <w:sz w:val="18"/>
                <w:szCs w:val="18"/>
                <w:color w:val="auto"/>
              </w:rPr>
              <w:t>Bryan Stuart</w:t>
            </w: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440,000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158,400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1,176,315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1,774,715</w:t>
            </w: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406,823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183,015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645,122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1,234,960</w:t>
            </w:r>
          </w:p>
        </w:tc>
        <w:tc>
          <w:tcPr>
            <w:tcW w:w="0" w:type="dxa"/>
            <w:vAlign w:val="bottom"/>
          </w:tcPr>
          <w:p>
            <w:pPr>
              <w:spacing w:after="0"/>
              <w:rPr>
                <w:sz w:val="1"/>
                <w:szCs w:val="1"/>
                <w:color w:val="auto"/>
              </w:rPr>
            </w:pPr>
          </w:p>
        </w:tc>
      </w:tr>
      <w:tr>
        <w:trPr>
          <w:trHeight w:val="108"/>
        </w:trPr>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Curtis Oltmans</w:t>
            </w:r>
            <w:r>
              <w:rPr>
                <w:rFonts w:ascii="Arial" w:cs="Arial" w:eastAsia="Arial" w:hAnsi="Arial"/>
                <w:sz w:val="15"/>
                <w:szCs w:val="15"/>
                <w:color w:val="auto"/>
              </w:rPr>
              <w:t>(3)</w:t>
            </w: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1,273,390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1,357,367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“Bonus” column reflect discretionary annual cash bonuses paid to our named executive officers for their performance in 2020 and 2019, respectively.</w:t>
      </w:r>
    </w:p>
    <w:p>
      <w:pPr>
        <w:spacing w:after="0" w:line="75" w:lineRule="exact"/>
        <w:rPr>
          <w:rFonts w:ascii="Arial" w:cs="Arial" w:eastAsia="Arial" w:hAnsi="Arial"/>
          <w:sz w:val="18"/>
          <w:szCs w:val="18"/>
          <w:color w:val="auto"/>
        </w:rPr>
      </w:pPr>
    </w:p>
    <w:p>
      <w:pPr>
        <w:ind w:left="540" w:right="60" w:hanging="424"/>
        <w:spacing w:after="0" w:line="273"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reflect the aggregate fair value of stock-based compensation awarded during the year computed in accordance with the provisions of Financial Accounting Standards Board, or FASB, Accounting Standards Codification, or ASC, Topic 718. See Note 9 to our consolidated financial statements appearing in our annual report on Form 10-K, which was filed with the SEC on March 4, 2021,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83" w:lineRule="exact"/>
        <w:rPr>
          <w:rFonts w:ascii="Arial" w:cs="Arial" w:eastAsia="Arial" w:hAnsi="Arial"/>
          <w:sz w:val="17"/>
          <w:szCs w:val="17"/>
          <w:color w:val="auto"/>
        </w:rPr>
      </w:pPr>
    </w:p>
    <w:p>
      <w:pPr>
        <w:ind w:left="540" w:right="40" w:hanging="424"/>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Oltmans’ employment commenced in November 2020. The salary reported reflects the pro rata portion of Mr. Oltmans’ annualized salary of $390,000 that was earned during 2020. The bonus reflects a signing bonus that Mr. Oltmans received in connection with the commencement of his employment.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84"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2019 and 2020, we paid Dr. Gould an annualized base salary of $478,195 and $535,000, respectively. In 2019 and 2020, we paid</w:t>
      </w:r>
      <w:r>
        <w:rPr>
          <w:rFonts w:ascii="Arial" w:cs="Arial" w:eastAsia="Arial" w:hAnsi="Arial"/>
          <w:sz w:val="18"/>
          <w:szCs w:val="18"/>
          <w:i w:val="1"/>
          <w:iCs w:val="1"/>
          <w:color w:val="auto"/>
        </w:rPr>
        <w:t xml:space="preserve"> </w:t>
      </w:r>
      <w:r>
        <w:rPr>
          <w:rFonts w:ascii="Arial" w:cs="Arial" w:eastAsia="Arial" w:hAnsi="Arial"/>
          <w:sz w:val="18"/>
          <w:szCs w:val="18"/>
          <w:color w:val="auto"/>
        </w:rPr>
        <w:t>Mr. Stuart an annualized base salary of $406,823 and $440,000, respectively. In November 2020, in connection with the commencement of Mr. Oltmans’ employment, our board of directors set Mr. Oltmans annualized base salary at $390,000.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January 2021, our board of directors set Dr. Gould’s 2021 annual base salary at $553,725 and Mr. Stuart’s 2021 annual base salary at $455,400.</w:t>
      </w:r>
    </w:p>
    <w:p>
      <w:pPr>
        <w:spacing w:after="0" w:line="4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Mr. Oltmans’ annual base salary for 2021 remains $390,000. Effective March 31, 2021, Mr. Gould resigned as our president and chief executive officer and Mr. Stuart was appointed as our president and chief executive officer. In connection with such appointment, Mr. Stuart’s annual base salary was increased to $535,000.</w:t>
      </w:r>
    </w:p>
    <w:p>
      <w:pPr>
        <w:spacing w:after="0" w:line="190"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2020 target bonus amounts, expressed as a percentage of annual base salary, for our named executive officers were 50% for Dr. Gould and 40% for Mr. Stuart. The 2020 goals included development goals relating to advancing our product candidates for facioscapulohumeral muscular dystrophy and sickle cell disease, research goals relating to building a portfolio in genetically defined diseases and business operations goals relating to management of resources and stakeholder engagement. With respect to 2020 performance, our board of directors awarded bonuses of $240,750 and $158,400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Gould and Mr. Stuart, respectively. Mr. Oltmans was not eligible for an annual bonus for 2020 since he commenced employment in November 2020.</w:t>
      </w:r>
    </w:p>
    <w:p>
      <w:pPr>
        <w:spacing w:after="0" w:line="23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January 2021, our board of directors set 2021 target bonus amounts, expressed as a percentage of annual base salary, at 50% for Dr. Gould, 40% for Mr. Stuart, and 35% for Mr. Oltmans. In connection with Mr. Stuart’s appointment as our president and chief executive officer upon the resignation of Dr. Gould, Mr. Stuart’s 2021 target bonus amount was increased to 50%, effective as of March 31, 2021. Mr. Stuart’s bonus target for 2021 will be calculated on the basis of 40% of his base salary as of March 31, 2021, pro-rated for the first three months of 2021, and 50% of his increased base salary of $535,000, pro-rated for the remaining nine months of 2021.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awarded a signing bonus of $50,000 to Mr. Oltmans in connection with the commencement of his employment.</w:t>
      </w:r>
    </w:p>
    <w:p>
      <w:pPr>
        <w:spacing w:after="0" w:line="22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 xml:space="preserve">Equity Incentives. </w:t>
      </w:r>
      <w:r>
        <w:rPr>
          <w:rFonts w:ascii="Arial" w:cs="Arial" w:eastAsia="Arial" w:hAnsi="Arial"/>
          <w:sz w:val="17"/>
          <w:szCs w:val="17"/>
          <w:color w:val="auto"/>
        </w:rPr>
        <w:t>Although we do not have a formal policy with respect to the grant of equity incentive awards to our executive officers, or any formal</w:t>
      </w:r>
      <w:r>
        <w:rPr>
          <w:rFonts w:ascii="Arial" w:cs="Arial" w:eastAsia="Arial" w:hAnsi="Arial"/>
          <w:sz w:val="17"/>
          <w:szCs w:val="17"/>
          <w:i w:val="1"/>
          <w:iCs w:val="1"/>
          <w:color w:val="auto"/>
        </w:rPr>
        <w:t xml:space="preserve"> </w:t>
      </w:r>
      <w:r>
        <w:rPr>
          <w:rFonts w:ascii="Arial" w:cs="Arial" w:eastAsia="Arial" w:hAnsi="Arial"/>
          <w:sz w:val="17"/>
          <w:szCs w:val="17"/>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 July 2019, upon the commencement of trading of our common stock on the Nasdaq Global Market, we granted options to purchase 107,142 and 28,571 shares of our common stock to Dr. Gould and Mr. Stuart, respectively. In January 2020, we granted options to purchase 200,000 and 105,000 shares of our common stock to Dr. Gould and Mr. Stuart, respectively, each vesting in equal quarterly installments over a term of four years from January 1, 2020.</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January 2021, we granted an option to purchase 134,376 shares of our common stock to Mr. Stuart and, in February 2021, we granted an option to purchase 269,390 shares of our common stock to Dr. Gould. These options vest in equal quarterly installments over a term of four years from January 1, 2021. In connection with the Mr. Stuart’s appointment as our president and chief executive officer, we granted Mr. Stuart an option to purchase 350,000 shares of our common stock, vesting in equal quarterly installments over a term of four years from March 31, 2021.</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December 2020, we granted an option to purchase 153,600 shares of our common stock to Mr. Oltmans in connection with the commencement of his employment. These options vest as to 25% of the shares underlying the award on the first anniversary of the grant date and as to an additional 6.25% of the original number of shares underlying the award quarterly thereafter. Mr. Oltmans was not eligible for an annual equity incentive award for his performance in 2020 due to his commencing employment late in 2020.</w:t>
      </w:r>
    </w:p>
    <w:p>
      <w:pPr>
        <w:spacing w:after="0" w:line="187"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Prior to our initial public offering in July 2019, our executives were eligible to receive equity awards under our 2016 Stock Incentive Plan, as amended to date, or the 2016 Plan. Following our initial public offering, our employees and executives are eligible to receive stock options and other stock-based awards pursuant to our 2019 Stock Incentive Plan, or the 2019 Plan. Since our initial public offering, our named executive officers have solely received stock options for any equity awards granted to them.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award on the first anniversary of the grant date and as to an additional 6.25% of the original number of shares underlying the award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generally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19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Prior to our initial public offering we granted stock options with exercise prices equal to the fair market value of our common stock on the date of grant as determined by our board of directors, based on a number of objective and subjective factors. The exercise price of all stock options granted after the closing of our initial public offering is equal to the fair market value of shares of our common stock on the date of grant, which we determine by reference to the closing market price of our common stock on the Nasdaq Global Market on the date of grant.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December 31, 2020</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information regarding all outstanding stock options and shares of restricted stock held by each of our named executive officers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8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exercise</w:t>
            </w:r>
          </w:p>
        </w:tc>
        <w:tc>
          <w:tcPr>
            <w:tcW w:w="1240" w:type="dxa"/>
            <w:vAlign w:val="bottom"/>
            <w:gridSpan w:val="2"/>
            <w:vMerge w:val="continue"/>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options (#)</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options (#)</w:t>
            </w: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price</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5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3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194,677(2)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1/21/2029</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33,482</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73,660(4)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7/17/2029</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20,090(5)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235,254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37,500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162,500(6)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1/22/2030</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Bryan Stuart</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151,785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151,786(7)</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7.84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12/17/2028</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29,464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29,464(7)</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7.84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1/21/2029</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8,928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19,643(4)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7/17/2029</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19,688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85,312(6)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16.87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1/22/2030</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Curtis Oltmans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153,600(8)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12/2/2030</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price of our common stock is based on the closing price of our common stock on the Nasdaq Global Market on December 31, 2020 of $11.71 per share.</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January 1, 2019, subject to continued service.</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restricted stock award vests in equal quarterly installments over four years beginning on the vesting commencement date of January 1, 2017, subject to continued service.</w:t>
      </w:r>
    </w:p>
    <w:p>
      <w:pPr>
        <w:spacing w:after="0" w:line="75"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July 1, 2019, subject to continued service.</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restricted stock award vests in equal quarterly installments over four years beginning on the vesting commencement date of January 1, 2018, subject to continued service.</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January 1, 2020, subject to continued service.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option award vests over four years, with 25% of the shares vested on December 17, 2019 and 6.25% of the shares vesting thereafter in equal quarterly installments over three years, subject to continued service.</w:t>
      </w:r>
    </w:p>
    <w:p>
      <w:pPr>
        <w:spacing w:after="0" w:line="75"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option award vests over four years, with 25% of the shares vested on November 30, 2021 and 6.25% of the shares vesting thereafter in equal quarterly installments over three years, subject to continued service.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We have entered into written employment agreements with each of our named executive officers. In connection with Mr. Stuart’s appointment as our president and chief executive officer upon the resignation of Dr. Gould, we entered into a new employment agreement with Mr. Stuart effective March 31, 2021.</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These employment agreements set forth the terms of the executive officer’s compensation, including base salary and annual performance bonus opportunity. In addition, the agreements provide that, subject to eligibility requirements under the plan documents governing such programs and our policies, the executive officers are eligible to participate in company-sponsored benefit programs that are generally available to all of our similarly-situated employees. Each executive officer will also be eligible to receive equity awards at such times and on such terms and conditions as the board of directors may determine.</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Pursuant to their respective employment agreements, each of our named executive officers is entitled to an annual base salary as follows: Bryan Stuart is entitled to receive an annual base salary of $535,000 and Curtis Oltmans is entitled to receive an annual base salary of $390,000. Each named executive officer’s base salary is reviewed by our compensation committee and the board of directors on an annual or more frequent basis and is subject to change in the discretion of our board of directors or compensation committee. See “ – Narrative to Summary Compensation Table” for the 2020 and 2021 annual base salaries.</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their respective employment agreements, each of our named executive officers is also eligible to earn an annual performance bonus, with a target bonus amount equal to a specified percentage of such officer’s annual base salary, based upon the board’s assessment of the executive’s performance and our attainment of targeted goals as set by the board of directors in its sole discretion. The bonus may be in the form of cash, equity award, or a combination of cash and equity. Under the terms of their respective employment agreements, Mr. Stuart is eligible for an annual discretionary bonus of up to 50% of his base salary and Mr. Oltmans is eligible for an annual discretionary bonus of up to 35% of his base salary. Each named executive officer’s bonus target percentage is reviewed by our compensation committee and the board of directors on an annual or more frequent basis and is subject to change in the discretion of our board of directors or compensation committee. See “– Narrative to Summary Compensation Table” for the 2020 target bonus percentages, the actual 2020 bonus payouts and the 2021 target bonus percentages.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employment agreements and the employment of Mr. Stuart and Mr. Oltmans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Dr. Gould resigned as our president and chief executive officer effective March 31, 2021. During the period that Dr. Gould served as our president and chief executive officer he was entitled to the same severance benefits as stated below for Mr. Stuart.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Bryan Stuart</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Mr. Stuart was appointed as our president and chief executive officer, effective March 31, 2021. Prior to that, Mr. Stuart served as our chief operating officer. In connection with his appointment as our president and chief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officer, Mr. Stuart entered into a new employment agreement with us providing for, among other things, the following severance benefits.</w:t>
      </w:r>
    </w:p>
    <w:p>
      <w:pPr>
        <w:spacing w:after="0" w:line="24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the event of the termination of Mr. Stuart’s employment by us without cause, or by him for good reason, prior to or more than 12 months following a “change in control” (as change in control is defined in his employment agreement), Mr. Stuart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8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of the termination of Mr. Stuart’s employment by us without cause, or by him for good reason, within 12 months following a change in control, Mr. Stuart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Stuart is entitled to (1) continued payment of his then-current base salary (or, if higher, his base salary in effect immediately prior to the change in control),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2"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If Mr. Stuart’s employment is terminated for any other reason, including as a result of his death or disability, for cause, or voluntarily by Mr. Stuart without good reason, our obligations under the employment agreement cease immediately, and Mr. Stuart is only entitled to the accrued obligations.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Curtis Oltmans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event of the termination of Mr. Oltmans’ employment by us without cause, or by such executive officer for good reason, prior to or more than 12 months following a “change in control” (as change in control is defined in his employment agreement) (collectively, a “non-change in control termination”),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base salary, in accordance with our regular payroll procedures, for a period of 9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w:t>
      </w:r>
    </w:p>
    <w:p>
      <w:pPr>
        <w:spacing w:after="0" w:line="16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the event of the termination of Mr. Oltmans’ employment by us without cause, or by such executive officer for good reason, within 12 months following a change in control, such executive officer is entitled to the accrued obligations. In addition, subject to his execution and nonrevocation of a release of claims in our favor and his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continued compliance with his non-solicitation, confidential information and assignment of inventions agreement and any similar agreement with us, such executive officer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If Mr. Oltmans’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Non-Solicitation, Confidentiality and Assignment of Inventions Agreements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In connection with the employment agreements, each of our named executive officers has entered into a standard form agreement with respect to non-solicitation, confidential information and assignment of inventions.</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all compensation we paid to our non-employee directors during the year ended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Fees earned or</w:t>
            </w: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paid in cash</w:t>
            </w: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2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9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J. Collins</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47,000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103,434</w:t>
            </w:r>
          </w:p>
        </w:tc>
        <w:tc>
          <w:tcPr>
            <w:tcW w:w="9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150,434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Katina Dorton(3)</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55,000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188,986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243,986</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Ezekowitz</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49,000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224,815(4)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273,815</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James Geraghty</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50,500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103,434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153,934</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Kate Haviland</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47,500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103,434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150,934</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Mark Levin</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73,000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103,434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176,434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80" w:hanging="424"/>
        <w:spacing w:after="0" w:line="29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ASC 718. See Note 9 to our consolidated financial statements appearing in our annual report on Form 10-K, which was filed with the SEC on March 4, 2021, regarding 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spacing w:after="0" w:line="66" w:lineRule="exact"/>
        <w:rPr>
          <w:rFonts w:ascii="Arial" w:cs="Arial" w:eastAsia="Arial" w:hAnsi="Arial"/>
          <w:sz w:val="16"/>
          <w:szCs w:val="16"/>
          <w:color w:val="auto"/>
        </w:rPr>
      </w:pPr>
    </w:p>
    <w:p>
      <w:pPr>
        <w:ind w:left="540" w:right="140" w:hanging="424"/>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2020, the aggregate number of shares of our common stock subject to outstanding option awards for each non-employee director serving during 2020 was as follows: Dr. Collins, 22,141 shares; Ms. Dorton, 18,571 shares, Mr. Ezekowitz, 31,785 shares; Mr. Geraghty, 25,712 shares; Ms. Haviland, 42,141 shares; and Mr. Levin, 9,285 shares.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Dorton joined our board of directors in January 2020.</w:t>
      </w:r>
    </w:p>
    <w:p>
      <w:pPr>
        <w:spacing w:after="0" w:line="130" w:lineRule="exact"/>
        <w:rPr>
          <w:rFonts w:ascii="Arial" w:cs="Arial" w:eastAsia="Arial" w:hAnsi="Arial"/>
          <w:sz w:val="18"/>
          <w:szCs w:val="18"/>
          <w:color w:val="auto"/>
        </w:rPr>
      </w:pPr>
    </w:p>
    <w:p>
      <w:pPr>
        <w:ind w:left="540" w:right="300" w:hanging="424"/>
        <w:spacing w:after="0" w:line="31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November 2020, Mr. Ezekowitz assumed the temporary role of clinical advisor to our company following the resignation of our senior vice president, clinical development. In addition to the annual equity award that Mr. Ezekowitz received in 2020 under our director compensation program, Mr. Ezekowitz also received an option to purchase 15,000 shares of our common stock in connection with his role as clinical advisor.</w:t>
      </w:r>
    </w:p>
    <w:p>
      <w:pPr>
        <w:spacing w:after="0" w:line="14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Dr. Gould, one of our directors who served as our president and chief executive officer until March 31, 2021, did not receive any additional compensation for his service as a director while serving as our president and a chief executive officer. Dr. Gould is one of our named executive officers for 2020 and, accordingly, the compensation that we paid to Dr. Gould is discussed above under “—Summary Compensation Table” and “—Narrative to Summary Compensation Table.” Following Dr. Gould’s resignation as our president and chief executive, he continues to serve on our board of directors and joined our Science and Technology Committee effective March 31, 2021. Mr. Stuart was appointed as our president and chief executive officer and as a member of our board of directors, effective March 31, 2021. Mr. Stuart will not receive any additional compensation for his service as a director.</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June 2019, our board of directors approved a director compensation program that became effective on July 17, 2019. Under this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are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Member Annual</w:t>
            </w:r>
          </w:p>
        </w:tc>
        <w:tc>
          <w:tcPr>
            <w:tcW w:w="44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Chair Incremental</w:t>
            </w:r>
          </w:p>
        </w:tc>
      </w:tr>
      <w:tr>
        <w:trPr>
          <w:trHeight w:val="171"/>
        </w:trPr>
        <w:tc>
          <w:tcPr>
            <w:tcW w:w="5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Fee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Annual Fee</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 Committee</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Science and Technology Committee</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also reimburse our non-employee directors for reasonable travel and other expenses incurred in connection with attending meetings of our board of directors and any committee of our board of directors on which he or she serves.</w:t>
      </w:r>
    </w:p>
    <w:p>
      <w:pPr>
        <w:spacing w:after="0" w:line="170"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addition, during 2020, under our director compensation program, each non-employee director received, upon his or her initial election or appointment to our board of directors, an option under our 2019 Plan to purchase 18,571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2020 annual meeting of stockholders, each non-employee director that served on our board of directors for at least six months received an option under the 2019 Plan to purchase 9,285 shares of our common stock under the 2019 Plan. Each of these options vests with respect to all of the shares underlying such option immediately prior to the Annual Meeting, subject to the non-employee director’s continued service as a director.</w:t>
      </w:r>
    </w:p>
    <w:p>
      <w:pPr>
        <w:spacing w:after="0" w:line="16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January 2021, our board of directors approved a revised director compensation program, effective January 25, 2021. Under our revised director compensation program, each non-employee director will receive, upon his or her initial election or appointment to our board of directors, an option under our 2019 Plan to purchase 30,000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an option under the 2019 Plan to purchase 15,000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spacing w:after="0" w:line="18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following table contains information about our 2016 Plan, our 2019 Plan and our 2019 Employee Stock Purchase Plan, or 2019 ESPP,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December 31, 2020</w:t>
            </w:r>
          </w:p>
        </w:tc>
        <w:tc>
          <w:tcPr>
            <w:tcW w:w="1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42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420" w:type="dxa"/>
            <w:vAlign w:val="bottom"/>
          </w:tcPr>
          <w:p>
            <w:pPr>
              <w:spacing w:after="0"/>
              <w:rPr>
                <w:sz w:val="12"/>
                <w:szCs w:val="12"/>
                <w:color w:val="auto"/>
              </w:rPr>
            </w:pPr>
          </w:p>
        </w:tc>
        <w:tc>
          <w:tcPr>
            <w:tcW w:w="18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options,</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warrants</w:t>
            </w: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and rights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and rights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61"/>
              <w:spacing w:after="0" w:line="142" w:lineRule="exact"/>
              <w:rPr>
                <w:sz w:val="20"/>
                <w:szCs w:val="20"/>
                <w:color w:val="auto"/>
              </w:rPr>
            </w:pPr>
            <w:r>
              <w:rPr>
                <w:rFonts w:ascii="Arial" w:cs="Arial" w:eastAsia="Arial" w:hAnsi="Arial"/>
                <w:sz w:val="14"/>
                <w:szCs w:val="14"/>
                <w:b w:val="1"/>
                <w:bCs w:val="1"/>
                <w:color w:val="auto"/>
              </w:rPr>
              <w:t>(b)</w:t>
            </w:r>
          </w:p>
        </w:tc>
        <w:tc>
          <w:tcPr>
            <w:tcW w:w="74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(1)(2)(3)</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2,962,347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2,194,615</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2,926,347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2,194,615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2016 Plan, 2019 Plan and 2019 ESPP.</w:t>
      </w:r>
    </w:p>
    <w:p>
      <w:pPr>
        <w:spacing w:after="0" w:line="130" w:lineRule="exact"/>
        <w:rPr>
          <w:rFonts w:ascii="Arial" w:cs="Arial" w:eastAsia="Arial" w:hAnsi="Arial"/>
          <w:sz w:val="18"/>
          <w:szCs w:val="18"/>
          <w:color w:val="auto"/>
        </w:rPr>
      </w:pPr>
    </w:p>
    <w:p>
      <w:pPr>
        <w:ind w:left="540" w:right="60" w:hanging="424"/>
        <w:spacing w:after="0" w:line="272"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December 31, 2020, 1,728,616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2021, the shares under the 2019 Plan were increased by 1,122,696 shares pursuant to the annual increase described above.</w:t>
      </w:r>
    </w:p>
    <w:p>
      <w:pPr>
        <w:spacing w:after="0" w:line="82" w:lineRule="exact"/>
        <w:rPr>
          <w:rFonts w:ascii="Arial" w:cs="Arial" w:eastAsia="Arial" w:hAnsi="Arial"/>
          <w:sz w:val="17"/>
          <w:szCs w:val="17"/>
          <w:color w:val="auto"/>
        </w:rPr>
      </w:pPr>
    </w:p>
    <w:p>
      <w:pPr>
        <w:jc w:val="both"/>
        <w:ind w:left="540" w:right="140" w:hanging="424"/>
        <w:spacing w:after="0" w:line="287"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December 31, 2019, 465,999 shares of our common stock were available for issuance under the 2019 ESPP, including 24,351 shares of our common stock subject to purchase during the current purchase period which commenced on November 15, 2020 and ends on May 14, 2021. The number of shares reserved for issuance under the 2019 ESPP will be increased on each January 1 through January 1, 2029 by the least of (i)</w:t>
      </w:r>
    </w:p>
    <w:p>
      <w:pPr>
        <w:spacing w:after="0" w:line="2" w:lineRule="exact"/>
        <w:rPr>
          <w:rFonts w:ascii="Arial" w:cs="Arial" w:eastAsia="Arial" w:hAnsi="Arial"/>
          <w:sz w:val="16"/>
          <w:szCs w:val="16"/>
          <w:color w:val="auto"/>
        </w:rPr>
      </w:pPr>
    </w:p>
    <w:p>
      <w:pPr>
        <w:ind w:left="540" w:right="260"/>
        <w:spacing w:after="0" w:line="255" w:lineRule="auto"/>
        <w:rPr>
          <w:rFonts w:ascii="Arial" w:cs="Arial" w:eastAsia="Arial" w:hAnsi="Arial"/>
          <w:sz w:val="16"/>
          <w:szCs w:val="16"/>
          <w:color w:val="auto"/>
        </w:rPr>
      </w:pPr>
      <w:r>
        <w:rPr>
          <w:rFonts w:ascii="Arial" w:cs="Arial" w:eastAsia="Arial" w:hAnsi="Arial"/>
          <w:sz w:val="18"/>
          <w:szCs w:val="18"/>
          <w:color w:val="auto"/>
        </w:rPr>
        <w:t>428,571 shares, (ii) 1% of the number of shares of our common stock outstanding on the first day of such year or (iii) an amount determined by our board of directors. On January 1, 2021, the shares under the 2019 ESPP were increased by 280,674 shares pursuant to annual increase described above.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following is a description of transactions since January 1, 2019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GSK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On February 8, 2019, we entered into a right of reference and license agreement with affiliates of GlaxoSmithKline plc, or GSK, pursuant to which GSK granted us a right of reference to certain investigational new drug applications filed with the U.S. Food and Drug Administration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 Upon the closing of our initial public offering, all of the outstanding shares of our series B preferred stock converted into shares of our common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Initial Public Offering</w:t>
      </w:r>
    </w:p>
    <w:p>
      <w:pPr>
        <w:spacing w:after="0" w:line="12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In July 2019, we completed our initial public offering in which we issued and sold an aggregate of 4,500,000 shares of our common stock at a price to the public of $16.00 per share. Certain holders of more than 5% of our voting securities at the time of our initial public offering and their affiliates purchased an aggregate of 850,000 shares of our common stock in the initial public offering. Each of those purchases was made through the underwriters at the initial public offering price. The following table sets forth the number of shares of our common stock purchased by such 5% stockholders and their affiliates and the aggregate purchase price paid for such shares.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5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9"/>
              </w:rPr>
              <w:t>Shares of Common Stock</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Aggregate Purchase</w:t>
            </w: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 Rock Ventures III, L.P.(1)</w:t>
            </w:r>
          </w:p>
        </w:tc>
        <w:tc>
          <w:tcPr>
            <w:tcW w:w="9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Third Rock Ventures IV, L.P.(1)</w:t>
            </w:r>
          </w:p>
        </w:tc>
        <w:tc>
          <w:tcPr>
            <w:tcW w:w="2560" w:type="dxa"/>
            <w:vAlign w:val="bottom"/>
            <w:gridSpan w:val="2"/>
          </w:tcPr>
          <w:p>
            <w:pPr>
              <w:jc w:val="right"/>
              <w:ind w:right="1020"/>
              <w:spacing w:after="0"/>
              <w:rPr>
                <w:sz w:val="20"/>
                <w:szCs w:val="20"/>
                <w:color w:val="auto"/>
              </w:rPr>
            </w:pPr>
            <w:r>
              <w:rPr>
                <w:rFonts w:ascii="Arial" w:cs="Arial" w:eastAsia="Arial" w:hAnsi="Arial"/>
                <w:sz w:val="18"/>
                <w:szCs w:val="18"/>
                <w:color w:val="auto"/>
              </w:rPr>
              <w:t>81,250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Foresite Capital Fund IV, L.P.</w:t>
            </w:r>
          </w:p>
        </w:tc>
        <w:tc>
          <w:tcPr>
            <w:tcW w:w="25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187,500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FMR LLC(1)</w:t>
            </w:r>
          </w:p>
        </w:tc>
        <w:tc>
          <w:tcPr>
            <w:tcW w:w="2560" w:type="dxa"/>
            <w:vAlign w:val="bottom"/>
            <w:gridSpan w:val="2"/>
          </w:tcPr>
          <w:p>
            <w:pPr>
              <w:jc w:val="right"/>
              <w:ind w:right="1020"/>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Private Placement</w:t>
      </w:r>
    </w:p>
    <w:p>
      <w:pPr>
        <w:spacing w:after="0" w:line="121"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In June 2020, we issued and sold to accredited investors in a private placement an aggregate of 4,029,411 shares of our common stock at a price of $17.00 per share. Certain holders of more than 5% of our voting securities at the time of the private placement and their affiliates purchased an aggregate of 676,469 shares of our common stock in the private placement. The following table sets forth the number of shares of our common stock purchased by such 5% stockholders and their affiliates and the aggregate purchase price paid for such shares.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9"/>
              </w:rPr>
              <w:t>Shares of Common Stock</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Aggregate Purchase</w:t>
            </w:r>
          </w:p>
        </w:tc>
        <w:tc>
          <w:tcPr>
            <w:tcW w:w="0" w:type="dxa"/>
            <w:vAlign w:val="bottom"/>
          </w:tcPr>
          <w:p>
            <w:pPr>
              <w:spacing w:after="0"/>
              <w:rPr>
                <w:sz w:val="1"/>
                <w:szCs w:val="1"/>
                <w:color w:val="auto"/>
              </w:rPr>
            </w:pPr>
          </w:p>
        </w:tc>
      </w:tr>
      <w:tr>
        <w:trPr>
          <w:trHeight w:val="171"/>
        </w:trPr>
        <w:tc>
          <w:tcPr>
            <w:tcW w:w="394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Foresite Capital Fund IV, L.P.</w:t>
            </w:r>
          </w:p>
        </w:tc>
        <w:tc>
          <w:tcPr>
            <w:tcW w:w="2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235,293</w:t>
            </w: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Casdin Partners Master Fund, L.P.</w:t>
            </w:r>
          </w:p>
        </w:tc>
        <w:tc>
          <w:tcPr>
            <w:tcW w:w="5780" w:type="dxa"/>
            <w:vAlign w:val="bottom"/>
            <w:gridSpan w:val="4"/>
          </w:tcPr>
          <w:p>
            <w:pPr>
              <w:jc w:val="right"/>
              <w:ind w:right="1020"/>
              <w:spacing w:after="0"/>
              <w:rPr>
                <w:sz w:val="20"/>
                <w:szCs w:val="20"/>
                <w:color w:val="auto"/>
              </w:rPr>
            </w:pPr>
            <w:r>
              <w:rPr>
                <w:rFonts w:ascii="Arial" w:cs="Arial" w:eastAsia="Arial" w:hAnsi="Arial"/>
                <w:sz w:val="18"/>
                <w:szCs w:val="18"/>
                <w:color w:val="auto"/>
              </w:rPr>
              <w:t>441,176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4"/>
                <w:szCs w:val="24"/>
                <w:color w:val="auto"/>
              </w:rPr>
            </w:pPr>
          </w:p>
        </w:tc>
        <w:tc>
          <w:tcPr>
            <w:tcW w:w="226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are a party to an investor rights agreement with certain holders of our common stock, including some of our 5% stockholders and their affiliates and entities affiliated with some of our directors. This investor rights agreement provides these holders the right, subject to certain conditions, to demand that we file a registration statement or to request that their shares be covered by a registration statement that we are otherwise filing.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board of directors has adopted written policies and procedures for the review of any transaction, arrangement or relationship in which our company is a participant, the amount involved exceeds (i) the lesser of $120,000 and one percent of our average total assets at year end for the last two completed fiscal years, if we are a “smaller 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7" w:lineRule="exact"/>
        <w:rPr>
          <w:sz w:val="20"/>
          <w:szCs w:val="20"/>
          <w:color w:val="auto"/>
        </w:rPr>
      </w:pPr>
    </w:p>
    <w:p>
      <w:pPr>
        <w:jc w:val="both"/>
        <w:ind w:left="120" w:right="620"/>
        <w:spacing w:after="0" w:line="34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2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spacing w:after="0" w:line="342" w:lineRule="auto"/>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2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89" w:lineRule="exact"/>
        <w:rPr>
          <w:sz w:val="20"/>
          <w:szCs w:val="20"/>
          <w:color w:val="auto"/>
        </w:rPr>
      </w:pPr>
    </w:p>
    <w:p>
      <w:pPr>
        <w:ind w:left="1080" w:hanging="424"/>
        <w:spacing w:after="0" w:line="29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otherwise provided below, the following table sets forth information with respect to the beneficial ownership of our common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by:</w:t>
      </w:r>
    </w:p>
    <w:p>
      <w:pPr>
        <w:spacing w:after="0" w:line="11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to us to be the beneficial owner of 5% or more of the outstanding shares of our common stock.</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column entitled “Percentage of Shares Beneficially Owned” is based on a total of 32,677,454 shares of our common stock outstanding as of March 31, 2021.</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2021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100" w:type="dxa"/>
            <w:vAlign w:val="bottom"/>
            <w:vMerge w:val="restart"/>
          </w:tcPr>
          <w:p>
            <w:pPr>
              <w:jc w:val="center"/>
              <w:ind w:left="1213"/>
              <w:spacing w:after="0"/>
              <w:rPr>
                <w:sz w:val="20"/>
                <w:szCs w:val="20"/>
                <w:color w:val="auto"/>
              </w:rPr>
            </w:pPr>
            <w:r>
              <w:rPr>
                <w:rFonts w:ascii="Arial" w:cs="Arial" w:eastAsia="Arial" w:hAnsi="Arial"/>
                <w:sz w:val="14"/>
                <w:szCs w:val="14"/>
                <w:b w:val="1"/>
                <w:bCs w:val="1"/>
                <w:color w:val="auto"/>
                <w:w w:val="92"/>
              </w:rPr>
              <w:t>Number of Shares</w:t>
            </w:r>
          </w:p>
        </w:tc>
        <w:tc>
          <w:tcPr>
            <w:tcW w:w="12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220" w:type="dxa"/>
            <w:vAlign w:val="bottom"/>
            <w:gridSpan w:val="2"/>
          </w:tcPr>
          <w:p>
            <w:pPr>
              <w:jc w:val="center"/>
              <w:ind w:left="174"/>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100" w:type="dxa"/>
            <w:vAlign w:val="bottom"/>
          </w:tcPr>
          <w:p>
            <w:pPr>
              <w:jc w:val="center"/>
              <w:ind w:left="121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tcPr>
          <w:p>
            <w:pPr>
              <w:jc w:val="center"/>
              <w:ind w:left="17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3100" w:type="dxa"/>
            <w:vAlign w:val="bottom"/>
          </w:tcPr>
          <w:p>
            <w:pPr>
              <w:jc w:val="center"/>
              <w:ind w:left="1213"/>
              <w:spacing w:after="0"/>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9"/>
              </w:rPr>
              <w:t>Owned (%)</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3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Entities affiliated with Third Rock Ventures</w:t>
            </w:r>
            <w:r>
              <w:rPr>
                <w:rFonts w:ascii="Arial" w:cs="Arial" w:eastAsia="Arial" w:hAnsi="Arial"/>
                <w:sz w:val="15"/>
                <w:szCs w:val="15"/>
                <w:color w:val="auto"/>
              </w:rPr>
              <w:t>(1)</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8,305,356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RTW Investments, LP</w:t>
            </w:r>
            <w:r>
              <w:rPr>
                <w:rFonts w:ascii="Arial" w:cs="Arial" w:eastAsia="Arial" w:hAnsi="Arial"/>
                <w:sz w:val="15"/>
                <w:szCs w:val="15"/>
                <w:color w:val="auto"/>
              </w:rPr>
              <w:t>(2)</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2,071,409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Glaxo Group Limited</w:t>
            </w:r>
            <w:r>
              <w:rPr>
                <w:rFonts w:ascii="Arial" w:cs="Arial" w:eastAsia="Arial" w:hAnsi="Arial"/>
                <w:sz w:val="15"/>
                <w:szCs w:val="15"/>
                <w:color w:val="auto"/>
              </w:rPr>
              <w:t>(3)</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1,785,714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(4)</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1,749,736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Robert J. Gould</w:t>
            </w:r>
            <w:r>
              <w:rPr>
                <w:rFonts w:ascii="Arial" w:cs="Arial" w:eastAsia="Arial" w:hAnsi="Arial"/>
                <w:sz w:val="15"/>
                <w:szCs w:val="15"/>
                <w:color w:val="auto"/>
              </w:rPr>
              <w:t>(5)</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805,888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Bryan Stuart</w:t>
            </w:r>
            <w:r>
              <w:rPr>
                <w:rFonts w:ascii="Arial" w:cs="Arial" w:eastAsia="Arial" w:hAnsi="Arial"/>
                <w:sz w:val="15"/>
                <w:szCs w:val="15"/>
                <w:color w:val="auto"/>
              </w:rPr>
              <w:t>(6)</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257,616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Curtis Oltmans</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Mark Levin</w:t>
            </w:r>
            <w:r>
              <w:rPr>
                <w:rFonts w:ascii="Arial" w:cs="Arial" w:eastAsia="Arial" w:hAnsi="Arial"/>
                <w:sz w:val="15"/>
                <w:szCs w:val="15"/>
                <w:color w:val="auto"/>
              </w:rPr>
              <w:t>(7)</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5,962,202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James J. Collins</w:t>
            </w:r>
            <w:r>
              <w:rPr>
                <w:rFonts w:ascii="Arial" w:cs="Arial" w:eastAsia="Arial" w:hAnsi="Arial"/>
                <w:sz w:val="15"/>
                <w:szCs w:val="15"/>
                <w:color w:val="auto"/>
              </w:rPr>
              <w:t>(8)</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36,427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(9)</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8,254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Alan Ezekowitz</w:t>
            </w:r>
            <w:r>
              <w:rPr>
                <w:rFonts w:ascii="Arial" w:cs="Arial" w:eastAsia="Arial" w:hAnsi="Arial"/>
                <w:sz w:val="15"/>
                <w:szCs w:val="15"/>
                <w:color w:val="auto"/>
              </w:rPr>
              <w:t>(10)</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36,427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James Geraghty</w:t>
            </w:r>
            <w:r>
              <w:rPr>
                <w:rFonts w:ascii="Arial" w:cs="Arial" w:eastAsia="Arial" w:hAnsi="Arial"/>
                <w:sz w:val="15"/>
                <w:szCs w:val="15"/>
                <w:color w:val="auto"/>
              </w:rPr>
              <w:t>(11)</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97,141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Kate Haviland</w:t>
            </w:r>
            <w:r>
              <w:rPr>
                <w:rFonts w:ascii="Arial" w:cs="Arial" w:eastAsia="Arial" w:hAnsi="Arial"/>
                <w:sz w:val="15"/>
                <w:szCs w:val="15"/>
                <w:color w:val="auto"/>
              </w:rPr>
              <w:t>(12)</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25,490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i w:val="1"/>
                <w:iCs w:val="1"/>
                <w:color w:val="auto"/>
              </w:rPr>
              <w:t xml:space="preserve">All current executive officers and directors as a group </w:t>
            </w:r>
            <w:r>
              <w:rPr>
                <w:rFonts w:ascii="Arial" w:cs="Arial" w:eastAsia="Arial" w:hAnsi="Arial"/>
                <w:sz w:val="18"/>
                <w:szCs w:val="18"/>
                <w:color w:val="auto"/>
              </w:rPr>
              <w:t>(11 persons)</w:t>
            </w:r>
            <w:r>
              <w:rPr>
                <w:rFonts w:ascii="Arial" w:cs="Arial" w:eastAsia="Arial" w:hAnsi="Arial"/>
                <w:sz w:val="15"/>
                <w:szCs w:val="15"/>
                <w:color w:val="auto"/>
              </w:rPr>
              <w:t>(13)</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7,308,471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131" w:lineRule="exact"/>
        <w:rPr>
          <w:sz w:val="20"/>
          <w:szCs w:val="20"/>
          <w:color w:val="auto"/>
        </w:rPr>
      </w:pPr>
    </w:p>
    <w:p>
      <w:pPr>
        <w:ind w:left="540" w:right="140" w:hanging="424"/>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solely on a Schedule 13G filed by Third Rock Ventures III, L.P. on February 5, 2020 and a Schedule 13G filed by Third Rock Ventures IV, L.P. on February 5, 2020. Consists of (i) 5,962,202 shares of common stock held by Third Rock Ventures III, L.P., or TRV III LP, and (ii) 2,343,154 shares of common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96" w:lineRule="auto"/>
        <w:rPr>
          <w:sz w:val="20"/>
          <w:szCs w:val="20"/>
          <w:color w:val="auto"/>
        </w:rPr>
      </w:pPr>
      <w:r>
        <w:rPr>
          <w:rFonts w:ascii="Arial" w:cs="Arial" w:eastAsia="Arial" w:hAnsi="Arial"/>
          <w:sz w:val="16"/>
          <w:szCs w:val="16"/>
          <w:color w:val="auto"/>
        </w:rPr>
        <w:t>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67" w:lineRule="exact"/>
        <w:rPr>
          <w:sz w:val="20"/>
          <w:szCs w:val="20"/>
          <w:color w:val="auto"/>
        </w:rPr>
      </w:pPr>
    </w:p>
    <w:p>
      <w:pPr>
        <w:ind w:left="540" w:hanging="424"/>
        <w:spacing w:after="0" w:line="29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solely on a Schedule 13G filed by RTW Investments, LP and RTW Master Fund, Ltd. on February 12, 2021. Consists of 2,071,409 shares of common stock held by RTW Master Fund, Ltd. and one or more private funds, which are referred to herein collectively as the “Funds”, managed by RTW Investments, LP, or the Adviser. The Adviser, in its capacity as the investment manager of the Funds, has the power to vote and the power to direct the disposition of all shares held by the Funds, and accordingly, the Adviser may be deemed to beneficially own an aggregate of 2,071,409 shares. Roderick Wong is the managing partner of the Adviser. Each of the reporting persons disclaims beneficial ownership of the shares except to the extent of the reporting person’s pecuniary interest therein. The address of RTW Investments, LP is 40 10</w:t>
      </w:r>
      <w:r>
        <w:rPr>
          <w:rFonts w:ascii="Arial" w:cs="Arial" w:eastAsia="Arial" w:hAnsi="Arial"/>
          <w:sz w:val="13"/>
          <w:szCs w:val="13"/>
          <w:color w:val="auto"/>
        </w:rPr>
        <w:t>th</w:t>
      </w:r>
      <w:r>
        <w:rPr>
          <w:rFonts w:ascii="Arial" w:cs="Arial" w:eastAsia="Arial" w:hAnsi="Arial"/>
          <w:sz w:val="16"/>
          <w:szCs w:val="16"/>
          <w:color w:val="auto"/>
        </w:rPr>
        <w:t xml:space="preserve"> Avenue, Floor 7, New York, NY 10014 and the address of RTW Master Fund, Ltd. is 190 Elgin Avenue, George Town, Grand Cayman KY1-9001, Cayman Islands.</w:t>
      </w:r>
    </w:p>
    <w:p>
      <w:pPr>
        <w:spacing w:after="0" w:line="71" w:lineRule="exact"/>
        <w:rPr>
          <w:rFonts w:ascii="Arial" w:cs="Arial" w:eastAsia="Arial" w:hAnsi="Arial"/>
          <w:sz w:val="16"/>
          <w:szCs w:val="16"/>
          <w:color w:val="auto"/>
        </w:rPr>
      </w:pPr>
    </w:p>
    <w:p>
      <w:pPr>
        <w:ind w:left="540" w:right="340" w:hanging="424"/>
        <w:spacing w:after="0" w:line="286"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solely on a Schedule 13G filed by GlaxoSmithKline plc on February 14, 2020. Consists of 1,785,714 shares of common stock held by Glaxo Group Limited, an indirect wholly-owned subsidiary of GlaxoSmithKline plc, which beneficially owns the shares held by Glaxo Group Limited. The address of Glaxo Group Limited is 980 Great West Road, Brentford, Middlesex TW8 9GS England.</w:t>
      </w:r>
    </w:p>
    <w:p>
      <w:pPr>
        <w:spacing w:after="0" w:line="70" w:lineRule="exact"/>
        <w:rPr>
          <w:rFonts w:ascii="Arial" w:cs="Arial" w:eastAsia="Arial" w:hAnsi="Arial"/>
          <w:sz w:val="17"/>
          <w:szCs w:val="17"/>
          <w:color w:val="auto"/>
        </w:rPr>
      </w:pPr>
    </w:p>
    <w:p>
      <w:pPr>
        <w:ind w:left="540" w:right="100" w:hanging="424"/>
        <w:spacing w:after="0" w:line="269"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solely on a Schedule 13G filed by FMR LLC on February 8, 2021.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Massachusetts 02210.</w:t>
      </w:r>
    </w:p>
    <w:p>
      <w:pPr>
        <w:spacing w:after="0" w:line="84" w:lineRule="exact"/>
        <w:rPr>
          <w:rFonts w:ascii="Arial" w:cs="Arial" w:eastAsia="Arial" w:hAnsi="Arial"/>
          <w:sz w:val="17"/>
          <w:szCs w:val="17"/>
          <w:color w:val="auto"/>
        </w:rPr>
      </w:pPr>
    </w:p>
    <w:p>
      <w:pPr>
        <w:ind w:left="540" w:right="220" w:hanging="424"/>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506,630 shares of common stock held by Dr. Gould and 299,258 shares of common stock underlying options held by Dr. Gould that are exercisable as of March 31, 2021 or will become exercisable within 60 days after such date.</w:t>
      </w:r>
    </w:p>
    <w:p>
      <w:pPr>
        <w:spacing w:after="0" w:line="75" w:lineRule="exact"/>
        <w:rPr>
          <w:rFonts w:ascii="Arial" w:cs="Arial" w:eastAsia="Arial" w:hAnsi="Arial"/>
          <w:sz w:val="18"/>
          <w:szCs w:val="18"/>
          <w:color w:val="auto"/>
        </w:rPr>
      </w:pPr>
    </w:p>
    <w:p>
      <w:pPr>
        <w:ind w:left="540" w:right="460" w:hanging="424"/>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257,616 shares of common stock underlying options held by Mr. Stuart that are exercisable as of March 31, 2021 or will become exercisable within 60 days after such date.</w:t>
      </w:r>
    </w:p>
    <w:p>
      <w:pPr>
        <w:spacing w:after="0" w:line="75"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92"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23,571 shares of common stock held by Dr. Collins and 12,856 shares of common stock underlying options held by Dr. Collins that are exercisable as of March 31, 2021 or will become exercisable within 60 days after such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2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8,254 shares of common stock underlying options held by Ms. Dorton that are exercisable as of March 31, 2021 or will become exercisable within 60 days after such date.</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28,927 shares of common stock held by Dr. Ezekowitz and 7,500 shares of common stock underlying options held by Dr. Ezekowitz that are exercisable as of March 31, 2021 or will become exercisable within 60 days after such date.</w:t>
      </w:r>
    </w:p>
    <w:p>
      <w:pPr>
        <w:spacing w:after="0" w:line="75"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80,714 shares of common stock held by Mr. Geraghty and 16,427 shares of common stock underlying options held by Mr. Geraghty that are exercisable as of March 31, 2021 or will become exercisable within 60 days after such date.</w:t>
      </w:r>
    </w:p>
    <w:p>
      <w:pPr>
        <w:spacing w:after="0" w:line="75"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25,490 shares of common stock underlying options held by Ms. Haviland that are exercisable as of March 31, 2021 or will become exercisable within 60 days after such date.</w:t>
      </w:r>
    </w:p>
    <w:p>
      <w:pPr>
        <w:spacing w:after="0" w:line="75"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6,602,044 shares of common stock and 706,427 shares of common stock underlying options that are exercisable as of March 31, 2021 or will become exercisable within 60 days after such date.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audit committee has reviewed our audited consolidated financial statements for the fiscal year ended December 31, 2020 and discussed them with the Company’s management and Ernst &amp; Young LLP, the Company’s independent registered public accounting firm.</w:t>
      </w:r>
    </w:p>
    <w:p>
      <w:pPr>
        <w:spacing w:after="0" w:line="14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165"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consolidated financial statements be included in the Company’s Annual Report on Form 10-K for the year ended December 31,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audit committee of the board of directors of Fulcrum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Geraghty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Haviland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2020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 FOR OUR 2022 ANNUAL MEETING</w:t>
      </w:r>
    </w:p>
    <w:p>
      <w:pPr>
        <w:spacing w:after="0" w:line="22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 stockholder who would like to have a proposal considered for inclusion in our 2022 proxy statement must submit the proposal in accordance with the procedures outlined in Rule 14a-8 of the Exchange Act so that it is received by us no later than December 30, 2021. However, if the date of the 2022 annual meeting of stockholders is changed by more than 30 days from the date of the previous year’s meeting, then the deadline is a reasonable time before we begin to print and send our proxy statement for the 2022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2022 annual meeting of stockholders, the required notice must be received by our corporate secretary at our principal executive offices no earlier than February 9, 2022 and no later than March 11, 2022.</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1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92075</wp:posOffset>
            </wp:positionV>
            <wp:extent cx="2297430" cy="651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9743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Bryan Stuart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7"/>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2"/>
    </w:lvl>
  </w:abstractNum>
  <w:abstractNum w:abstractNumId="30">
    <w:nsid w:val="7C3DBD3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2021-04-29T08:03:01Z</dcterms:created>
  <dcterms:modified xsi:type="dcterms:W3CDTF">2021-04-29T08:03:01Z</dcterms:modified>
</cp:coreProperties>
</file>