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788628ds8.htm"/>
      <w:bookmarkStart w:id="1" w:name="ksd788628ds8"/>
      <w:bookmarkEnd w:id="0"/>
      <w:bookmarkEnd w:id="1"/>
      <w:r>
        <w:rPr>
          <w:rFonts w:ascii="Times New Roman" w:hAnsi="Times New Roman"/>
          <w:b/>
          <w:sz w:val="20"/>
        </w:rPr>
        <w:t xml:space="preserve">As filed with the Securities and Exchange Commission on February 27, 2024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FULCRUM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47-4839948</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26 Landsdowne Street</w:t>
            </w:r>
          </w:p>
          <w:p>
            <w:pPr>
              <w:pStyle w:val="TableContents"/>
              <w:bidi w:val="0"/>
              <w:spacing w:before="0" w:after="20"/>
              <w:jc w:val="center"/>
              <w:rPr>
                <w:rFonts w:ascii="Times New Roman" w:hAnsi="Times New Roman"/>
                <w:b/>
                <w:sz w:val="20"/>
              </w:rPr>
            </w:pPr>
            <w:r>
              <w:rPr>
                <w:rFonts w:ascii="Times New Roman" w:hAnsi="Times New Roman"/>
                <w:b/>
                <w:sz w:val="20"/>
              </w:rPr>
              <w:t>Cambridge, Massachusetts</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center"/>
              <w:rPr>
                <w:b/>
              </w:rPr>
            </w:pPr>
            <w:r>
              <w:rPr>
                <w:b/>
              </w:rPr>
              <w:t>02139</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2019 Stock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2019 Employee Stock Purchase Plan </w:t>
      </w:r>
    </w:p>
    <w:p>
      <w:pPr>
        <w:pStyle w:val="TextBody"/>
        <w:bidi w:val="0"/>
        <w:spacing w:before="0" w:after="0"/>
        <w:jc w:val="center"/>
        <w:rPr>
          <w:rFonts w:ascii="Times New Roman" w:hAnsi="Times New Roman"/>
          <w:b/>
          <w:sz w:val="20"/>
        </w:rPr>
      </w:pPr>
      <w:r>
        <w:rPr>
          <w:rFonts w:ascii="Times New Roman" w:hAnsi="Times New Roman"/>
          <w:b/>
          <w:sz w:val="20"/>
        </w:rPr>
        <w:t xml:space="preserve">2022 Inducement Stock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Inducement Stock Option Awards (August 2023  December 2023)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Alex C. Sapir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26 Landsdowne Street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Massachusetts 02139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 xml:space="preserve">(617) 651-8851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Mitchell Bloom, Esq.</w:t>
            </w:r>
          </w:p>
          <w:p>
            <w:pPr>
              <w:pStyle w:val="TableContents"/>
              <w:bidi w:val="0"/>
              <w:spacing w:before="0" w:after="0"/>
              <w:jc w:val="center"/>
              <w:rPr>
                <w:rFonts w:ascii="Times New Roman" w:hAnsi="Times New Roman"/>
                <w:b/>
                <w:sz w:val="20"/>
              </w:rPr>
            </w:pPr>
            <w:r>
              <w:rPr>
                <w:rFonts w:ascii="Times New Roman" w:hAnsi="Times New Roman"/>
                <w:b/>
                <w:sz w:val="20"/>
              </w:rPr>
              <w:t>Marianne Sarrazin, Esq.</w:t>
            </w:r>
          </w:p>
          <w:p>
            <w:pPr>
              <w:pStyle w:val="TableContents"/>
              <w:bidi w:val="0"/>
              <w:spacing w:before="0" w:after="0"/>
              <w:jc w:val="center"/>
              <w:rPr>
                <w:rFonts w:ascii="Times New Roman" w:hAnsi="Times New Roman"/>
                <w:b/>
                <w:sz w:val="20"/>
              </w:rPr>
            </w:pPr>
            <w:r>
              <w:rPr>
                <w:rFonts w:ascii="Times New Roman" w:hAnsi="Times New Roman"/>
                <w:b/>
                <w:sz w:val="20"/>
              </w:rPr>
              <w:t>Goodwin Procter LLP</w:t>
            </w:r>
          </w:p>
          <w:p>
            <w:pPr>
              <w:pStyle w:val="TableContents"/>
              <w:bidi w:val="0"/>
              <w:spacing w:before="0" w:after="0"/>
              <w:jc w:val="center"/>
              <w:rPr>
                <w:rFonts w:ascii="Times New Roman" w:hAnsi="Times New Roman"/>
                <w:b/>
                <w:sz w:val="20"/>
              </w:rPr>
            </w:pPr>
            <w:r>
              <w:rPr>
                <w:rFonts w:ascii="Times New Roman" w:hAnsi="Times New Roman"/>
                <w:b/>
                <w:sz w:val="20"/>
              </w:rPr>
              <w:t>100 Northern Avenue</w:t>
            </w:r>
          </w:p>
          <w:p>
            <w:pPr>
              <w:pStyle w:val="TableContents"/>
              <w:bidi w:val="0"/>
              <w:spacing w:before="0" w:after="0"/>
              <w:jc w:val="center"/>
              <w:rPr>
                <w:rFonts w:ascii="Times New Roman" w:hAnsi="Times New Roman"/>
                <w:b/>
                <w:sz w:val="20"/>
              </w:rPr>
            </w:pPr>
            <w:r>
              <w:rPr>
                <w:rFonts w:ascii="Times New Roman" w:hAnsi="Times New Roman"/>
                <w:b/>
                <w:sz w:val="20"/>
              </w:rPr>
              <w:t>Boston, MA 02210</w:t>
            </w:r>
          </w:p>
          <w:p>
            <w:pPr>
              <w:pStyle w:val="TableContents"/>
              <w:bidi w:val="0"/>
              <w:spacing w:before="0" w:after="20"/>
              <w:jc w:val="center"/>
              <w:rPr>
                <w:rFonts w:ascii="Times New Roman" w:hAnsi="Times New Roman"/>
                <w:b/>
                <w:sz w:val="20"/>
              </w:rPr>
            </w:pPr>
            <w:r>
              <w:rPr>
                <w:rFonts w:ascii="Times New Roman" w:hAnsi="Times New Roman"/>
                <w:b/>
                <w:sz w:val="20"/>
              </w:rPr>
              <w:t>(617) 570-1000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Curtis Oltmans, Esq.</w:t>
            </w:r>
          </w:p>
          <w:p>
            <w:pPr>
              <w:pStyle w:val="TableContents"/>
              <w:bidi w:val="0"/>
              <w:spacing w:before="0" w:after="0"/>
              <w:jc w:val="center"/>
              <w:rPr>
                <w:rFonts w:ascii="Times New Roman" w:hAnsi="Times New Roman"/>
                <w:b/>
                <w:sz w:val="20"/>
              </w:rPr>
            </w:pPr>
            <w:r>
              <w:rPr>
                <w:rFonts w:ascii="Times New Roman" w:hAnsi="Times New Roman"/>
                <w:b/>
                <w:sz w:val="20"/>
              </w:rPr>
              <w:t>Chief Legal Officer</w:t>
            </w:r>
          </w:p>
          <w:p>
            <w:pPr>
              <w:pStyle w:val="TableContents"/>
              <w:bidi w:val="0"/>
              <w:spacing w:before="0" w:after="0"/>
              <w:jc w:val="center"/>
              <w:rPr>
                <w:rFonts w:ascii="Times New Roman" w:hAnsi="Times New Roman"/>
                <w:b/>
                <w:sz w:val="20"/>
              </w:rPr>
            </w:pPr>
            <w:r>
              <w:rPr>
                <w:rFonts w:ascii="Times New Roman" w:hAnsi="Times New Roman"/>
                <w:b/>
                <w:sz w:val="20"/>
              </w:rPr>
              <w:t>Fulcrum Therapeutics, Inc.</w:t>
            </w:r>
          </w:p>
          <w:p>
            <w:pPr>
              <w:pStyle w:val="TableContents"/>
              <w:bidi w:val="0"/>
              <w:spacing w:before="0" w:after="0"/>
              <w:jc w:val="center"/>
              <w:rPr>
                <w:rFonts w:ascii="Times New Roman" w:hAnsi="Times New Roman"/>
                <w:b/>
                <w:sz w:val="20"/>
              </w:rPr>
            </w:pPr>
            <w:r>
              <w:rPr>
                <w:rFonts w:ascii="Times New Roman" w:hAnsi="Times New Roman"/>
                <w:b/>
                <w:sz w:val="20"/>
              </w:rPr>
              <w:t>26 Landsdowne Street</w:t>
            </w:r>
          </w:p>
          <w:p>
            <w:pPr>
              <w:pStyle w:val="TableContents"/>
              <w:bidi w:val="0"/>
              <w:spacing w:before="0" w:after="0"/>
              <w:jc w:val="center"/>
              <w:rPr>
                <w:rFonts w:ascii="Times New Roman" w:hAnsi="Times New Roman"/>
                <w:b/>
                <w:sz w:val="20"/>
              </w:rPr>
            </w:pPr>
            <w:r>
              <w:rPr>
                <w:rFonts w:ascii="Times New Roman" w:hAnsi="Times New Roman"/>
                <w:b/>
                <w:sz w:val="20"/>
              </w:rPr>
              <w:t>Cambridge, Massachusetts 02139</w:t>
            </w:r>
          </w:p>
          <w:p>
            <w:pPr>
              <w:pStyle w:val="TableContents"/>
              <w:bidi w:val="0"/>
              <w:spacing w:before="0" w:after="20"/>
              <w:jc w:val="center"/>
              <w:rPr>
                <w:rFonts w:ascii="Times New Roman" w:hAnsi="Times New Roman"/>
                <w:b/>
                <w:sz w:val="20"/>
              </w:rPr>
            </w:pPr>
            <w:r>
              <w:rPr>
                <w:rFonts w:ascii="Times New Roman" w:hAnsi="Times New Roman"/>
                <w:b/>
                <w:sz w:val="20"/>
              </w:rPr>
              <w:t>(617) 651-8851</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pPr>
      <w:r>
        <w:rPr>
          <w:rFonts w:ascii="Times New Roman" w:hAnsi="Times New Roman"/>
          <w:sz w:val="20"/>
        </w:rPr>
        <w:t xml:space="preserve">Fulcrum Therapeutics, Inc. (Fulcrum) is filing this Registration Statement on Form S-8 for the purpose of registering an additional (i) 2,000,000 shares of its common stock, $0.001 par value per share (the Common Stock) under Fulcrums 2019 Stock Incentive Plan (the 2019 Plan), (ii) 428,571 shares of Common Stock under Fulcrums 2019 Employee Stock Purchase Plan (the ESPP), in the case of (i) and (ii) pursuant to the provisions for each plan that provide for annual automatic increases in the number of shares of Common Stock reserved for issuance under each plan, (iii) 724,080 shares of Common Stock issuable under new hire inducement stock option awards granted between August 2023 and December 2023 under Fulcrums 2022 Inducement Stock Incentive Plan, as amended (the Inducement Plan and, together with the ESPP and the 2019 Plan, the Plans) to certain employees of Fulcrum as inducement material to entry into employment with Fulcrum in accordance with Nasdaq Listing Rule 5635(c)(4), and (iv) 675,920 shares of Common Stock reserved for issuance under the Inducement Plan. In each case, the additional shares are of the same class as other securities for which a registration statement relating to the Plans has previously been filed and is effective. Accordingly, this registration statement incorporates by reference the contents of the registration statements on Form S-8 (File No.  </w:t>
      </w:r>
      <w:hyperlink r:id="rId2">
        <w:r>
          <w:rPr>
            <w:rStyle w:val="InternetLink"/>
            <w:rFonts w:ascii="Times New Roman" w:hAnsi="Times New Roman"/>
            <w:sz w:val="20"/>
          </w:rPr>
          <w:t>333-233452</w:t>
        </w:r>
      </w:hyperlink>
      <w:r>
        <w:rPr>
          <w:rFonts w:ascii="Times New Roman" w:hAnsi="Times New Roman"/>
          <w:sz w:val="20"/>
        </w:rPr>
        <w:t xml:space="preserve">) filed on August 26, 2019, Form S-8 (File No.  </w:t>
      </w:r>
      <w:hyperlink r:id="rId3">
        <w:r>
          <w:rPr>
            <w:rStyle w:val="InternetLink"/>
            <w:rFonts w:ascii="Times New Roman" w:hAnsi="Times New Roman"/>
            <w:sz w:val="20"/>
          </w:rPr>
          <w:t>333-236910</w:t>
        </w:r>
      </w:hyperlink>
      <w:r>
        <w:rPr>
          <w:rFonts w:ascii="Times New Roman" w:hAnsi="Times New Roman"/>
          <w:sz w:val="20"/>
        </w:rPr>
        <w:t xml:space="preserve">) filed on March 5, 2020, Form S-8 (File No.  </w:t>
      </w:r>
      <w:hyperlink r:id="rId4">
        <w:r>
          <w:rPr>
            <w:rStyle w:val="InternetLink"/>
            <w:rFonts w:ascii="Times New Roman" w:hAnsi="Times New Roman"/>
            <w:sz w:val="20"/>
          </w:rPr>
          <w:t>333-253862</w:t>
        </w:r>
      </w:hyperlink>
      <w:r>
        <w:rPr>
          <w:rFonts w:ascii="Times New Roman" w:hAnsi="Times New Roman"/>
          <w:sz w:val="20"/>
        </w:rPr>
        <w:t xml:space="preserve">) filed on March 4, 2021, Form S-8 (File No.  </w:t>
      </w:r>
      <w:hyperlink r:id="rId5">
        <w:r>
          <w:rPr>
            <w:rStyle w:val="InternetLink"/>
            <w:rFonts w:ascii="Times New Roman" w:hAnsi="Times New Roman"/>
            <w:sz w:val="20"/>
          </w:rPr>
          <w:t>333-262356</w:t>
        </w:r>
      </w:hyperlink>
      <w:r>
        <w:rPr>
          <w:rFonts w:ascii="Times New Roman" w:hAnsi="Times New Roman"/>
          <w:sz w:val="20"/>
        </w:rPr>
        <w:t xml:space="preserve">) filed on January 27, 2022, Form S-8 (File No.  </w:t>
      </w:r>
      <w:hyperlink r:id="rId6">
        <w:r>
          <w:rPr>
            <w:rStyle w:val="InternetLink"/>
            <w:rFonts w:ascii="Times New Roman" w:hAnsi="Times New Roman"/>
            <w:sz w:val="20"/>
          </w:rPr>
          <w:t>333-263249</w:t>
        </w:r>
      </w:hyperlink>
      <w:r>
        <w:rPr>
          <w:rFonts w:ascii="Times New Roman" w:hAnsi="Times New Roman"/>
          <w:sz w:val="20"/>
        </w:rPr>
        <w:t xml:space="preserve">) filed on March 3, 2022 and Form S-8 (File No.  </w:t>
      </w:r>
      <w:hyperlink r:id="rId7">
        <w:r>
          <w:rPr>
            <w:rStyle w:val="InternetLink"/>
            <w:rFonts w:ascii="Times New Roman" w:hAnsi="Times New Roman"/>
            <w:sz w:val="20"/>
          </w:rPr>
          <w:t>333-270385</w:t>
        </w:r>
      </w:hyperlink>
      <w:r>
        <w:rPr>
          <w:rFonts w:ascii="Times New Roman" w:hAnsi="Times New Roman"/>
          <w:sz w:val="20"/>
        </w:rPr>
        <w:t xml:space="preserve">) filed on March 9, 2023, pursuant to General Instruction E, except with respect to Item 8. Exhibits thereof.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9"/>
        <w:gridCol w:w="330"/>
        <w:gridCol w:w="9186"/>
      </w:tblGrid>
      <w:tr>
        <w:trPr/>
        <w:tc>
          <w:tcPr>
            <w:tcW w:w="689"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9186" w:type="dxa"/>
            <w:tcBorders/>
            <w:vAlign w:val="center"/>
          </w:tcPr>
          <w:p>
            <w:pPr>
              <w:pStyle w:val="TableContents"/>
              <w:bidi w:val="0"/>
              <w:spacing w:before="0" w:after="283"/>
              <w:jc w:val="left"/>
              <w:rPr>
                <w:sz w:val="4"/>
                <w:szCs w:val="4"/>
              </w:rPr>
            </w:pPr>
            <w:r>
              <w:rPr>
                <w:sz w:val="4"/>
                <w:szCs w:val="4"/>
              </w:rPr>
            </w:r>
          </w:p>
        </w:tc>
      </w:tr>
      <w:tr>
        <w:trPr/>
        <w:tc>
          <w:tcPr>
            <w:tcW w:w="68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330" w:type="dxa"/>
            <w:tcBorders/>
            <w:vAlign w:val="bottom"/>
          </w:tcPr>
          <w:p>
            <w:pPr>
              <w:pStyle w:val="TableContents"/>
              <w:bidi w:val="0"/>
              <w:spacing w:before="0" w:after="283"/>
              <w:jc w:val="left"/>
              <w:rPr/>
            </w:pPr>
            <w:r>
              <w:rPr/>
              <w:t>  </w:t>
            </w:r>
          </w:p>
        </w:tc>
        <w:tc>
          <w:tcPr>
            <w:tcW w:w="918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  </w:t>
            </w:r>
            <w:r>
              <w:rPr/>
              <w:t>4.1</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r:id="rId8">
              <w:r>
                <w:rPr>
                  <w:rStyle w:val="InternetLink"/>
                </w:rPr>
                <w:t xml:space="preserve">Restated Certificate of Incorporation of the registrant (incorporated by reference to Exhibit 3.1 to the registrants Current Report on Form 8-K filed with the Securities and Exchange Commission on July 22, 2019) </w:t>
              </w:r>
            </w:hyperlink>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  </w:t>
            </w:r>
            <w:r>
              <w:rPr/>
              <w:t>4.2</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r:id="rId9">
              <w:r>
                <w:rPr>
                  <w:rStyle w:val="InternetLink"/>
                </w:rPr>
                <w:t>Certificate of Amendment of the Restated Certificate of Incorporation of the registrant (incorporated by reference to Exhibit 3.1 to the registrants Current Report on Form 8-K filed with the Securities and Exchange Commission on June 9, 2023)</w:t>
              </w:r>
            </w:hyperlink>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  </w:t>
            </w:r>
            <w:r>
              <w:rPr/>
              <w:t>4.3</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r:id="rId10">
              <w:r>
                <w:rPr>
                  <w:rStyle w:val="InternetLink"/>
                </w:rPr>
                <w:t xml:space="preserve">Amended and Restated Bylaws of the registrant (incorporated by reference to Exhibit 3.2 to the registrants Current Report on Form 8-K filed with the Securities and Exchange Commission on July 22, 2019) </w:t>
              </w:r>
            </w:hyperlink>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  </w:t>
            </w:r>
            <w:r>
              <w:rPr/>
              <w:t>5.1*</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w:anchor="d788628dex51.htm">
              <w:r>
                <w:rPr>
                  <w:rStyle w:val="InternetLink"/>
                </w:rPr>
                <w:t xml:space="preserve">Opinion of Goodwin Procter LLP </w:t>
              </w:r>
            </w:hyperlink>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 </w:t>
            </w:r>
            <w:r>
              <w:rPr/>
              <w:t>23.1*</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w:anchor="d788628dex231.htm">
              <w:r>
                <w:rPr>
                  <w:rStyle w:val="InternetLink"/>
                </w:rPr>
                <w:t xml:space="preserve">Consent of Ernst &amp; Young LLP </w:t>
              </w:r>
            </w:hyperlink>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 </w:t>
            </w:r>
            <w:r>
              <w:rPr/>
              <w:t>23.2*</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w:anchor="d788628dex51.htm">
              <w:r>
                <w:rPr>
                  <w:rStyle w:val="InternetLink"/>
                </w:rPr>
                <w:t xml:space="preserve">Consent of Goodwin Procter LLP (included in Exhibit 5.1) </w:t>
              </w:r>
            </w:hyperlink>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 </w:t>
            </w:r>
            <w:r>
              <w:rPr/>
              <w:t>24.1*</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w:anchor="sig">
              <w:r>
                <w:rPr>
                  <w:rStyle w:val="InternetLink"/>
                </w:rPr>
                <w:t xml:space="preserve">Power of Attorney (included on signature page) </w:t>
              </w:r>
            </w:hyperlink>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 </w:t>
            </w:r>
            <w:r>
              <w:rPr/>
              <w:t>99.1</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r:id="rId11">
              <w:r>
                <w:rPr>
                  <w:rStyle w:val="InternetLink"/>
                </w:rPr>
                <w:t xml:space="preserve">2019 Stock Incentive Plan of the registrant (incorporated by reference to Exhibit 10.6 to Amendment No.  1 to the registrants Registration Statement on Form S-1 (File No. 333-232260) filed with the Securities and Exchange Commission on July 8, 2019) </w:t>
              </w:r>
            </w:hyperlink>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 </w:t>
            </w:r>
            <w:r>
              <w:rPr/>
              <w:t>99.2</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r:id="rId12">
              <w:r>
                <w:rPr>
                  <w:rStyle w:val="InternetLink"/>
                </w:rPr>
                <w:t xml:space="preserve">Form of Stock Option Agreement under the 2019 Stock Incentive Plan (incorporated by reference to Exhibit 10.7 to Amendment No.  1 to the registrants Registration Statement on Form S-1 (File No. 333-232260) filed with the Securities and Exchange Commission on July 8, 2019) </w:t>
              </w:r>
            </w:hyperlink>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 </w:t>
            </w:r>
            <w:r>
              <w:rPr/>
              <w:t>99.3</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r:id="rId13">
              <w:r>
                <w:rPr>
                  <w:rStyle w:val="InternetLink"/>
                </w:rPr>
                <w:t xml:space="preserve">Form of Restricted Stock Unit Agreement under the 2019 Stock Incentive Plan (incorporated by reference to Exhibit 10.10 to the registrants Annual Report on Form 10-K filed with the Securities and Exchange Commission on March 3, 2022) </w:t>
              </w:r>
            </w:hyperlink>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 </w:t>
            </w:r>
            <w:r>
              <w:rPr/>
              <w:t>99.4</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r:id="rId14">
              <w:r>
                <w:rPr>
                  <w:rStyle w:val="InternetLink"/>
                </w:rPr>
                <w:t xml:space="preserve">2019 Employee Stock Purchase Plan of the registrant (incorporated by reference to Exhibit 10.8 to Amendment No.  1 to the registrants Registration Statement on Form S-1 (File No. 333-232260) filed with the Securities and Exchange Commission on July 8, 2019) </w:t>
              </w:r>
            </w:hyperlink>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 </w:t>
            </w:r>
            <w:r>
              <w:rPr/>
              <w:t>99.5</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r:id="rId15">
              <w:r>
                <w:rPr>
                  <w:rStyle w:val="InternetLink"/>
                </w:rPr>
                <w:t xml:space="preserve">2022 Inducement Stock Incentive Plan (incorporated by reference to Exhibit 10.12 to the Registrants Annual Report on Form 10-K filed with the Securities and Exchange Commission on March 3, 2022) </w:t>
              </w:r>
            </w:hyperlink>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 </w:t>
            </w:r>
            <w:r>
              <w:rPr/>
              <w:t>99.6</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r:id="rId16">
              <w:r>
                <w:rPr>
                  <w:rStyle w:val="InternetLink"/>
                </w:rPr>
                <w:t xml:space="preserve">First Amendment to 2022 Inducement Stock Incentive Plan (incorporated by reference to Exhibit 10.13 to the Registrants Annual Report on Form 10-K filed with the Securities and Exchange Commission on March 8, 2023) </w:t>
              </w:r>
            </w:hyperlink>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 </w:t>
            </w:r>
            <w:r>
              <w:rPr/>
              <w:t>99.7</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r:id="rId17">
              <w:r>
                <w:rPr>
                  <w:rStyle w:val="InternetLink"/>
                </w:rPr>
                <w:t xml:space="preserve">Second Amendment to 2022 Inducement Stock Incentive Plan (incorporated by reference to Exhibit 10.12 to the Registrants Annual Report on Form 10-K filed with the Securities and Exchange Commission on February 27, 2024) </w:t>
              </w:r>
            </w:hyperlink>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 </w:t>
            </w:r>
            <w:r>
              <w:rPr/>
              <w:t>99.8</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r:id="rId18">
              <w:r>
                <w:rPr>
                  <w:rStyle w:val="InternetLink"/>
                </w:rPr>
                <w:t xml:space="preserve">Form of Non-Statutory Stock Option Agreement under the 2022 Inducement Stock Incentive Plan (incorporated by reference to Exhibit 10.13 to the registrants Annual Report on Form 10-K filed with the Securities and Exchange Commission on March 3, 2022) </w:t>
              </w:r>
            </w:hyperlink>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 </w:t>
            </w:r>
            <w:r>
              <w:rPr/>
              <w:t>99.9</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r:id="rId19">
              <w:r>
                <w:rPr>
                  <w:rStyle w:val="InternetLink"/>
                </w:rPr>
                <w:t xml:space="preserve">Form of Restricted Stock Unit Agreement under the 2022 Inducement Stock Incentive Plan (incorporated by reference to Exhibit 10.14 to the registrants Annual Report on Form 10-K filed with the Securities and Exchange Commission on March 3, 2022) </w:t>
              </w:r>
            </w:hyperlink>
          </w:p>
        </w:tc>
      </w:tr>
      <w:tr>
        <w:trPr>
          <w:trHeight w:val="120" w:hRule="atLeast"/>
        </w:trPr>
        <w:tc>
          <w:tcPr>
            <w:tcW w:w="689" w:type="dxa"/>
            <w:tcBorders/>
            <w:vAlign w:val="center"/>
          </w:tcPr>
          <w:p>
            <w:pPr>
              <w:pStyle w:val="TableContents"/>
              <w:bidi w:val="0"/>
              <w:spacing w:before="0" w:after="283"/>
              <w:jc w:val="left"/>
              <w:rPr>
                <w:sz w:val="4"/>
                <w:szCs w:val="4"/>
              </w:rPr>
            </w:pPr>
            <w:r>
              <w:rPr>
                <w:sz w:val="4"/>
                <w:szCs w:val="4"/>
              </w:rPr>
            </w:r>
          </w:p>
        </w:tc>
        <w:tc>
          <w:tcPr>
            <w:tcW w:w="9516"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107*</w:t>
            </w:r>
          </w:p>
        </w:tc>
        <w:tc>
          <w:tcPr>
            <w:tcW w:w="330"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283"/>
              <w:jc w:val="left"/>
              <w:rPr/>
            </w:pPr>
            <w:hyperlink w:anchor="d788628dexfilingfees.htm">
              <w:r>
                <w:rPr>
                  <w:rStyle w:val="InternetLink"/>
                </w:rPr>
                <w:t xml:space="preserve">Filing Fee Table </w:t>
              </w:r>
            </w:hyperlink>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27th day of February,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Fulcrum Therapeutics,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vAlign w:val="bottom"/>
          </w:tcPr>
          <w:p>
            <w:pPr>
              <w:pStyle w:val="TableContents"/>
              <w:bidi w:val="0"/>
              <w:spacing w:before="0" w:after="283"/>
              <w:jc w:val="left"/>
              <w:rPr/>
            </w:pPr>
            <w:r>
              <w:rPr/>
              <w:t>/s/ Alex C. Sapir</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Alex C. Sapir</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each of Alex C. Sapir and Alan Musso,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3"/>
        <w:gridCol w:w="121"/>
        <w:gridCol w:w="4304"/>
        <w:gridCol w:w="106"/>
        <w:gridCol w:w="1921"/>
      </w:tblGrid>
      <w:tr>
        <w:trPr/>
        <w:tc>
          <w:tcPr>
            <w:tcW w:w="375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0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37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1" w:type="dxa"/>
            <w:tcBorders/>
            <w:vAlign w:val="bottom"/>
          </w:tcPr>
          <w:p>
            <w:pPr>
              <w:pStyle w:val="TableContents"/>
              <w:bidi w:val="0"/>
              <w:spacing w:before="0" w:after="283"/>
              <w:jc w:val="left"/>
              <w:rPr/>
            </w:pPr>
            <w:r>
              <w:rPr/>
              <w:t>  </w:t>
            </w:r>
          </w:p>
        </w:tc>
        <w:tc>
          <w:tcPr>
            <w:tcW w:w="43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6" w:type="dxa"/>
            <w:tcBorders/>
            <w:vAlign w:val="bottom"/>
          </w:tcPr>
          <w:p>
            <w:pPr>
              <w:pStyle w:val="TableContents"/>
              <w:bidi w:val="0"/>
              <w:spacing w:before="0" w:after="283"/>
              <w:jc w:val="left"/>
              <w:rPr/>
            </w:pPr>
            <w:r>
              <w:rPr/>
              <w:t> </w:t>
            </w:r>
          </w:p>
        </w:tc>
        <w:tc>
          <w:tcPr>
            <w:tcW w:w="19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3"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Alex C. Sapir</w:t>
            </w:r>
          </w:p>
          <w:p>
            <w:pPr>
              <w:pStyle w:val="TableContents"/>
              <w:bidi w:val="0"/>
              <w:spacing w:before="0" w:after="20"/>
              <w:jc w:val="left"/>
              <w:rPr>
                <w:rFonts w:ascii="Times New Roman" w:hAnsi="Times New Roman"/>
                <w:sz w:val="20"/>
              </w:rPr>
            </w:pPr>
            <w:r>
              <w:rPr>
                <w:rFonts w:ascii="Times New Roman" w:hAnsi="Times New Roman"/>
                <w:sz w:val="20"/>
              </w:rPr>
              <w:t>Alex C. Sapir</w:t>
            </w:r>
          </w:p>
        </w:tc>
        <w:tc>
          <w:tcPr>
            <w:tcW w:w="121" w:type="dxa"/>
            <w:tcBorders/>
            <w:vAlign w:val="bottom"/>
          </w:tcPr>
          <w:p>
            <w:pPr>
              <w:pStyle w:val="TableContents"/>
              <w:bidi w:val="0"/>
              <w:spacing w:before="0" w:after="283"/>
              <w:jc w:val="left"/>
              <w:rPr/>
            </w:pPr>
            <w:r>
              <w:rPr/>
              <w:t>  </w:t>
            </w:r>
          </w:p>
        </w:tc>
        <w:tc>
          <w:tcPr>
            <w:tcW w:w="4304"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and Chief Executive Officer,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left"/>
              <w:rPr/>
            </w:pPr>
            <w:r>
              <w:rPr/>
              <w:t>February 27, 2024</w:t>
            </w:r>
          </w:p>
        </w:tc>
      </w:tr>
      <w:tr>
        <w:trPr>
          <w:trHeight w:val="240" w:hRule="atLeast"/>
        </w:trPr>
        <w:tc>
          <w:tcPr>
            <w:tcW w:w="3753"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Alan Musso</w:t>
            </w:r>
          </w:p>
          <w:p>
            <w:pPr>
              <w:pStyle w:val="TableContents"/>
              <w:bidi w:val="0"/>
              <w:spacing w:before="0" w:after="20"/>
              <w:jc w:val="left"/>
              <w:rPr>
                <w:rFonts w:ascii="Times New Roman" w:hAnsi="Times New Roman"/>
                <w:sz w:val="20"/>
              </w:rPr>
            </w:pPr>
            <w:r>
              <w:rPr>
                <w:rFonts w:ascii="Times New Roman" w:hAnsi="Times New Roman"/>
                <w:sz w:val="20"/>
              </w:rPr>
              <w:t>Alan Musso</w:t>
            </w:r>
          </w:p>
        </w:tc>
        <w:tc>
          <w:tcPr>
            <w:tcW w:w="121" w:type="dxa"/>
            <w:tcBorders/>
            <w:vAlign w:val="bottom"/>
          </w:tcPr>
          <w:p>
            <w:pPr>
              <w:pStyle w:val="TableContents"/>
              <w:bidi w:val="0"/>
              <w:spacing w:before="0" w:after="283"/>
              <w:jc w:val="left"/>
              <w:rPr/>
            </w:pPr>
            <w:r>
              <w:rPr/>
              <w:t>  </w:t>
            </w:r>
          </w:p>
        </w:tc>
        <w:tc>
          <w:tcPr>
            <w:tcW w:w="4304"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left"/>
              <w:rPr/>
            </w:pPr>
            <w:r>
              <w:rPr/>
              <w:t>February 27, 2024</w:t>
            </w:r>
          </w:p>
        </w:tc>
      </w:tr>
      <w:tr>
        <w:trPr>
          <w:trHeight w:val="240" w:hRule="atLeast"/>
        </w:trPr>
        <w:tc>
          <w:tcPr>
            <w:tcW w:w="3753"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Gregory Tourangeau</w:t>
            </w:r>
          </w:p>
          <w:p>
            <w:pPr>
              <w:pStyle w:val="TableContents"/>
              <w:bidi w:val="0"/>
              <w:spacing w:before="0" w:after="20"/>
              <w:jc w:val="left"/>
              <w:rPr>
                <w:rFonts w:ascii="Times New Roman" w:hAnsi="Times New Roman"/>
                <w:sz w:val="20"/>
              </w:rPr>
            </w:pPr>
            <w:r>
              <w:rPr>
                <w:rFonts w:ascii="Times New Roman" w:hAnsi="Times New Roman"/>
                <w:sz w:val="20"/>
              </w:rPr>
              <w:t>Gregory Tourangeau</w:t>
            </w:r>
          </w:p>
        </w:tc>
        <w:tc>
          <w:tcPr>
            <w:tcW w:w="121" w:type="dxa"/>
            <w:tcBorders/>
            <w:vAlign w:val="bottom"/>
          </w:tcPr>
          <w:p>
            <w:pPr>
              <w:pStyle w:val="TableContents"/>
              <w:bidi w:val="0"/>
              <w:spacing w:before="0" w:after="283"/>
              <w:jc w:val="left"/>
              <w:rPr/>
            </w:pPr>
            <w:r>
              <w:rPr/>
              <w:t>  </w:t>
            </w:r>
          </w:p>
        </w:tc>
        <w:tc>
          <w:tcPr>
            <w:tcW w:w="4304" w:type="dxa"/>
            <w:tcBorders/>
          </w:tcPr>
          <w:p>
            <w:pPr>
              <w:pStyle w:val="TableContents"/>
              <w:bidi w:val="0"/>
              <w:spacing w:before="0" w:after="0"/>
              <w:jc w:val="center"/>
              <w:rPr>
                <w:rFonts w:ascii="Times New Roman" w:hAnsi="Times New Roman"/>
                <w:sz w:val="20"/>
              </w:rPr>
            </w:pPr>
            <w:r>
              <w:rPr>
                <w:rFonts w:ascii="Times New Roman" w:hAnsi="Times New Roman"/>
                <w:sz w:val="20"/>
              </w:rPr>
              <w:t>Vice President, Finance</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left"/>
              <w:rPr/>
            </w:pPr>
            <w:r>
              <w:rPr/>
              <w:t>February 27, 2024</w:t>
            </w:r>
          </w:p>
        </w:tc>
      </w:tr>
      <w:tr>
        <w:trPr>
          <w:trHeight w:val="240" w:hRule="atLeast"/>
        </w:trPr>
        <w:tc>
          <w:tcPr>
            <w:tcW w:w="3753"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Kate Haviland</w:t>
            </w:r>
          </w:p>
          <w:p>
            <w:pPr>
              <w:pStyle w:val="TableContents"/>
              <w:bidi w:val="0"/>
              <w:spacing w:before="0" w:after="20"/>
              <w:jc w:val="left"/>
              <w:rPr>
                <w:rFonts w:ascii="Times New Roman" w:hAnsi="Times New Roman"/>
                <w:sz w:val="20"/>
              </w:rPr>
            </w:pPr>
            <w:r>
              <w:rPr>
                <w:rFonts w:ascii="Times New Roman" w:hAnsi="Times New Roman"/>
                <w:sz w:val="20"/>
              </w:rPr>
              <w:t>Kate Haviland</w:t>
            </w:r>
          </w:p>
        </w:tc>
        <w:tc>
          <w:tcPr>
            <w:tcW w:w="121" w:type="dxa"/>
            <w:tcBorders/>
            <w:vAlign w:val="bottom"/>
          </w:tcPr>
          <w:p>
            <w:pPr>
              <w:pStyle w:val="TableContents"/>
              <w:bidi w:val="0"/>
              <w:spacing w:before="0" w:after="283"/>
              <w:jc w:val="left"/>
              <w:rPr/>
            </w:pPr>
            <w:r>
              <w:rPr/>
              <w:t>  </w:t>
            </w:r>
          </w:p>
        </w:tc>
        <w:tc>
          <w:tcPr>
            <w:tcW w:w="4304" w:type="dxa"/>
            <w:tcBorders/>
          </w:tcPr>
          <w:p>
            <w:pPr>
              <w:pStyle w:val="TableContents"/>
              <w:bidi w:val="0"/>
              <w:spacing w:before="0" w:after="283"/>
              <w:jc w:val="center"/>
              <w:rPr/>
            </w:pPr>
            <w:r>
              <w:rPr/>
              <w:t>Chairman of the Board</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left"/>
              <w:rPr/>
            </w:pPr>
            <w:r>
              <w:rPr/>
              <w:t>February 27, 2024</w:t>
            </w:r>
          </w:p>
        </w:tc>
      </w:tr>
      <w:tr>
        <w:trPr>
          <w:trHeight w:val="240" w:hRule="atLeast"/>
        </w:trPr>
        <w:tc>
          <w:tcPr>
            <w:tcW w:w="3753"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Robert J. Gould</w:t>
            </w:r>
          </w:p>
          <w:p>
            <w:pPr>
              <w:pStyle w:val="TableContents"/>
              <w:bidi w:val="0"/>
              <w:spacing w:before="0" w:after="20"/>
              <w:jc w:val="left"/>
              <w:rPr>
                <w:rFonts w:ascii="Times New Roman" w:hAnsi="Times New Roman"/>
                <w:sz w:val="20"/>
              </w:rPr>
            </w:pPr>
            <w:r>
              <w:rPr>
                <w:rFonts w:ascii="Times New Roman" w:hAnsi="Times New Roman"/>
                <w:sz w:val="20"/>
              </w:rPr>
              <w:t>Robert J. Gould</w:t>
            </w:r>
          </w:p>
        </w:tc>
        <w:tc>
          <w:tcPr>
            <w:tcW w:w="121" w:type="dxa"/>
            <w:tcBorders/>
            <w:vAlign w:val="bottom"/>
          </w:tcPr>
          <w:p>
            <w:pPr>
              <w:pStyle w:val="TableContents"/>
              <w:bidi w:val="0"/>
              <w:spacing w:before="0" w:after="283"/>
              <w:jc w:val="left"/>
              <w:rPr/>
            </w:pPr>
            <w:r>
              <w:rPr/>
              <w:t>  </w:t>
            </w:r>
          </w:p>
        </w:tc>
        <w:tc>
          <w:tcPr>
            <w:tcW w:w="4304"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left"/>
              <w:rPr/>
            </w:pPr>
            <w:r>
              <w:rPr/>
              <w:t>February 27, 2024</w:t>
            </w:r>
          </w:p>
        </w:tc>
      </w:tr>
      <w:tr>
        <w:trPr>
          <w:trHeight w:val="240" w:hRule="atLeast"/>
        </w:trPr>
        <w:tc>
          <w:tcPr>
            <w:tcW w:w="3753"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Sonja L. Banks</w:t>
            </w:r>
          </w:p>
          <w:p>
            <w:pPr>
              <w:pStyle w:val="TableContents"/>
              <w:bidi w:val="0"/>
              <w:spacing w:before="0" w:after="20"/>
              <w:jc w:val="left"/>
              <w:rPr>
                <w:rFonts w:ascii="Times New Roman" w:hAnsi="Times New Roman"/>
                <w:sz w:val="20"/>
              </w:rPr>
            </w:pPr>
            <w:r>
              <w:rPr>
                <w:rFonts w:ascii="Times New Roman" w:hAnsi="Times New Roman"/>
                <w:sz w:val="20"/>
              </w:rPr>
              <w:t>Sonja L. Banks</w:t>
            </w:r>
          </w:p>
        </w:tc>
        <w:tc>
          <w:tcPr>
            <w:tcW w:w="121" w:type="dxa"/>
            <w:tcBorders/>
            <w:vAlign w:val="bottom"/>
          </w:tcPr>
          <w:p>
            <w:pPr>
              <w:pStyle w:val="TableContents"/>
              <w:bidi w:val="0"/>
              <w:spacing w:before="0" w:after="283"/>
              <w:jc w:val="left"/>
              <w:rPr/>
            </w:pPr>
            <w:r>
              <w:rPr/>
              <w:t>  </w:t>
            </w:r>
          </w:p>
        </w:tc>
        <w:tc>
          <w:tcPr>
            <w:tcW w:w="4304"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left"/>
              <w:rPr/>
            </w:pPr>
            <w:r>
              <w:rPr/>
              <w:t>February 27, 2024</w:t>
            </w:r>
          </w:p>
        </w:tc>
      </w:tr>
      <w:tr>
        <w:trPr>
          <w:trHeight w:val="240" w:hRule="atLeast"/>
        </w:trPr>
        <w:tc>
          <w:tcPr>
            <w:tcW w:w="3753"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James J. Collins</w:t>
            </w:r>
          </w:p>
          <w:p>
            <w:pPr>
              <w:pStyle w:val="TableContents"/>
              <w:bidi w:val="0"/>
              <w:spacing w:before="0" w:after="20"/>
              <w:jc w:val="left"/>
              <w:rPr>
                <w:rFonts w:ascii="Times New Roman" w:hAnsi="Times New Roman"/>
                <w:sz w:val="20"/>
              </w:rPr>
            </w:pPr>
            <w:r>
              <w:rPr>
                <w:rFonts w:ascii="Times New Roman" w:hAnsi="Times New Roman"/>
                <w:sz w:val="20"/>
              </w:rPr>
              <w:t>James J. Collins</w:t>
            </w:r>
          </w:p>
        </w:tc>
        <w:tc>
          <w:tcPr>
            <w:tcW w:w="121" w:type="dxa"/>
            <w:tcBorders/>
            <w:vAlign w:val="bottom"/>
          </w:tcPr>
          <w:p>
            <w:pPr>
              <w:pStyle w:val="TableContents"/>
              <w:bidi w:val="0"/>
              <w:spacing w:before="0" w:after="283"/>
              <w:jc w:val="left"/>
              <w:rPr/>
            </w:pPr>
            <w:r>
              <w:rPr/>
              <w:t>  </w:t>
            </w:r>
          </w:p>
        </w:tc>
        <w:tc>
          <w:tcPr>
            <w:tcW w:w="4304"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left"/>
              <w:rPr/>
            </w:pPr>
            <w:r>
              <w:rPr/>
              <w:t>February 27, 2024</w:t>
            </w:r>
          </w:p>
        </w:tc>
      </w:tr>
      <w:tr>
        <w:trPr>
          <w:trHeight w:val="240" w:hRule="atLeast"/>
        </w:trPr>
        <w:tc>
          <w:tcPr>
            <w:tcW w:w="3753"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Katina Dorton</w:t>
            </w:r>
          </w:p>
          <w:p>
            <w:pPr>
              <w:pStyle w:val="TableContents"/>
              <w:bidi w:val="0"/>
              <w:spacing w:before="0" w:after="20"/>
              <w:jc w:val="left"/>
              <w:rPr>
                <w:rFonts w:ascii="Times New Roman" w:hAnsi="Times New Roman"/>
                <w:sz w:val="20"/>
              </w:rPr>
            </w:pPr>
            <w:r>
              <w:rPr>
                <w:rFonts w:ascii="Times New Roman" w:hAnsi="Times New Roman"/>
                <w:sz w:val="20"/>
              </w:rPr>
              <w:t>Katina Dorton</w:t>
            </w:r>
          </w:p>
        </w:tc>
        <w:tc>
          <w:tcPr>
            <w:tcW w:w="121" w:type="dxa"/>
            <w:tcBorders/>
            <w:vAlign w:val="bottom"/>
          </w:tcPr>
          <w:p>
            <w:pPr>
              <w:pStyle w:val="TableContents"/>
              <w:bidi w:val="0"/>
              <w:spacing w:before="0" w:after="283"/>
              <w:jc w:val="left"/>
              <w:rPr/>
            </w:pPr>
            <w:r>
              <w:rPr/>
              <w:t>  </w:t>
            </w:r>
          </w:p>
        </w:tc>
        <w:tc>
          <w:tcPr>
            <w:tcW w:w="4304"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left"/>
              <w:rPr/>
            </w:pPr>
            <w:r>
              <w:rPr/>
              <w:t>February 27, 2024</w:t>
            </w:r>
          </w:p>
        </w:tc>
      </w:tr>
      <w:tr>
        <w:trPr>
          <w:trHeight w:val="240" w:hRule="atLeast"/>
        </w:trPr>
        <w:tc>
          <w:tcPr>
            <w:tcW w:w="3753"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Alan Ezekowitz</w:t>
            </w:r>
          </w:p>
          <w:p>
            <w:pPr>
              <w:pStyle w:val="TableContents"/>
              <w:bidi w:val="0"/>
              <w:spacing w:before="0" w:after="20"/>
              <w:jc w:val="left"/>
              <w:rPr>
                <w:rFonts w:ascii="Times New Roman" w:hAnsi="Times New Roman"/>
                <w:sz w:val="20"/>
              </w:rPr>
            </w:pPr>
            <w:r>
              <w:rPr>
                <w:rFonts w:ascii="Times New Roman" w:hAnsi="Times New Roman"/>
                <w:sz w:val="20"/>
              </w:rPr>
              <w:t>Alan Ezekowitz</w:t>
            </w:r>
          </w:p>
        </w:tc>
        <w:tc>
          <w:tcPr>
            <w:tcW w:w="121" w:type="dxa"/>
            <w:tcBorders/>
            <w:vAlign w:val="bottom"/>
          </w:tcPr>
          <w:p>
            <w:pPr>
              <w:pStyle w:val="TableContents"/>
              <w:bidi w:val="0"/>
              <w:spacing w:before="0" w:after="283"/>
              <w:jc w:val="left"/>
              <w:rPr/>
            </w:pPr>
            <w:r>
              <w:rPr/>
              <w:t>  </w:t>
            </w:r>
          </w:p>
        </w:tc>
        <w:tc>
          <w:tcPr>
            <w:tcW w:w="4304"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left"/>
              <w:rPr/>
            </w:pPr>
            <w:r>
              <w:rPr/>
              <w:t>February 27, 2024</w:t>
            </w:r>
          </w:p>
        </w:tc>
      </w:tr>
      <w:tr>
        <w:trPr>
          <w:trHeight w:val="240" w:hRule="atLeast"/>
        </w:trPr>
        <w:tc>
          <w:tcPr>
            <w:tcW w:w="3753"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James Geraghty</w:t>
            </w:r>
          </w:p>
          <w:p>
            <w:pPr>
              <w:pStyle w:val="TableContents"/>
              <w:bidi w:val="0"/>
              <w:spacing w:before="0" w:after="20"/>
              <w:jc w:val="left"/>
              <w:rPr>
                <w:rFonts w:ascii="Times New Roman" w:hAnsi="Times New Roman"/>
                <w:sz w:val="20"/>
              </w:rPr>
            </w:pPr>
            <w:r>
              <w:rPr>
                <w:rFonts w:ascii="Times New Roman" w:hAnsi="Times New Roman"/>
                <w:sz w:val="20"/>
              </w:rPr>
              <w:t>James Geraghty</w:t>
            </w:r>
          </w:p>
        </w:tc>
        <w:tc>
          <w:tcPr>
            <w:tcW w:w="121" w:type="dxa"/>
            <w:tcBorders/>
            <w:vAlign w:val="bottom"/>
          </w:tcPr>
          <w:p>
            <w:pPr>
              <w:pStyle w:val="TableContents"/>
              <w:bidi w:val="0"/>
              <w:spacing w:before="0" w:after="283"/>
              <w:jc w:val="left"/>
              <w:rPr/>
            </w:pPr>
            <w:r>
              <w:rPr/>
              <w:t>  </w:t>
            </w:r>
          </w:p>
        </w:tc>
        <w:tc>
          <w:tcPr>
            <w:tcW w:w="4304"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left"/>
              <w:rPr/>
            </w:pPr>
            <w:r>
              <w:rPr/>
              <w:t>February 27, 2024</w:t>
            </w:r>
          </w:p>
        </w:tc>
      </w:tr>
    </w:tbl>
    <w:p>
      <w:pPr>
        <w:pStyle w:val="TextBody"/>
        <w:bidi w:val="0"/>
        <w:spacing w:before="0" w:after="0"/>
        <w:jc w:val="right"/>
        <w:rPr>
          <w:rFonts w:ascii="Times New Roman" w:hAnsi="Times New Roman"/>
          <w:b/>
          <w:sz w:val="20"/>
        </w:rPr>
      </w:pPr>
      <w:bookmarkStart w:id="3" w:name="d788628dex51.htm"/>
      <w:bookmarkStart w:id="4" w:name="ksd788628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1"/>
        <w:gridCol w:w="3368"/>
        <w:gridCol w:w="102"/>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left"/>
              <w:rPr/>
            </w:pPr>
            <w:r>
              <w:rPr/>
              <w:drawing>
                <wp:inline distT="0" distB="0" distL="0" distR="0">
                  <wp:extent cx="210502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0"/>
                          <a:stretch>
                            <a:fillRect/>
                          </a:stretch>
                        </pic:blipFill>
                        <pic:spPr bwMode="auto">
                          <a:xfrm>
                            <a:off x="0" y="0"/>
                            <a:ext cx="2105025" cy="600075"/>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p>
            <w:pPr>
              <w:pStyle w:val="TableContents"/>
              <w:bidi w:val="0"/>
              <w:spacing w:before="0" w:after="0"/>
              <w:jc w:val="left"/>
              <w:rPr>
                <w:rFonts w:ascii="Times New Roman" w:hAnsi="Times New Roman"/>
                <w:sz w:val="20"/>
              </w:rPr>
            </w:pPr>
            <w:r>
              <w:rPr>
                <w:rFonts w:ascii="Times New Roman" w:hAnsi="Times New Roman"/>
                <w:sz w:val="20"/>
              </w:rPr>
              <w:t>Three Embarcadero Center, Suite 2800</w:t>
            </w:r>
          </w:p>
          <w:p>
            <w:pPr>
              <w:pStyle w:val="TableContents"/>
              <w:bidi w:val="0"/>
              <w:spacing w:before="0" w:after="0"/>
              <w:jc w:val="left"/>
              <w:rPr>
                <w:rFonts w:ascii="Times New Roman" w:hAnsi="Times New Roman"/>
                <w:sz w:val="20"/>
              </w:rPr>
            </w:pPr>
            <w:r>
              <w:rPr>
                <w:rFonts w:ascii="Times New Roman" w:hAnsi="Times New Roman"/>
                <w:sz w:val="20"/>
              </w:rPr>
              <w:t>San Francisco, CA 94111</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goodwinlaw.com</w:t>
            </w:r>
          </w:p>
          <w:p>
            <w:pPr>
              <w:pStyle w:val="TableContents"/>
              <w:bidi w:val="0"/>
              <w:spacing w:before="0" w:after="0"/>
              <w:jc w:val="left"/>
              <w:rPr>
                <w:rFonts w:ascii="Times New Roman" w:hAnsi="Times New Roman"/>
                <w:sz w:val="20"/>
              </w:rPr>
            </w:pPr>
            <w:r>
              <w:rPr>
                <w:rFonts w:ascii="Times New Roman" w:hAnsi="Times New Roman"/>
                <w:sz w:val="20"/>
              </w:rPr>
              <w:t>+1 415 733 6000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February 27, 2024</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Massachusetts 02139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Securities Being Registered under Registration Statement on Form S-8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S-8 (the Registration Statement) pursuant to the Securities Act of 1933, as amended (the Securities Act), on or about the date hereof relating to an aggregate of 3,828,571 shares (the Shares) of Common Stock, $0.001 par value per share (Common Stock), of Fulcrum Therapeutics, Inc., a Delaware corporation (the Company), that may be issued pursuant to the Companys 2019 Stock Incentive Plan (the 2019 Plan), the Companys 2019 Employee Stock Purchase Plan (the ESPP) and the Companys 2022 Inducement Stock Incentive Plan (the Inducement Plan and, together with the ESPP and the 2019 Plan, the Plans).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set forth below, we have assumed that no event occurs that causes the number of authorized shares of Common Stock available for issuance by the Company to be less than the number of then unissued Shares.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the Shares have been duly authorized and, upon issuance and delivery against payment therefor in accordance with the terms of the Plans,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and the opinion it contains shall be interpreted in accordance with the Core Opinion Principles as published in 74 </w:t>
      </w:r>
      <w:r>
        <w:rPr>
          <w:rFonts w:ascii="Times New Roman" w:hAnsi="Times New Roman"/>
          <w:i/>
          <w:sz w:val="20"/>
        </w:rPr>
        <w:t>Business Lawyer</w:t>
      </w:r>
      <w:r>
        <w:rPr>
          <w:rFonts w:ascii="Times New Roman" w:hAnsi="Times New Roman"/>
          <w:sz w:val="20"/>
        </w:rPr>
        <w:t xml:space="preserve"> 815 (Summer 2019).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inclusion of this opinion as Exhibit 5.1 to the Registration Statement.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w:t>
            </w:r>
            <w:r>
              <w:rPr>
                <w:sz w:val="20"/>
              </w:rPr>
              <w:t>S</w:t>
            </w:r>
            <w:r>
              <w:rPr/>
              <w:t>/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GOODWIN PROCTER LLP</w:t>
            </w:r>
          </w:p>
        </w:tc>
      </w:tr>
    </w:tbl>
    <w:p>
      <w:pPr>
        <w:pStyle w:val="TextBody"/>
        <w:bidi w:val="0"/>
        <w:spacing w:before="0" w:after="0"/>
        <w:jc w:val="right"/>
        <w:rPr>
          <w:rFonts w:ascii="Times New Roman" w:hAnsi="Times New Roman"/>
          <w:b/>
          <w:sz w:val="20"/>
        </w:rPr>
      </w:pPr>
      <w:bookmarkStart w:id="5" w:name="d788628dex231.htm"/>
      <w:bookmarkStart w:id="6" w:name="ksd788628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2019 Stock Incentive Plan, the 2019 Employee Stock Purchase Plan, the 2022 Inducement Stock Incentive Plan, as amended, and Inducement Stock Option Awards (August 2023  December 2023) of Fulcrum Therapeutics, Inc. of our report dated February 27, 2024 with respect to the consolidated financial statements of Fulcrum Therapeutics, Inc. included in its Annual Report (Form 10-K) for the year ended December 31, 2023,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February 27, 2024 </w:t>
      </w:r>
    </w:p>
    <w:p>
      <w:pPr>
        <w:pStyle w:val="TextBody"/>
        <w:bidi w:val="0"/>
        <w:spacing w:before="0" w:after="0"/>
        <w:jc w:val="right"/>
        <w:rPr>
          <w:rFonts w:ascii="Times New Roman" w:hAnsi="Times New Roman"/>
          <w:b/>
          <w:sz w:val="20"/>
        </w:rPr>
      </w:pPr>
      <w:bookmarkStart w:id="7" w:name="d788628dexfilingfees.htm"/>
      <w:bookmarkStart w:id="8" w:name="ksd788628dexfilingfees"/>
      <w:bookmarkEnd w:id="7"/>
      <w:bookmarkEnd w:id="8"/>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S-8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1: Newly Registered Securities </w:t>
      </w:r>
    </w:p>
    <w:p>
      <w:pPr>
        <w:pStyle w:val="TextBody"/>
        <w:bidi w:val="0"/>
        <w:spacing w:before="0" w:after="0"/>
        <w:jc w:val="left"/>
        <w:rPr/>
      </w:pPr>
      <w:r>
        <w:rPr/>
        <w:t> </w:t>
      </w:r>
    </w:p>
    <w:tbl>
      <w:tblPr>
        <w:tblW w:w="10525" w:type="dxa"/>
        <w:jc w:val="center"/>
        <w:tblInd w:w="0" w:type="dxa"/>
        <w:tblLayout w:type="fixed"/>
        <w:tblCellMar>
          <w:top w:w="0" w:type="dxa"/>
          <w:left w:w="0" w:type="dxa"/>
          <w:bottom w:w="0" w:type="dxa"/>
          <w:right w:w="0" w:type="dxa"/>
        </w:tblCellMar>
      </w:tblPr>
      <w:tblGrid>
        <w:gridCol w:w="860"/>
        <w:gridCol w:w="60"/>
        <w:gridCol w:w="1565"/>
        <w:gridCol w:w="60"/>
        <w:gridCol w:w="1190"/>
        <w:gridCol w:w="60"/>
        <w:gridCol w:w="1355"/>
        <w:gridCol w:w="60"/>
        <w:gridCol w:w="1070"/>
        <w:gridCol w:w="60"/>
        <w:gridCol w:w="1520"/>
        <w:gridCol w:w="60"/>
        <w:gridCol w:w="1280"/>
        <w:gridCol w:w="60"/>
        <w:gridCol w:w="1265"/>
      </w:tblGrid>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86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6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60" w:type="dxa"/>
            <w:tcBorders>
              <w:left w:val="single" w:sz="2" w:space="0" w:color="000000"/>
            </w:tcBorders>
            <w:tcMar>
              <w:left w:w="160" w:type="dxa"/>
            </w:tcMar>
            <w:vAlign w:val="bottom"/>
          </w:tcPr>
          <w:p>
            <w:pPr>
              <w:pStyle w:val="TableContents"/>
              <w:bidi w:val="0"/>
              <w:spacing w:before="0" w:after="283"/>
              <w:jc w:val="center"/>
              <w:rPr>
                <w:b/>
              </w:rPr>
            </w:pPr>
            <w:r>
              <w:rPr>
                <w:b/>
              </w:rPr>
              <w:t>Security 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Security Class</w:t>
            </w:r>
          </w:p>
          <w:p>
            <w:pPr>
              <w:pStyle w:val="TableContents"/>
              <w:bidi w:val="0"/>
              <w:spacing w:before="0" w:after="20"/>
              <w:jc w:val="center"/>
              <w:rPr>
                <w:rFonts w:ascii="Times New Roman" w:hAnsi="Times New Roman"/>
                <w:b/>
                <w:sz w:val="14"/>
              </w:rPr>
            </w:pPr>
            <w:r>
              <w:rPr>
                <w:rFonts w:ascii="Times New Roman" w:hAnsi="Times New Roman"/>
                <w:b/>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b/>
              </w:rPr>
            </w:pPr>
            <w:r>
              <w:rPr>
                <w:b/>
              </w:rPr>
              <w:t>Fee</w:t>
              <w:br/>
              <w:t>Calculation</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center"/>
              <w:rPr>
                <w:b/>
              </w:rPr>
            </w:pPr>
            <w:r>
              <w:rPr>
                <w:b/>
              </w:rPr>
              <w:t>Amount</w:t>
              <w:br/>
              <w:t>Registered (1)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b/>
              </w:rPr>
            </w:pPr>
            <w:r>
              <w:rPr>
                <w:b/>
              </w:rPr>
              <w:t>Proposed</w:t>
              <w:br/>
              <w:t>Maximum</w:t>
              <w:br/>
              <w:t>Offering</w:t>
              <w:br/>
              <w:t>Price Per</w:t>
              <w:br/>
              <w:t>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Maximum</w:t>
            </w:r>
          </w:p>
          <w:p>
            <w:pPr>
              <w:pStyle w:val="TableContents"/>
              <w:bidi w:val="0"/>
              <w:spacing w:before="0" w:after="0"/>
              <w:jc w:val="center"/>
              <w:rPr>
                <w:rFonts w:ascii="Times New Roman" w:hAnsi="Times New Roman"/>
                <w:b/>
                <w:sz w:val="14"/>
              </w:rPr>
            </w:pPr>
            <w:r>
              <w:rPr>
                <w:rFonts w:ascii="Times New Roman" w:hAnsi="Times New Roman"/>
                <w:b/>
                <w:sz w:val="14"/>
              </w:rPr>
              <w:t>Aggregate</w:t>
            </w:r>
          </w:p>
          <w:p>
            <w:pPr>
              <w:pStyle w:val="TableContents"/>
              <w:bidi w:val="0"/>
              <w:spacing w:before="0" w:after="0"/>
              <w:jc w:val="center"/>
              <w:rPr>
                <w:rFonts w:ascii="Times New Roman" w:hAnsi="Times New Roman"/>
                <w:b/>
                <w:sz w:val="14"/>
              </w:rPr>
            </w:pPr>
            <w:r>
              <w:rPr>
                <w:rFonts w:ascii="Times New Roman" w:hAnsi="Times New Roman"/>
                <w:b/>
                <w:sz w:val="14"/>
              </w:rPr>
              <w:t>Offering</w:t>
            </w:r>
          </w:p>
          <w:p>
            <w:pPr>
              <w:pStyle w:val="TableContents"/>
              <w:bidi w:val="0"/>
              <w:spacing w:before="0" w:after="20"/>
              <w:jc w:val="center"/>
              <w:rPr>
                <w:rFonts w:ascii="Times New Roman" w:hAnsi="Times New Roman"/>
                <w:b/>
                <w:sz w:val="14"/>
              </w:rPr>
            </w:pPr>
            <w:r>
              <w:rPr>
                <w:rFonts w:ascii="Times New Roman" w:hAnsi="Times New Roman"/>
                <w:b/>
                <w:sz w:val="14"/>
              </w:rP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Fee</w:t>
            </w:r>
          </w:p>
          <w:p>
            <w:pPr>
              <w:pStyle w:val="TableContents"/>
              <w:bidi w:val="0"/>
              <w:spacing w:before="0" w:after="20"/>
              <w:jc w:val="center"/>
              <w:rPr>
                <w:rFonts w:ascii="Times New Roman" w:hAnsi="Times New Roman"/>
                <w:b/>
                <w:sz w:val="14"/>
              </w:rPr>
            </w:pPr>
            <w:r>
              <w:rPr>
                <w:rFonts w:ascii="Times New Roman" w:hAnsi="Times New Roman"/>
                <w:b/>
                <w:sz w:val="14"/>
              </w:rP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b/>
              </w:rPr>
            </w:pPr>
            <w:r>
              <w:rPr>
                <w:b/>
              </w:rPr>
              <w:t>Amount of</w:t>
              <w:br/>
              <w:t>Registration</w:t>
              <w:br/>
              <w:t>Fee</w:t>
            </w:r>
          </w:p>
        </w:tc>
      </w:tr>
      <w:tr>
        <w:trPr>
          <w:trHeight w:val="15" w:hRule="atLeast"/>
        </w:trPr>
        <w:tc>
          <w:tcPr>
            <w:tcW w:w="86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6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60" w:type="dxa"/>
            <w:tcBorders>
              <w:left w:val="single" w:sz="2" w:space="0" w:color="000000"/>
            </w:tcBorders>
            <w:tcMar>
              <w:left w:w="160" w:type="dxa"/>
            </w:tcMa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center"/>
              <w:rPr/>
            </w:pPr>
            <w:r>
              <w:rPr/>
              <w:t>Common Stock, $0.001 par value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457(c) and 457(h)(1)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center"/>
              <w:rPr/>
            </w:pPr>
            <w:r>
              <w:rPr/>
              <w:t>2,000,000 (2)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$9.42 (3)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$18,840,000.00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$0.00014760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$2,780.79</w:t>
            </w:r>
          </w:p>
        </w:tc>
      </w:tr>
      <w:tr>
        <w:trPr>
          <w:trHeight w:val="15" w:hRule="atLeast"/>
        </w:trPr>
        <w:tc>
          <w:tcPr>
            <w:tcW w:w="86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6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60" w:type="dxa"/>
            <w:tcBorders>
              <w:left w:val="single" w:sz="2" w:space="0" w:color="000000"/>
            </w:tcBorders>
            <w:tcMar>
              <w:left w:w="160" w:type="dxa"/>
            </w:tcMa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center"/>
              <w:rPr/>
            </w:pPr>
            <w:r>
              <w:rPr/>
              <w:t>Common Stock, $0.001 par value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457(c) and 457(h)(1)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center"/>
              <w:rPr/>
            </w:pPr>
            <w:r>
              <w:rPr/>
              <w:t>428,571 (4)</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$8.01 (5)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$3,432,853.71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$0.00014760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$506.69</w:t>
            </w:r>
          </w:p>
        </w:tc>
      </w:tr>
      <w:tr>
        <w:trPr>
          <w:trHeight w:val="15" w:hRule="atLeast"/>
        </w:trPr>
        <w:tc>
          <w:tcPr>
            <w:tcW w:w="86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6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60" w:type="dxa"/>
            <w:tcBorders>
              <w:left w:val="single" w:sz="2" w:space="0" w:color="000000"/>
            </w:tcBorders>
            <w:tcMar>
              <w:left w:w="160" w:type="dxa"/>
            </w:tcMa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center"/>
              <w:rPr/>
            </w:pPr>
            <w:r>
              <w:rPr/>
              <w:t>Common Stock, $0.001 par value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457(h)(1)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center"/>
              <w:rPr/>
            </w:pPr>
            <w:r>
              <w:rPr/>
              <w:t>724,080 (6)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$4.38 (7)</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$3,171,470.40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$0.00014760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$468.11</w:t>
            </w:r>
          </w:p>
        </w:tc>
      </w:tr>
      <w:tr>
        <w:trPr>
          <w:trHeight w:val="15" w:hRule="atLeast"/>
        </w:trPr>
        <w:tc>
          <w:tcPr>
            <w:tcW w:w="86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6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60" w:type="dxa"/>
            <w:tcBorders>
              <w:left w:val="single" w:sz="2" w:space="0" w:color="000000"/>
            </w:tcBorders>
            <w:tcMar>
              <w:left w:w="160" w:type="dxa"/>
            </w:tcMa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center"/>
              <w:rPr/>
            </w:pPr>
            <w:r>
              <w:rPr/>
              <w:t>Common Stock, $0.001 par value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457(c) and 457(h)(1)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center"/>
              <w:rPr/>
            </w:pPr>
            <w:r>
              <w:rPr/>
              <w:t>675,920 (8)</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$9.42 (3)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$6,367,166.40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$0.00014760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$939.80</w:t>
            </w:r>
          </w:p>
        </w:tc>
      </w:tr>
      <w:tr>
        <w:trPr>
          <w:trHeight w:val="15" w:hRule="atLeast"/>
        </w:trPr>
        <w:tc>
          <w:tcPr>
            <w:tcW w:w="515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150" w:type="dxa"/>
            <w:gridSpan w:val="7"/>
            <w:tcBorders>
              <w:left w:val="single" w:sz="2" w:space="0" w:color="000000"/>
            </w:tcBorders>
            <w:tcMar>
              <w:left w:w="160" w:type="dxa"/>
            </w:tcMar>
          </w:tcPr>
          <w:p>
            <w:pPr>
              <w:pStyle w:val="TableContents"/>
              <w:bidi w:val="0"/>
              <w:spacing w:before="0" w:after="283"/>
              <w:jc w:val="center"/>
              <w:rPr/>
            </w:pPr>
            <w:r>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$31,811,490.51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$4,695.39</w:t>
            </w:r>
          </w:p>
        </w:tc>
      </w:tr>
      <w:tr>
        <w:trPr>
          <w:trHeight w:val="15" w:hRule="atLeast"/>
        </w:trPr>
        <w:tc>
          <w:tcPr>
            <w:tcW w:w="515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150" w:type="dxa"/>
            <w:gridSpan w:val="7"/>
            <w:tcBorders>
              <w:left w:val="single" w:sz="2" w:space="0" w:color="000000"/>
            </w:tcBorders>
            <w:tcMar>
              <w:left w:w="160" w:type="dxa"/>
            </w:tcMar>
          </w:tcPr>
          <w:p>
            <w:pPr>
              <w:pStyle w:val="TableContents"/>
              <w:bidi w:val="0"/>
              <w:spacing w:before="0" w:after="283"/>
              <w:jc w:val="center"/>
              <w:rPr/>
            </w:pPr>
            <w:r>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$0</w:t>
            </w:r>
          </w:p>
        </w:tc>
      </w:tr>
      <w:tr>
        <w:trPr>
          <w:trHeight w:val="15" w:hRule="atLeast"/>
        </w:trPr>
        <w:tc>
          <w:tcPr>
            <w:tcW w:w="515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150" w:type="dxa"/>
            <w:gridSpan w:val="7"/>
            <w:tcBorders>
              <w:left w:val="single" w:sz="2" w:space="0" w:color="000000"/>
              <w:bottom w:val="single" w:sz="2" w:space="0" w:color="000000"/>
            </w:tcBorders>
            <w:tcMar>
              <w:left w:w="160" w:type="dxa"/>
              <w:bottom w:w="28" w:type="dxa"/>
            </w:tcMar>
          </w:tcPr>
          <w:p>
            <w:pPr>
              <w:pStyle w:val="TableContents"/>
              <w:bidi w:val="0"/>
              <w:spacing w:before="0" w:after="283"/>
              <w:jc w:val="center"/>
              <w:rPr/>
            </w:pP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$4,695.39</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Rule 416 under the Securities Act of 1933, as amended (the Act), this registration statement shall be deemed to cover any additional securities that may from time to time be offered or issued to prevent dilution resulting from stock splits, stock dividends or similar transactions. Pursuant to Rule 416(c) under the Act, this registration statement shall also cover an indeterminate amount of interests to be offered or sold pursuant to the employee benefit plans described herein.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2,000,000 shares issuable under the registrants 2019 Stock Incentive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calculating the registration fee pursuant to Rule 457(c) and (h)(1) of the Act, and based on $9.42, the average of the high and low sale prices of the registrants common stock as reported on the Nasdaq Global Market on February 21,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428,571 shares issuable under the registrants 2019 Employee Stock Purchase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calculating the registration fee pursuant to Rule 457(c) and (h)(1) of the Securities Act, and based on 85% of $9.42, the average of the high and low sale prices of the registrants common stock as reported on the Nasdaq Global Market on February 21,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issuable under new hire inducement stock option awards granted between August 2023 and December 2023 under the registrants 2022 Inducement Stock Incentive Plan, as amended (the Inducement Plan) to certain employees of the registrant as inducement material to entry into employment with the registrant in accordance with Nasdaq Rule 5635(c)(4).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calculating the registration fee pursuant to Rule 457(h)(1) of the Act, and based on $4.38, the weighted average exercise price (rounded to the nearest cent) of the options outstanding under the applicable inducement stock option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issuable under the registrants Inducement Plan.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80581/000119312519228520/d788707ds8.htm" TargetMode="External"/><Relationship Id="rId3" Type="http://schemas.openxmlformats.org/officeDocument/2006/relationships/hyperlink" Target="http://www.sec.gov/Archives/edgar/data/1680581/000119312520063092/d892970ds8.htm" TargetMode="External"/><Relationship Id="rId4" Type="http://schemas.openxmlformats.org/officeDocument/2006/relationships/hyperlink" Target="http://www.sec.gov/Archives/edgar/data/1680581/000119312521068461/d336358ds8.htm" TargetMode="External"/><Relationship Id="rId5" Type="http://schemas.openxmlformats.org/officeDocument/2006/relationships/hyperlink" Target="http://www.sec.gov/Archives/edgar/data/1680581/000119312522018556/d292390ds8.htm" TargetMode="External"/><Relationship Id="rId6" Type="http://schemas.openxmlformats.org/officeDocument/2006/relationships/hyperlink" Target="http://www.sec.gov/Archives/edgar/data/1680581/000119312522063643/d280734ds8.htm" TargetMode="External"/><Relationship Id="rId7" Type="http://schemas.openxmlformats.org/officeDocument/2006/relationships/hyperlink" Target="http://www.sec.gov/Archives/edgar/data/1680581/000119312523065374/d474974ds8.htm" TargetMode="External"/><Relationship Id="rId8" Type="http://schemas.openxmlformats.org/officeDocument/2006/relationships/hyperlink" Target="http://www.sec.gov/Archives/edgar/data/1680581/000104746919004324/a2239321zex-3_1.htm" TargetMode="External"/><Relationship Id="rId9" Type="http://schemas.openxmlformats.org/officeDocument/2006/relationships/hyperlink" Target="http://www.sec.gov/Archives/edgar/data/1680581/000119312523164435/d463131dex31.htm" TargetMode="External"/><Relationship Id="rId10" Type="http://schemas.openxmlformats.org/officeDocument/2006/relationships/hyperlink" Target="http://www.sec.gov/Archives/edgar/data/1680581/000104746919004324/a2239321zex-3_2.htm" TargetMode="External"/><Relationship Id="rId11" Type="http://schemas.openxmlformats.org/officeDocument/2006/relationships/hyperlink" Target="http://www.sec.gov/Archives/edgar/data/1680581/000104746919004014/a2239182zex-10_6.htm" TargetMode="External"/><Relationship Id="rId12" Type="http://schemas.openxmlformats.org/officeDocument/2006/relationships/hyperlink" Target="http://www.sec.gov/Archives/edgar/data/1680581/000104746919004014/a2239182zex-10_7.htm" TargetMode="External"/><Relationship Id="rId13" Type="http://schemas.openxmlformats.org/officeDocument/2006/relationships/hyperlink" Target="http://www.sec.gov/Archives/edgar/data/1680581/000095017022002727/fulc-ex10_10.htm" TargetMode="External"/><Relationship Id="rId14" Type="http://schemas.openxmlformats.org/officeDocument/2006/relationships/hyperlink" Target="http://www.sec.gov/Archives/edgar/data/1680581/000104746919004014/a2239182zex-10_8.htm" TargetMode="External"/><Relationship Id="rId15" Type="http://schemas.openxmlformats.org/officeDocument/2006/relationships/hyperlink" Target="http://www.sec.gov/Archives/edgar/data/1680581/000095017022002727/fulc-ex10_12.htm" TargetMode="External"/><Relationship Id="rId16" Type="http://schemas.openxmlformats.org/officeDocument/2006/relationships/hyperlink" Target="http://www.sec.gov/Archives/edgar/data/1680581/000095017023006841/fulc-ex10_13.htm" TargetMode="External"/><Relationship Id="rId17" Type="http://schemas.openxmlformats.org/officeDocument/2006/relationships/hyperlink" Target="http://www.sec.gov/Archives/edgar/data/1680581/000095017024021074/fulc-ex10_12.htm" TargetMode="External"/><Relationship Id="rId18" Type="http://schemas.openxmlformats.org/officeDocument/2006/relationships/hyperlink" Target="http://www.sec.gov/Archives/edgar/data/1680581/000095017022002727/fulc-ex10_13.htm" TargetMode="External"/><Relationship Id="rId19" Type="http://schemas.openxmlformats.org/officeDocument/2006/relationships/hyperlink" Target="http://www.sec.gov/Archives/edgar/data/1680581/000095017022002727/fulc-ex10_14.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2558</Words>
  <Characters>13370</Characters>
  <CharactersWithSpaces>15906</CharactersWithSpaces>
  <Paragraphs>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