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300" w:type="dxa"/>
        <w:tblCellMar>
          <w:top w:w="0" w:type="dxa"/>
          <w:left w:w="0" w:type="dxa"/>
          <w:bottom w:w="0" w:type="dxa"/>
          <w:right w:w="0" w:type="dxa"/>
        </w:tblCellMar>
      </w:tblPr>
      <w:tr>
        <w:trPr>
          <w:trHeight w:val="186"/>
        </w:trPr>
        <w:tc>
          <w:tcPr>
            <w:tcW w:w="3200" w:type="dxa"/>
            <w:vAlign w:val="bottom"/>
          </w:tcPr>
          <w:p>
            <w:pPr>
              <w:jc w:val="center"/>
              <w:ind w:right="90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481"/>
              <w:spacing w:after="0" w:line="186" w:lineRule="exact"/>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November 8, 2022, Fulcrum Therapeutics, Inc., or Fulcrum, announced its financial results for the quarter ended September 30, 2022. The full text of the press release issued in connection with the announcement is being furnished as Exhibit 99.1 to this Current Report on Form 8-K and is incorporated herein by reference.</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report are forward-looking statements, including statements regarding the strategic operational realignment, estimated cost savings, estimated charges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realize the cost savings from the realignment;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1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1821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Bryan Stuart</w:t>
      </w: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0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and Third Quarter 2022 Financial Results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Selected 12mg as the dose for next cohort in the Phase 1b trial of FTX-6058 in sickle cell disease (SCD)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Presented 96-week data from the Phase 2 ReDUX4 trial open label extension (OLE) study at World Muscle Society (WMS) conference</w:t>
      </w:r>
      <w:r>
        <w:rPr>
          <w:rFonts w:ascii="Times New Roman" w:cs="Times New Roman" w:eastAsia="Times New Roman" w:hAnsi="Times New Roman"/>
          <w:sz w:val="18"/>
          <w:szCs w:val="18"/>
          <w:b w:val="1"/>
          <w:bCs w:val="1"/>
          <w:i w:val="1"/>
          <w:iCs w:val="1"/>
          <w:color w:val="auto"/>
        </w:rPr>
        <w:t xml:space="preserve"> –</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Completed equity raise of approximately $80.8 million in net proceeds; Updated cash runway guidance into late 2024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Announced the appointments of Chief Medical Officer and Chief Scientific Officer –</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Conference call scheduled for 8:00 a.m. ET today</w:t>
      </w:r>
      <w:r>
        <w:rPr>
          <w:rFonts w:ascii="Times New Roman" w:cs="Times New Roman" w:eastAsia="Times New Roman" w:hAnsi="Times New Roman"/>
          <w:sz w:val="18"/>
          <w:szCs w:val="18"/>
          <w:b w:val="1"/>
          <w:bCs w:val="1"/>
          <w:color w:val="auto"/>
        </w:rPr>
        <w:t xml:space="preserve"> –</w:t>
      </w:r>
    </w:p>
    <w:p>
      <w:pPr>
        <w:spacing w:after="0" w:line="26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CAMBRIDGE, Mass. – November 8, 2022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improving the lives of patients with genetically defined rare diseases, today reported financial results for the third quarter of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we have continued our focus on strong clinical and operational execution. Now that we have established proof of concept for FTX-</w:t>
      </w:r>
    </w:p>
    <w:p>
      <w:pPr>
        <w:spacing w:after="0" w:line="2"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17"/>
          <w:szCs w:val="17"/>
          <w:color w:val="auto"/>
        </w:rPr>
        <w:t>6058 as an oral HbF inducer and have initiated our Phase 3 registration-enabling trial in FSHD, the team is focused on progressing our clinical programs and developing high-quality, compelling data,” said Bryan Stuart, president and chief executive officer. “We believe we are well positioned with a strong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runway to deliver on our upcoming catalysts as we prepare to have two registration-enabling trials in the next 18 months.”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Business Updates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FTX-6058</w:t>
      </w:r>
    </w:p>
    <w:p>
      <w:pPr>
        <w:spacing w:after="0" w:line="10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12mg as the dose for the third cohort in the Phase 1b SCD trial; plan to include participants both on and off hydroxyurea.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enroll patients at both 6mg and 2mg doses.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1b trial is expected to continue enrolling into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Losmapimod</w:t>
      </w:r>
    </w:p>
    <w:p>
      <w:pPr>
        <w:spacing w:after="0" w:line="10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96-week OLE data from the Phase 2 ReDUX4 trial at the WMS conference in October:</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97 percent of participants in the initial 48-week study continued into the OLE.</w:t>
      </w:r>
    </w:p>
    <w:p>
      <w:pPr>
        <w:spacing w:after="0" w:line="103"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oParticipants in the initial treatment-arm who continued to receive losmapimod demonstrated maintenance of effect through 96-weeks as measured by reachable workspace (RWS) mean change from baseline.</w:t>
      </w:r>
    </w:p>
    <w:p>
      <w:pPr>
        <w:spacing w:after="0" w:line="40" w:lineRule="exact"/>
        <w:rPr>
          <w:rFonts w:ascii="Times New Roman" w:cs="Times New Roman" w:eastAsia="Times New Roman" w:hAnsi="Times New Roman"/>
          <w:sz w:val="18"/>
          <w:szCs w:val="18"/>
          <w:color w:val="auto"/>
        </w:rPr>
      </w:pPr>
    </w:p>
    <w:p>
      <w:pPr>
        <w:ind w:left="154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oParticipants who crossed over from placebo to losmapimod after the initial 48-week trial period showed improvement and slowing of disease progression as measured by RWS mean change from baseline.</w:t>
      </w:r>
    </w:p>
    <w:p>
      <w:pPr>
        <w:spacing w:after="0" w:line="6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Losmapimod continued to demonstrate a favorable safety profile and was generally well tolerated.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enroll patients in REACH Phase 3 pivotal trial at sites in the U.S., Canada, the U.K., and Europe.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complete enrollment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Preclinical Pipeline</w:t>
      </w:r>
    </w:p>
    <w:p>
      <w:pPr>
        <w:spacing w:after="0" w:line="10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submit next Investigational New Drug application (IND)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Changes</w:t>
      </w:r>
    </w:p>
    <w:p>
      <w:pPr>
        <w:spacing w:after="0" w:line="10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appointment of Santiago Arroyo, MD., Ph.D. as chief medical officer. Dr. Arroyo joined Fulcrum on November 7th, 2022.</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appointment of Jeff W. Jacobs, Ph.D. as chief scientific officer. Dr. Jacobs will join Fulcrum as of December 1st,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2022 Financial Results</w:t>
      </w:r>
    </w:p>
    <w:p>
      <w:pPr>
        <w:spacing w:after="0" w:line="104" w:lineRule="exact"/>
        <w:rPr>
          <w:sz w:val="20"/>
          <w:szCs w:val="20"/>
          <w:color w:val="auto"/>
        </w:rPr>
      </w:pPr>
    </w:p>
    <w:p>
      <w:pPr>
        <w:ind w:left="1020" w:right="4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September 30, 2022, cash, cash equivalents, and marketable securities were $221.8 million as compared to $218.2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2021. The increase in cash is primarily tied to our equity offering in August 2022, partially offset by our net cash used in operating activities.</w:t>
      </w:r>
    </w:p>
    <w:p>
      <w:pPr>
        <w:spacing w:after="0" w:line="63"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$1.2 million for the third quarter of 2022 as compared to $4.9 million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The decrease of $3.7 million was primarily due to the winding down of Fulcrum's collaboration agreement with Acceleron Pharma Inc., a wholly owned subsidiary of Merck &amp; Co., Inc.</w:t>
      </w:r>
    </w:p>
    <w:p>
      <w:pPr>
        <w:spacing w:after="0" w:line="5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were $25.5 million for the third quarter of 2022 as compared to $25.7 million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A decrease of $1.7 million in R&amp;D expenses was primarily due to reduced discovery and external research and development costs. This was partially offset by an increase of $1.1 million in G&amp;A expenses due to employee-related costs to support the growth of the organization.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$23.7 million for the third quarter of 2022, as compared to a net loss of $20.7 million for the third quarter of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Fulcrum expects that its existing cash, cash equivalents, and marketable securities will be sufficient to fund its operating expenses and capital expenditure requirements into late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08"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discuss its third quarter 2022 recent business highlights and financial results. The webcast will be accessible through the Investor Relations section of Fulcrum’s website at www.fulcrumtx.com. Following the live webcast, an archived replay will also be available for 90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Dial-in Number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Dial-in Number: 833-634-2546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+1-412-902-4190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U.S. Dial-in Number: 877-344-7529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Canada Dial-in Number: 855-669-9658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International Dial-in Number: 412-317-0088</w:t>
      </w:r>
    </w:p>
    <w:p>
      <w:pPr>
        <w:spacing w:after="0"/>
        <w:rPr>
          <w:sz w:val="20"/>
          <w:szCs w:val="20"/>
          <w:color w:val="auto"/>
        </w:rPr>
      </w:pPr>
      <w:r>
        <w:rPr>
          <w:rFonts w:ascii="Times New Roman" w:cs="Times New Roman" w:eastAsia="Times New Roman" w:hAnsi="Times New Roman"/>
          <w:sz w:val="18"/>
          <w:szCs w:val="18"/>
          <w:color w:val="auto"/>
        </w:rPr>
        <w:t>Replay Access Code: 2495296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2298065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including beta-thalassemia. Fulcrum’s proprietary product engine, FulcrumSeek™, identifies drug targets that can modulate gene expression to treat the known root cause of gene mis-expression. For more information, visit </w:t>
      </w:r>
      <w:r>
        <w:rPr>
          <w:rFonts w:ascii="Times New Roman" w:cs="Times New Roman" w:eastAsia="Times New Roman" w:hAnsi="Times New Roman"/>
          <w:sz w:val="18"/>
          <w:szCs w:val="18"/>
          <w:u w:val="single" w:color="auto"/>
          <w:color w:val="auto"/>
        </w:rPr>
        <w:t>www.fulcrumtx.com</w:t>
      </w:r>
      <w:r>
        <w:rPr>
          <w:rFonts w:ascii="Times New Roman" w:cs="Times New Roman" w:eastAsia="Times New Roman" w:hAnsi="Times New Roman"/>
          <w:sz w:val="18"/>
          <w:szCs w:val="18"/>
          <w:color w:val="auto"/>
        </w:rPr>
        <w:t xml:space="preserve"> and follow us on Twitter @FulcrumTx and </w:t>
      </w:r>
      <w:r>
        <w:rPr>
          <w:rFonts w:ascii="Times New Roman" w:cs="Times New Roman" w:eastAsia="Times New Roman" w:hAnsi="Times New Roman"/>
          <w:sz w:val="18"/>
          <w:szCs w:val="18"/>
          <w:u w:val="single" w:color="auto"/>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Dr. Jacob's role at Fulcrum, including start date; Fulcrum’s cash runway, and ability to achieve near term objectives and deliver on its long-term vision; completion of enrollment in the Phase 1b SCD trial of FTX-6058, as well as enrollment in three dose cohorts; timing of registration trial of FTX-6058 in SCD; the REACH trial; timing of and submission of next IND;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integration of new employees;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realize the anticipated benefits of the strategic realignment;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Borders>
              <w:top w:val="single" w:sz="8" w:color="auto"/>
            </w:tcBorders>
          </w:tcPr>
          <w:p>
            <w:pPr>
              <w:spacing w:after="0"/>
              <w:rPr>
                <w:sz w:val="13"/>
                <w:szCs w:val="13"/>
                <w:color w:val="auto"/>
              </w:rPr>
            </w:pPr>
          </w:p>
        </w:tc>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6"/>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720" w:type="dxa"/>
            <w:vAlign w:val="bottom"/>
            <w:gridSpan w:val="2"/>
            <w:vMerge w:val="continue"/>
          </w:tcPr>
          <w:p>
            <w:pPr>
              <w:spacing w:after="0"/>
              <w:rPr>
                <w:sz w:val="13"/>
                <w:szCs w:val="13"/>
                <w:color w:val="auto"/>
              </w:rPr>
            </w:pPr>
          </w:p>
        </w:tc>
        <w:tc>
          <w:tcPr>
            <w:tcW w:w="24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221,789</w:t>
            </w:r>
          </w:p>
        </w:tc>
        <w:tc>
          <w:tcPr>
            <w:tcW w:w="280" w:type="dxa"/>
            <w:vAlign w:val="bottom"/>
          </w:tcPr>
          <w:p>
            <w:pPr>
              <w:spacing w:after="0"/>
              <w:rPr>
                <w:sz w:val="13"/>
                <w:szCs w:val="13"/>
                <w:color w:val="auto"/>
              </w:rPr>
            </w:pPr>
          </w:p>
        </w:tc>
        <w:tc>
          <w:tcPr>
            <w:tcW w:w="2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218,162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772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213,028</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5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5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25,538</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90,245</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100" w:type="dxa"/>
            <w:vAlign w:val="bottom"/>
            <w:tcBorders>
              <w:top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line="196" w:lineRule="exact"/>
              <w:rPr>
                <w:sz w:val="20"/>
                <w:szCs w:val="20"/>
                <w:color w:val="auto"/>
              </w:rPr>
            </w:pPr>
            <w:r>
              <w:rPr>
                <w:rFonts w:ascii="Times New Roman" w:cs="Times New Roman" w:eastAsia="Times New Roman" w:hAnsi="Times New Roman"/>
                <w:sz w:val="18"/>
                <w:szCs w:val="18"/>
                <w:color w:val="auto"/>
              </w:rPr>
              <w:t>(0.51 )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(0.57 )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(1.97 )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(1.71 )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46,213</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36,606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42,603</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33,603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-925195</wp:posOffset>
            </wp:positionV>
            <wp:extent cx="7747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-925195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-350520</wp:posOffset>
            </wp:positionV>
            <wp:extent cx="270891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1885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 Inc.</w:t>
      </w:r>
    </w:p>
    <w:p>
      <w:pPr>
        <w:spacing w:after="0" w:line="234" w:lineRule="auto"/>
        <w:rPr>
          <w:sz w:val="20"/>
          <w:szCs w:val="20"/>
          <w:color w:val="auto"/>
        </w:rPr>
      </w:pPr>
      <w:r>
        <w:rPr>
          <w:rFonts w:ascii="Times New Roman" w:cs="Times New Roman" w:eastAsia="Times New Roman" w:hAnsi="Times New Roman"/>
          <w:sz w:val="18"/>
          <w:szCs w:val="18"/>
          <w:color w:val="auto"/>
        </w:rPr>
        <w:t>stephanie.ascher@sternir.com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212-362-1200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234" w:lineRule="auto"/>
        <w:rPr>
          <w:sz w:val="20"/>
          <w:szCs w:val="20"/>
          <w:color w:val="auto"/>
        </w:rPr>
      </w:pPr>
      <w:r>
        <w:rPr>
          <w:rFonts w:ascii="Times New Roman" w:cs="Times New Roman" w:eastAsia="Times New Roman" w:hAnsi="Times New Roman"/>
          <w:sz w:val="18"/>
          <w:szCs w:val="18"/>
          <w:color w:val="auto"/>
        </w:rPr>
        <w:t>Fulcrum Therapeutics,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dsmith@fulcrumtx.com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202-746-1324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2022-11-08T06:40:17Z</dcterms:created>
  <dcterms:modified xsi:type="dcterms:W3CDTF">2022-11-08T06:40:17Z</dcterms:modified>
</cp:coreProperties>
</file>