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Jule 31, 2024, Fulcrum announced its financial results for the quarter ended June 30, 2024. The full text of the press release issued in connection with the announcement is being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July 31, 2024, announcing financial results for the quarter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4582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216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6019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443"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Second Quarter 2024</w:t>
      </w:r>
    </w:p>
    <w:p>
      <w:pPr>
        <w:ind w:left="400" w:hanging="222"/>
        <w:spacing w:after="0"/>
        <w:tabs>
          <w:tab w:leader="none" w:pos="4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track to report topline data for Phase 3 REACH trial of losmapimod in facioscapulohumeral muscular dystrophy (FSHD) by the end of October</w:t>
      </w:r>
    </w:p>
    <w:p>
      <w:pPr>
        <w:spacing w:after="0" w:line="29" w:lineRule="exact"/>
        <w:rPr>
          <w:rFonts w:ascii="Times New Roman" w:cs="Times New Roman" w:eastAsia="Times New Roman" w:hAnsi="Times New Roman"/>
          <w:sz w:val="18"/>
          <w:szCs w:val="18"/>
          <w:i w:val="1"/>
          <w:iCs w:val="1"/>
          <w:color w:val="auto"/>
        </w:rPr>
      </w:pPr>
    </w:p>
    <w:p>
      <w:pPr>
        <w:ind w:left="5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2024 ―</w:t>
      </w:r>
    </w:p>
    <w:p>
      <w:pPr>
        <w:spacing w:after="0" w:line="205" w:lineRule="exact"/>
        <w:rPr>
          <w:sz w:val="20"/>
          <w:szCs w:val="20"/>
          <w:color w:val="auto"/>
        </w:rPr>
      </w:pPr>
    </w:p>
    <w:p>
      <w:pPr>
        <w:jc w:val="center"/>
        <w:ind w:left="4980" w:right="1380" w:hanging="3644"/>
        <w:spacing w:after="0" w:line="284" w:lineRule="auto"/>
        <w:tabs>
          <w:tab w:leader="none" w:pos="1562"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Entered into a collaboration and ex-U.S. license agreement with Sanofi for the development and commercialization of losmapimod ―</w:t>
      </w:r>
    </w:p>
    <w:p>
      <w:pPr>
        <w:spacing w:after="0" w:line="158" w:lineRule="exact"/>
        <w:rPr>
          <w:rFonts w:ascii="Times New Roman" w:cs="Times New Roman" w:eastAsia="Times New Roman" w:hAnsi="Times New Roman"/>
          <w:sz w:val="18"/>
          <w:szCs w:val="18"/>
          <w:i w:val="1"/>
          <w:iCs w:val="1"/>
          <w:color w:val="auto"/>
        </w:rPr>
      </w:pPr>
    </w:p>
    <w:p>
      <w:pPr>
        <w:ind w:left="3360" w:hanging="224"/>
        <w:spacing w:after="0"/>
        <w:tabs>
          <w:tab w:leader="none" w:pos="3360" w:val="left"/>
        </w:tabs>
        <w:numPr>
          <w:ilvl w:val="1"/>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and webcast scheduled for 8:00 a.m. ET today ―</w:t>
      </w:r>
    </w:p>
    <w:p>
      <w:pPr>
        <w:spacing w:after="0" w:line="3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July 31, 2024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small molecules to improve the lives of patients with genetically defined rare diseases, today reported financial results for the second quarter of 2024 as well as a business update.</w:t>
      </w:r>
    </w:p>
    <w:p>
      <w:pPr>
        <w:spacing w:after="0" w:line="19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“We are on track to report topline results for the Phase 3 REACH trial by the end of October 2024, and as we advance towards this important inflection point, we continue to prepare for the potential NDA filing and the U.S. launch of losmapimod. In parallel, we are working with Sanofi in preparation for regulatory filings and the launch of losmapimod outside of the U.S.,” said Alex C. Sapir, Fulcrum’s president and chief executive officer. “Our Phase 1b PIONEER trial of pociredir, currently in development as a highly differentiated oral treatment option for sickle cell disease, continues to make progress.</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excitement for this program is based on the initial data generated in the Phase 1b trial, which suggests that pociredir has potential to raise HbF to levels that could ameliorate symptoms of the disease.”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121" w:lineRule="exact"/>
        <w:rPr>
          <w:sz w:val="20"/>
          <w:szCs w:val="20"/>
          <w:color w:val="auto"/>
        </w:rPr>
      </w:pPr>
    </w:p>
    <w:p>
      <w:pPr>
        <w:ind w:left="1020" w:right="4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Phase 3 clinical trial evaluating losmapimod in patients with FSHD, continues to progress, and Fulcrum expects to report topline data by the end of October 2024. The trial enrolled 260 patients across sites in the United States, Canada, and Europe. There are currently no approved treatments for FSHD.</w:t>
      </w:r>
    </w:p>
    <w:p>
      <w:pPr>
        <w:spacing w:after="0" w:line="67"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oAs of June 30, 2024, 234 patients had completed the Part A 48-week treatment phase of the clinical trial, of which 232 chose to enroll in the Part B Open Label Extension phase.</w:t>
      </w:r>
    </w:p>
    <w:p>
      <w:pPr>
        <w:spacing w:after="0" w:line="53" w:lineRule="exact"/>
        <w:rPr>
          <w:rFonts w:ascii="Times New Roman" w:cs="Times New Roman" w:eastAsia="Times New Roman" w:hAnsi="Times New Roman"/>
          <w:sz w:val="18"/>
          <w:szCs w:val="18"/>
          <w:color w:val="auto"/>
        </w:rPr>
      </w:pPr>
    </w:p>
    <w:p>
      <w:pPr>
        <w:ind w:left="1540" w:right="2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oFulcrum is on track to complete the activities agreed-upon with the U.S. Food and Drug Administration (FDA) to define the clinical meaningfulness of RWS, the primary endpoint of the REACH trial, at the time of reporting topline data.</w:t>
      </w:r>
    </w:p>
    <w:p>
      <w:pPr>
        <w:spacing w:after="0" w:line="53" w:lineRule="exact"/>
        <w:rPr>
          <w:rFonts w:ascii="Times New Roman" w:cs="Times New Roman" w:eastAsia="Times New Roman" w:hAnsi="Times New Roman"/>
          <w:sz w:val="18"/>
          <w:szCs w:val="18"/>
          <w:color w:val="auto"/>
        </w:rPr>
      </w:pPr>
    </w:p>
    <w:p>
      <w:pPr>
        <w:ind w:left="1540" w:right="32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oPresented multiple abstracts at the 31st Annual FSHD Society International Research Congress held June 13-14, 2024, in Denver, Colorado, including one outlining the baseline characteristics of patients enrolled in the Phase 3 REACH trial of losmapimod. The presentations and posters are available on the publications page of the Fulcrum website here.</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progress in the Phase 1b trial evaluating pociredir in patients with sickle cell disease (SCD). Cohort 3 of the Phase 1b trial will evaluate pociredir at the 12 mg once daily dose, followed by Cohort 4 at the 20 mg once daily dose. Each cohort is expected to enroll approximately 10 patients.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interim results of the Phase 1b trial at the European Hematology Association 2024 (EHA24) Hybrid Congress, on June 14, 2024. The presentation is available on the publications page of the Fulcrum website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2024 Financial Results</w:t>
      </w:r>
    </w:p>
    <w:p>
      <w:pPr>
        <w:spacing w:after="0" w:line="117" w:lineRule="exact"/>
        <w:rPr>
          <w:sz w:val="20"/>
          <w:szCs w:val="20"/>
          <w:color w:val="auto"/>
        </w:rPr>
      </w:pPr>
    </w:p>
    <w:p>
      <w:pPr>
        <w:ind w:left="1020" w:right="4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June 30, 2024, cash, cash equivalents, and marketable securities were $273.8 million, as compared to $236.2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2023. The increase in our cash position is due to the $80.0 million upfront payment received from Sanofi in the second quarter of 2024, partially offset by cash used to fund our operating activities in 2024.</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$80.0 million for the three months ended June 30, 2024, as compared to $0.9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June 30, 2023. The increase of $79.1 million was primarily due to the recognition of the $80.0 million upfront license payment received from Sanofi during the second quarter of 2024.</w:t>
      </w:r>
    </w:p>
    <w:p>
      <w:pPr>
        <w:spacing w:after="0" w:line="62" w:lineRule="exact"/>
        <w:rPr>
          <w:rFonts w:ascii="Times New Roman" w:cs="Times New Roman" w:eastAsia="Times New Roman" w:hAnsi="Times New Roman"/>
          <w:sz w:val="18"/>
          <w:szCs w:val="18"/>
          <w:color w:val="auto"/>
        </w:rPr>
      </w:pPr>
    </w:p>
    <w:p>
      <w:pPr>
        <w:ind w:left="1020" w:right="10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$17.3 million for the three months ended June 30, 2024, as compared to $17.8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June 30, 2023. The decrease of $0.5 million was primarily due to the reimbursement from the global development cost sharing under our collaboration with Sanofi for losmapimod, partially offset by increased costs related to the advancement of REACH.</w:t>
      </w:r>
    </w:p>
    <w:p>
      <w:pPr>
        <w:spacing w:after="0" w:line="68" w:lineRule="exact"/>
        <w:rPr>
          <w:rFonts w:ascii="Times New Roman" w:cs="Times New Roman" w:eastAsia="Times New Roman" w:hAnsi="Times New Roman"/>
          <w:sz w:val="18"/>
          <w:szCs w:val="18"/>
          <w:color w:val="auto"/>
        </w:rPr>
      </w:pPr>
    </w:p>
    <w:p>
      <w:pPr>
        <w:jc w:val="both"/>
        <w:ind w:left="1020" w:right="240" w:hanging="503"/>
        <w:spacing w:after="0" w:line="317"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G&amp;A Expenses: </w:t>
      </w:r>
      <w:r>
        <w:rPr>
          <w:rFonts w:ascii="Times New Roman" w:cs="Times New Roman" w:eastAsia="Times New Roman" w:hAnsi="Times New Roman"/>
          <w:sz w:val="17"/>
          <w:szCs w:val="17"/>
          <w:color w:val="auto"/>
        </w:rPr>
        <w:t>General and administrative expenses were $10.2 million for the three months ended June 30, 2024, as compared to $10.3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for three months ended June 30, 2023. The decrease of $0.1 million was primarily due to decreased employee compensation costs.</w:t>
      </w:r>
    </w:p>
    <w:p>
      <w:pPr>
        <w:spacing w:after="0" w:line="23" w:lineRule="exact"/>
        <w:rPr>
          <w:rFonts w:ascii="Times New Roman" w:cs="Times New Roman" w:eastAsia="Times New Roman" w:hAnsi="Times New Roman"/>
          <w:sz w:val="17"/>
          <w:szCs w:val="17"/>
          <w:color w:val="auto"/>
        </w:rPr>
      </w:pPr>
    </w:p>
    <w:p>
      <w:pPr>
        <w:jc w:val="both"/>
        <w:ind w:left="1020" w:right="140" w:hanging="503"/>
        <w:spacing w:after="0" w:line="27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(Loss): </w:t>
      </w:r>
      <w:r>
        <w:rPr>
          <w:rFonts w:ascii="Times New Roman" w:cs="Times New Roman" w:eastAsia="Times New Roman" w:hAnsi="Times New Roman"/>
          <w:sz w:val="18"/>
          <w:szCs w:val="18"/>
          <w:color w:val="auto"/>
        </w:rPr>
        <w:t>Net income was $55.4 million for the three months ended June 30, 2024, as compared to a net loss of $23.8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June 30, 2023. The net income during the quarter was primarily attributable to the upfront payment of $80.0 million from Sanofi. Excluding the potential for future milestone payments under our Sanofi collaboration, Fulcrum expects to be in a loss position for the foreseeable future, including for the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Runway Guidance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on its current operating plans, Fulcrum continues to expect that its cash, cash equivalents, and marketable securities as of June 30, 2024 will be sufficient to fund its operating requirements into 2027.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Fulcrum Therapeutics, Inc. will host a conference call and webcast today at 8:00 a.m. ET to review the second quarter 2024 financial results and recent business highlights. Individuals may register for the conference call by clicking the link here. Once registered, participants will receive dial-in details and unique PIN which will allow them to access the call. An audio webcast will be accessible through the Investor Relations section of the company’s website at www.fulcrumtx.com or by clicking here. Following the live webcast, an archived replay will also be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genetically defined rare diseases in areas of high unmet medical need. Fulcrum’s two lead programs in clinical development are losmapimod, a small molecule in development for the treatment of facioscapulohumeral muscular dystrophy (FSHD), and pociredir, a small molecule designed to increase expression of fetal hemoglobin and in development for the treatment of sickle cell disease (SCD). Fulcrum uses proprietary technology to identify drug targets that can modulate gene expression to treat the known root cause of gene mis-expression. For more information, visit www.fulcrumtx.com and follow us on Twitter/X (@FulcrumTx) and LinkedIn.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Losmapimod</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Losmapimod is a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Phase 2b ReDUX4 trial demonstrated slower disease progression and 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FDA Fast Track designation and Orphan Drug Designation for the treatment of FSHD. Losmapimod is currently being evaluated in a Phase 3 multi-center randomized, double-blind, placebo-controlled, 48-week parallel-group study in people with FSHD (NCT05397470).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FSHD</w:t>
      </w:r>
    </w:p>
    <w:p>
      <w:pPr>
        <w:spacing w:after="0" w:line="31"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relentless and accumulating muscle and functional loss impacting their ability to perform activities of daily living, loss of upper limb function, loss of mobility and independence, and chronic pain. FSHD is one of the most common forms of muscular dystrophy and has an estimated patient population of 30,000 in the United States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fetal hemoglobin (HbF). Pociredir is being developed for the treatment of SCD. Initial data in SCD demonstrated proof-of-concept and achieved absolute levels of HbF increases associated with potential overall patient benefit. In clinical trials conducted prior to the clinical hold, which was lifted by the FDA in August 2023, pociredir was generally well-tolerated in people with SCD with up to three months of exposure, with no serious treatment-related adverse events reported. Pociredir has been granted FDA Fast Track designation and Orphan Drug Designation for the treatment of SCD. To learn more about these trials please visit ClinicalTrials.gov.</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trials, including timing of topline data for the Phase 3 REACH trial of losmapimod, definition of the clinical relevance of RWS and ability to complete activities in connection therewith; Fulcrum’s collaboration and license agreement with Sanofi; its ability to receive the milestone and royalty payments thereunder and achieve benefits therefrom; reinitiation of the Phase 1b trial of pociredir and number of enrollees in each cohort; and Fulcrum’s ability to deliver an FDA-approved therapy for FSHD patients; and its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of losmapimod, pociredir and any other product candidates; obtaining, maintaining or protecting intellectual property rights related to its product candidates; managing expenses; managing executive and employee turnover, including integrating a new CMO;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273,778</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267,587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228,524</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294,256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100" w:type="dxa"/>
            <w:vAlign w:val="bottom"/>
          </w:tcPr>
          <w:p>
            <w:pPr>
              <w:spacing w:after="0"/>
              <w:rPr>
                <w:sz w:val="20"/>
                <w:szCs w:val="20"/>
                <w:color w:val="auto"/>
              </w:rPr>
            </w:pPr>
          </w:p>
        </w:tc>
      </w:tr>
      <w:tr>
        <w:trPr>
          <w:trHeight w:val="26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00"/>
        </w:trPr>
        <w:tc>
          <w:tcPr>
            <w:tcW w:w="7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(27,292 )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(55,232 )</w:t>
            </w: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(23,783 )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(48,562 )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(0.80 )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(0.80 )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62,205</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-1224915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-1224915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-1224915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-908050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-908050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-908050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-565150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-548005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-565150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-565150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-205105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Calabrese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917-680-5608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2024-07-31T06:14:27Z</dcterms:created>
  <dcterms:modified xsi:type="dcterms:W3CDTF">2024-07-31T06:14:27Z</dcterms:modified>
</cp:coreProperties>
</file>