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403747d425.htm"/>
      <w:bookmarkStart w:id="1" w:name="ksd403747d425"/>
      <w:bookmarkEnd w:id="0"/>
      <w:bookmarkEnd w:id="1"/>
      <w:r>
        <w:rPr>
          <w:rFonts w:ascii="Times New Roman" w:hAnsi="Times New Roman"/>
          <w:sz w:val="20"/>
        </w:rPr>
        <w:t xml:space="preserve">Filed by Fulcrum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pursuant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Fulcrum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001-38978 </w:t>
      </w:r>
    </w:p>
    <w:p>
      <w:pPr>
        <w:pStyle w:val="TextBody"/>
        <w:bidi w:val="0"/>
        <w:spacing w:before="0" w:after="0"/>
        <w:jc w:val="right"/>
        <w:rPr>
          <w:rFonts w:ascii="Times New Roman" w:hAnsi="Times New Roman"/>
          <w:sz w:val="20"/>
        </w:rPr>
      </w:pPr>
      <w:r>
        <w:rPr>
          <w:rFonts w:ascii="Times New Roman" w:hAnsi="Times New Roman"/>
          <w:sz w:val="20"/>
        </w:rPr>
        <w:t xml:space="preserve">Date: August 17, 2026 </w:t>
      </w:r>
    </w:p>
    <w:p>
      <w:pPr>
        <w:pStyle w:val="TextBody"/>
        <w:bidi w:val="0"/>
        <w:spacing w:before="240" w:after="0"/>
        <w:jc w:val="left"/>
        <w:rPr>
          <w:rFonts w:ascii="Times New Roman" w:hAnsi="Times New Roman"/>
          <w:sz w:val="20"/>
        </w:rPr>
      </w:pPr>
      <w:r>
        <w:rPr>
          <w:rFonts w:ascii="Times New Roman" w:hAnsi="Times New Roman"/>
          <w:sz w:val="20"/>
        </w:rPr>
        <w:t xml:space="preserve">This filing relates to the proposed merger of Fulcrum Therapeutics, Inc., a Delaware corporation (“Fulcrum”), and Slate Medicines, Inc., a Delaware corporation (“Slate”), pursuant to the terms of that certain Agreement and Plan of Meger, dated as of August 16, 2026, by and among Fulcrum, Slate, Fusion Merger Sub I, Inc. and Fusion Merger Sub II, LLC. The following is the script of a joint conference call hosted by Fulcrum and Slate held on August 17, 2026. </w:t>
      </w:r>
    </w:p>
    <w:p>
      <w:pPr>
        <w:pStyle w:val="TextBody"/>
        <w:bidi w:val="0"/>
        <w:spacing w:before="480" w:after="0"/>
        <w:jc w:val="center"/>
        <w:rPr>
          <w:rFonts w:ascii="Times New Roman" w:hAnsi="Times New Roman"/>
          <w:b/>
          <w:sz w:val="20"/>
        </w:rPr>
      </w:pPr>
      <w:r>
        <w:rPr>
          <w:rFonts w:ascii="Times New Roman" w:hAnsi="Times New Roman"/>
          <w:b/>
          <w:sz w:val="20"/>
        </w:rPr>
        <w:t xml:space="preserve">Fulcrum Therapeutics and Slate Medicines Merger </w:t>
      </w:r>
    </w:p>
    <w:p>
      <w:pPr>
        <w:pStyle w:val="TextBody"/>
        <w:bidi w:val="0"/>
        <w:spacing w:before="0" w:after="0"/>
        <w:jc w:val="center"/>
        <w:rPr>
          <w:rFonts w:ascii="Times New Roman" w:hAnsi="Times New Roman"/>
          <w:b/>
          <w:sz w:val="20"/>
        </w:rPr>
      </w:pPr>
      <w:r>
        <w:rPr>
          <w:rFonts w:ascii="Times New Roman" w:hAnsi="Times New Roman"/>
          <w:b/>
          <w:sz w:val="20"/>
        </w:rPr>
        <w:t xml:space="preserve">Call Transcript </w:t>
      </w:r>
    </w:p>
    <w:p>
      <w:pPr>
        <w:pStyle w:val="TextBody"/>
        <w:bidi w:val="0"/>
        <w:spacing w:before="240" w:after="0"/>
        <w:jc w:val="left"/>
        <w:rPr>
          <w:rFonts w:ascii="Times New Roman" w:hAnsi="Times New Roman"/>
          <w:b/>
          <w:sz w:val="20"/>
        </w:rPr>
      </w:pPr>
      <w:r>
        <w:rPr>
          <w:rFonts w:ascii="Times New Roman" w:hAnsi="Times New Roman"/>
          <w:b/>
          <w:sz w:val="20"/>
        </w:rPr>
        <w:t xml:space="preserve">CORPORATE PARTICIPANTS </w:t>
      </w:r>
    </w:p>
    <w:p>
      <w:pPr>
        <w:pStyle w:val="TextBody"/>
        <w:bidi w:val="0"/>
        <w:spacing w:before="120" w:after="0"/>
        <w:jc w:val="left"/>
        <w:rPr>
          <w:rFonts w:ascii="Times New Roman" w:hAnsi="Times New Roman"/>
          <w:b/>
          <w:sz w:val="20"/>
        </w:rPr>
      </w:pPr>
      <w:r>
        <w:rPr>
          <w:rFonts w:ascii="Times New Roman" w:hAnsi="Times New Roman"/>
          <w:b/>
          <w:sz w:val="20"/>
        </w:rPr>
        <w:t xml:space="preserve">Alex Sapir </w:t>
      </w:r>
    </w:p>
    <w:p>
      <w:pPr>
        <w:pStyle w:val="TextBody"/>
        <w:bidi w:val="0"/>
        <w:spacing w:before="120" w:after="0"/>
        <w:jc w:val="left"/>
        <w:rPr>
          <w:rFonts w:ascii="Times New Roman" w:hAnsi="Times New Roman"/>
          <w:sz w:val="20"/>
        </w:rPr>
      </w:pPr>
      <w:r>
        <w:rPr>
          <w:rFonts w:ascii="Times New Roman" w:hAnsi="Times New Roman"/>
          <w:sz w:val="20"/>
        </w:rPr>
        <w:t xml:space="preserve">Chief Executive Officer, Fulcrum Therapeutics </w:t>
      </w:r>
    </w:p>
    <w:p>
      <w:pPr>
        <w:pStyle w:val="TextBody"/>
        <w:bidi w:val="0"/>
        <w:spacing w:before="360" w:after="0"/>
        <w:jc w:val="left"/>
        <w:rPr>
          <w:rFonts w:ascii="Times New Roman" w:hAnsi="Times New Roman"/>
          <w:b/>
          <w:sz w:val="20"/>
        </w:rPr>
      </w:pPr>
      <w:r>
        <w:rPr>
          <w:rFonts w:ascii="Times New Roman" w:hAnsi="Times New Roman"/>
          <w:b/>
          <w:sz w:val="20"/>
        </w:rPr>
        <w:t xml:space="preserve">Gregory Oakes </w:t>
      </w:r>
    </w:p>
    <w:p>
      <w:pPr>
        <w:pStyle w:val="TextBody"/>
        <w:bidi w:val="0"/>
        <w:spacing w:before="120" w:after="0"/>
        <w:jc w:val="left"/>
        <w:rPr>
          <w:rFonts w:ascii="Times New Roman" w:hAnsi="Times New Roman"/>
          <w:sz w:val="20"/>
        </w:rPr>
      </w:pPr>
      <w:r>
        <w:rPr>
          <w:rFonts w:ascii="Times New Roman" w:hAnsi="Times New Roman"/>
          <w:sz w:val="20"/>
        </w:rPr>
        <w:t xml:space="preserve">Chief Executive Officer, Slate Medicines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DISCUSSION SECTION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Good morning, ladies and gentlemen. Thank you for standing by. Welcome to today’s conference call regarding the merger agreement between Fulcrum Therapeutics and Slate Medicines. At this time, all participants are in a listen-only mode. Please be advised, the call is being recorded and will be available for replay on the Fulcrum Therapeutics website. </w:t>
      </w:r>
    </w:p>
    <w:p>
      <w:pPr>
        <w:pStyle w:val="TextBody"/>
        <w:bidi w:val="0"/>
        <w:spacing w:before="240" w:after="0"/>
        <w:jc w:val="left"/>
        <w:rPr>
          <w:rFonts w:ascii="Times New Roman" w:hAnsi="Times New Roman"/>
          <w:sz w:val="20"/>
        </w:rPr>
      </w:pPr>
      <w:r>
        <w:rPr>
          <w:rFonts w:ascii="Times New Roman" w:hAnsi="Times New Roman"/>
          <w:sz w:val="20"/>
        </w:rPr>
        <w:t xml:space="preserve">I will now turn the conference over to Chris Brinzey.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Chris Brinzey </w:t>
      </w:r>
    </w:p>
    <w:p>
      <w:pPr>
        <w:pStyle w:val="TextBody"/>
        <w:bidi w:val="0"/>
        <w:spacing w:before="120" w:after="0"/>
        <w:jc w:val="left"/>
        <w:rPr>
          <w:rFonts w:ascii="Times New Roman" w:hAnsi="Times New Roman"/>
          <w:i/>
          <w:sz w:val="20"/>
        </w:rPr>
      </w:pPr>
      <w:r>
        <w:rPr>
          <w:rFonts w:ascii="Times New Roman" w:hAnsi="Times New Roman"/>
          <w:i/>
          <w:sz w:val="20"/>
        </w:rPr>
        <w:t xml:space="preserve">Investor Relations, ICR </w:t>
      </w:r>
    </w:p>
    <w:p>
      <w:pPr>
        <w:pStyle w:val="TextBody"/>
        <w:bidi w:val="0"/>
        <w:spacing w:before="120" w:after="0"/>
        <w:jc w:val="left"/>
        <w:rPr>
          <w:rFonts w:ascii="Times New Roman" w:hAnsi="Times New Roman"/>
          <w:sz w:val="20"/>
        </w:rPr>
      </w:pPr>
      <w:r>
        <w:rPr>
          <w:rFonts w:ascii="Times New Roman" w:hAnsi="Times New Roman"/>
          <w:sz w:val="20"/>
        </w:rPr>
        <w:t xml:space="preserve">Thank you, operator, and good morning, everyone. Before we begin, I’d like to remind you that today’s call may include forward-looking statements, including statements related to the expected timing and completion of proposed merger, the concurrent financing, Slates’s clinical development plans, and future performance of the combined company. These statements are subject to risks and uncertainties which are described in our current and future SEC filings, which we urge you to read as they become available. </w:t>
      </w:r>
    </w:p>
    <w:p>
      <w:pPr>
        <w:pStyle w:val="TextBody"/>
        <w:bidi w:val="0"/>
        <w:spacing w:before="240" w:after="0"/>
        <w:jc w:val="left"/>
        <w:rPr>
          <w:rFonts w:ascii="Times New Roman" w:hAnsi="Times New Roman"/>
          <w:sz w:val="20"/>
        </w:rPr>
      </w:pPr>
      <w:r>
        <w:rPr>
          <w:rFonts w:ascii="Times New Roman" w:hAnsi="Times New Roman"/>
          <w:sz w:val="20"/>
        </w:rPr>
        <w:t xml:space="preserve">With that, I’ll now turn the call over to Alex Sapir, President and Chief Executive Officer of Fulcrum Therapeutics.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Alex Sapir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Thank you, Chris.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morning, we announced that Fulcrum has entered into a merger agreement with Slate Medicines in an all-stock transaction. </w:t>
      </w:r>
    </w:p>
    <w:p>
      <w:pPr>
        <w:pStyle w:val="TextBody"/>
        <w:bidi w:val="0"/>
        <w:spacing w:before="240" w:after="0"/>
        <w:jc w:val="left"/>
        <w:rPr>
          <w:rFonts w:ascii="Times New Roman" w:hAnsi="Times New Roman"/>
          <w:sz w:val="20"/>
        </w:rPr>
      </w:pPr>
      <w:r>
        <w:rPr>
          <w:rFonts w:ascii="Times New Roman" w:hAnsi="Times New Roman"/>
          <w:sz w:val="20"/>
        </w:rPr>
        <w:t xml:space="preserve">Joining me on today’s call is Gregory Oakes, Chief Executive Officer of Slate Medicines, who is expected to become Chief Executive Officer of the combined company following the closing of the transaction. I will review the details of the proposed transaction and the concurrent financing, and Greg will then provide an overview of Slate, its strategy, and its pipeline. </w:t>
      </w:r>
    </w:p>
    <w:p>
      <w:pPr>
        <w:pStyle w:val="TextBody"/>
        <w:bidi w:val="0"/>
        <w:spacing w:before="240" w:after="0"/>
        <w:jc w:val="left"/>
        <w:rPr>
          <w:rFonts w:ascii="Times New Roman" w:hAnsi="Times New Roman"/>
          <w:sz w:val="20"/>
        </w:rPr>
      </w:pPr>
      <w:r>
        <w:rPr>
          <w:rFonts w:ascii="Times New Roman" w:hAnsi="Times New Roman"/>
          <w:sz w:val="20"/>
        </w:rPr>
        <w:t xml:space="preserve">Since our June announcement regarding pociredir, Fulcrum’s board and management have been actively conducting a comprehensive review of strategic alternatives with the goal of maximizing long-term stockholder value and believe that this proposed combination with Slate represents a high potential value-creation opportunity for Fulcrum stockholders. </w:t>
      </w:r>
    </w:p>
    <w:p>
      <w:pPr>
        <w:pStyle w:val="TextBody"/>
        <w:bidi w:val="0"/>
        <w:spacing w:before="240" w:after="0"/>
        <w:jc w:val="left"/>
        <w:rPr>
          <w:rFonts w:ascii="Times New Roman" w:hAnsi="Times New Roman"/>
          <w:sz w:val="20"/>
        </w:rPr>
      </w:pPr>
      <w:r>
        <w:rPr>
          <w:rFonts w:ascii="Times New Roman" w:hAnsi="Times New Roman"/>
          <w:sz w:val="20"/>
        </w:rPr>
        <w:t xml:space="preserve">With the announced $245 million private placement of Slate’s common stock and common stock equivalents that includes a syndicate of leading healthcare investors led by Frazier Life Sciences, with participation from Forbion, RA Capital Management, Deep Track Capital, Foresite Capital, OrbiMed, RTW Investments, and Mingxin Capital, we believe the combined company will be well-capitalized to execute on its clinical development strategy.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proposed transaction, the combined company’s cash balance is expected to provide runway into 2029. Under the terms of the business combination agreement, on a fully diluted basis, pre-merger Fulcrum stockholders are expected to own approximately 5% of the combined company, pre-merger Slate stockholders are expected to own approximately 55.9%, and investors participating in the concurrent private placement are expected to own approximately 39.1%. </w:t>
      </w:r>
    </w:p>
    <w:p>
      <w:pPr>
        <w:pStyle w:val="TextBody"/>
        <w:bidi w:val="0"/>
        <w:spacing w:before="240" w:after="0"/>
        <w:jc w:val="left"/>
        <w:rPr>
          <w:rFonts w:ascii="Times New Roman" w:hAnsi="Times New Roman"/>
          <w:sz w:val="20"/>
        </w:rPr>
      </w:pPr>
      <w:r>
        <w:rPr>
          <w:rFonts w:ascii="Times New Roman" w:hAnsi="Times New Roman"/>
          <w:sz w:val="20"/>
        </w:rPr>
        <w:t xml:space="preserve">For a 5% ownership level in the combined company, Fulcrum expects to contribute a net cash balance at close of $20.3 million, providing Fulcrum stockholders the opportunity to participate in the potential upside of Slate’s pipeline as it advances. With the additional cash of approximately $270 million at close, Fulcrum intends to pay a special cash dividend to pre-merger Fulcrum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would like to thank the Fulcrum and Slate board members for their support in approving the transaction, which is, of course, subject to stockholder approval and customary closing conditions. Following the Closing, Slate’s Board of Directors is expected to serve as the board of the combined company and Slate’s current senior management team will operate the combined company. The combined company is expected to be renamed Slate Medicines, Inc. and begin trading on Nasdaq under the ticker symbol SLTE. We expect the merger proposal to close in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We at Fulcrum have been impressed with the leadership and quality of the programs at Slate and have confidence in their ability to deliver on their strategy going forward. We believe that this transaction offers our stockholders a compelling opportunity for short and long-term value creation. </w:t>
      </w:r>
    </w:p>
    <w:p>
      <w:pPr>
        <w:pStyle w:val="TextBody"/>
        <w:bidi w:val="0"/>
        <w:spacing w:before="240" w:after="0"/>
        <w:jc w:val="left"/>
        <w:rPr>
          <w:rFonts w:ascii="Times New Roman" w:hAnsi="Times New Roman"/>
          <w:sz w:val="20"/>
        </w:rPr>
      </w:pPr>
      <w:r>
        <w:rPr>
          <w:rFonts w:ascii="Times New Roman" w:hAnsi="Times New Roman"/>
          <w:sz w:val="20"/>
        </w:rPr>
        <w:t xml:space="preserve">Now, I’d like to pass it over to Gregory Oakes, CEO of Slate Medicines. Greg, over to you.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Gregory Oakes </w:t>
      </w:r>
    </w:p>
    <w:p>
      <w:pPr>
        <w:pStyle w:val="TextBody"/>
        <w:bidi w:val="0"/>
        <w:spacing w:before="120" w:after="0"/>
        <w:jc w:val="left"/>
        <w:rPr>
          <w:rFonts w:ascii="Times New Roman" w:hAnsi="Times New Roman"/>
          <w:i/>
          <w:sz w:val="20"/>
        </w:rPr>
      </w:pPr>
      <w:r>
        <w:rPr>
          <w:rFonts w:ascii="Times New Roman" w:hAnsi="Times New Roman"/>
          <w:i/>
          <w:sz w:val="20"/>
        </w:rPr>
        <w:t xml:space="preserve">Chief Executive Officer and Board Director, Slate Medicines, Inc. </w:t>
      </w:r>
    </w:p>
    <w:p>
      <w:pPr>
        <w:pStyle w:val="TextBody"/>
        <w:bidi w:val="0"/>
        <w:spacing w:before="120" w:after="0"/>
        <w:jc w:val="left"/>
        <w:rPr>
          <w:rFonts w:ascii="Times New Roman" w:hAnsi="Times New Roman"/>
          <w:sz w:val="20"/>
        </w:rPr>
      </w:pPr>
      <w:r>
        <w:rPr>
          <w:rFonts w:ascii="Times New Roman" w:hAnsi="Times New Roman"/>
          <w:sz w:val="20"/>
        </w:rPr>
        <w:t xml:space="preserve">Thank you, Alex. </w:t>
      </w:r>
    </w:p>
    <w:p>
      <w:pPr>
        <w:pStyle w:val="TextBody"/>
        <w:bidi w:val="0"/>
        <w:spacing w:before="240" w:after="0"/>
        <w:jc w:val="left"/>
        <w:rPr>
          <w:rFonts w:ascii="Times New Roman" w:hAnsi="Times New Roman"/>
          <w:sz w:val="20"/>
        </w:rPr>
      </w:pPr>
      <w:r>
        <w:rPr>
          <w:rFonts w:ascii="Times New Roman" w:hAnsi="Times New Roman"/>
          <w:sz w:val="20"/>
        </w:rPr>
        <w:t xml:space="preserve">We’re thrilled today to announce our planned merger with Fulcrum Therapeutics. I want to thank the Fulcrum team and board for their collaboration and confidence in Slate’s team and strategy. Before I continue, I’ll point out that additional information on Slate is available in our corporate overview, which can be found on the Slate website. </w:t>
      </w:r>
    </w:p>
    <w:p>
      <w:pPr>
        <w:pStyle w:val="TextBody"/>
        <w:bidi w:val="0"/>
        <w:spacing w:before="240" w:after="0"/>
        <w:jc w:val="left"/>
        <w:rPr>
          <w:rFonts w:ascii="Times New Roman" w:hAnsi="Times New Roman"/>
          <w:sz w:val="20"/>
        </w:rPr>
      </w:pPr>
      <w:r>
        <w:rPr>
          <w:rFonts w:ascii="Times New Roman" w:hAnsi="Times New Roman"/>
          <w:sz w:val="20"/>
        </w:rPr>
        <w:t xml:space="preserve">Slate Medicines was founded with the mission to advance a pipeline of potentially best-in-class, next-generation therapeutics that we believe can meaningfully expand treatment options for migraine patients. </w:t>
      </w:r>
    </w:p>
    <w:p>
      <w:pPr>
        <w:pStyle w:val="TextBody"/>
        <w:bidi w:val="0"/>
        <w:spacing w:before="240" w:after="0"/>
        <w:jc w:val="left"/>
        <w:rPr>
          <w:rFonts w:ascii="Times New Roman" w:hAnsi="Times New Roman"/>
          <w:sz w:val="20"/>
        </w:rPr>
      </w:pPr>
      <w:r>
        <w:rPr>
          <w:rFonts w:ascii="Times New Roman" w:hAnsi="Times New Roman"/>
          <w:sz w:val="20"/>
        </w:rPr>
        <w:t xml:space="preserve">Migraine is far more than a headache, it is a prevalent and disabling neurological disease. Migraine is the leading cause of disability in people under the age of 50, and it disproportionately affects women.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migraine field has seen great advancements with the advent of CGRP targeted therapeutics; however, a significant unmet need remains for the many patients that do not fully respond to the existing therapeutics. In pivotal studies of CGRP targeted therapeutics in chronic migraine prevention, only about half of patients achieve a greater than 50% reduction in monthly migraine days, and only 20% achieve a greater than 75% reduction. Despite many patients being underserved by the existing standard of care, the market for CGRP targeted therapeutics was over $5 billion in 2025 and is projected to more than double to over $10 billion at peak. We believe there is a significant opportunity to advance orthogonal approaches to migraine prevention and improve outcomes for patients. </w:t>
      </w:r>
    </w:p>
    <w:p>
      <w:pPr>
        <w:pStyle w:val="TextBody"/>
        <w:bidi w:val="0"/>
        <w:spacing w:before="240" w:after="0"/>
        <w:jc w:val="left"/>
        <w:rPr>
          <w:rFonts w:ascii="Times New Roman" w:hAnsi="Times New Roman"/>
          <w:sz w:val="20"/>
        </w:rPr>
      </w:pPr>
      <w:r>
        <w:rPr>
          <w:rFonts w:ascii="Times New Roman" w:hAnsi="Times New Roman"/>
          <w:sz w:val="20"/>
        </w:rPr>
        <w:t xml:space="preserve">Executing on our ambitious mission requires a great team, and I am fortunate to be surrounded at Slate by a group of experienced biopharma executives, including Neil Buckley, our President and Chief Operating Officer; Dr. Roger Cady, our Chief Medical Officer; and John Umstead, our Chief Financial Officer, who all have a personal commitment to improving treatment options in migraine. We’re also supported by our newly announced Scientific and Clinical Advisory Boards, comprising internationally recognized neurologists and headache researchers, giving us an exceptional vantage point as we work to bring a differentiated approach to migraine prevention. </w:t>
      </w:r>
    </w:p>
    <w:p>
      <w:pPr>
        <w:pStyle w:val="TextBody"/>
        <w:bidi w:val="0"/>
        <w:spacing w:before="240" w:after="0"/>
        <w:jc w:val="left"/>
        <w:rPr>
          <w:rFonts w:ascii="Times New Roman" w:hAnsi="Times New Roman"/>
          <w:sz w:val="20"/>
        </w:rPr>
      </w:pPr>
      <w:r>
        <w:rPr>
          <w:rFonts w:ascii="Times New Roman" w:hAnsi="Times New Roman"/>
          <w:sz w:val="20"/>
        </w:rPr>
        <w:t xml:space="preserve">Our lead program SLTE-1009, is a monoclonal antibody that is designed to bind both PACAP and VIP, two neuropeptides that play foundational roles in migraine pathophysiology. PACAP blockade has shown encouraging clinical data in the prevention of migraine, and we believe the dual blockade of PACAP and VIP with a single monoclonal antibody offers the potential for enhanced efficacy relative to PACAP-only targeting therapeutics. SLTE-1009 was also engineered with half-life extension to enable subcutaneous dosing, with the potential to enable quarterly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We have received clearance to initiate a Phase 1 healthy volunteer study in Australia, with topline safety and pharmacokinetic data anticipated mid-year 2027. Following that readout, we plan to move into a Phase 2 dose-range finding study of SLTE-1009 in migraine patients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Beyond our lead program, we’re also developing SLTE-2100, a bispecific antibody targeting PACAP/VIP and CGRP, currently in lead optimization. This program is expected to enter clinical trials in the second half of 2027. We also have a third undisclosed program in the migraine space that we look forward to sharing more details on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$245 million private placement, combined with existing cash on hand, is expected to provide Slate runway into 2029 and a number of potential value-driving catalysts, including our planned Phase 1 healthy volunteer study and Phase 2 dose-range finding study for SLTE-1009, the advancement of SLTE-2100 into the clinic and through a Phase 2a proof-of-concept study, and further development of our pipeline. </w:t>
      </w:r>
    </w:p>
    <w:p>
      <w:pPr>
        <w:pStyle w:val="TextBody"/>
        <w:bidi w:val="0"/>
        <w:spacing w:before="240" w:after="0"/>
        <w:jc w:val="left"/>
        <w:rPr>
          <w:rFonts w:ascii="Times New Roman" w:hAnsi="Times New Roman"/>
          <w:sz w:val="20"/>
        </w:rPr>
      </w:pPr>
      <w:r>
        <w:rPr>
          <w:rFonts w:ascii="Times New Roman" w:hAnsi="Times New Roman"/>
          <w:sz w:val="20"/>
        </w:rPr>
        <w:t xml:space="preserve">We’re energized through our planned merger with Fulcrum to continue to build a world-class, migraine-focused biotech company and advance our pipeline of potentially best-in-class, next-generation therapeutics. We believe the combined company will be well-positioned to deliver value for our combined stockholder base, and most importantly for migraine patients. </w:t>
      </w:r>
    </w:p>
    <w:p>
      <w:pPr>
        <w:pStyle w:val="TextBody"/>
        <w:bidi w:val="0"/>
        <w:spacing w:before="240" w:after="0"/>
        <w:jc w:val="left"/>
        <w:rPr>
          <w:rFonts w:ascii="Times New Roman" w:hAnsi="Times New Roman"/>
          <w:sz w:val="20"/>
        </w:rPr>
      </w:pPr>
      <w:r>
        <w:rPr>
          <w:rFonts w:ascii="Times New Roman" w:hAnsi="Times New Roman"/>
          <w:sz w:val="20"/>
        </w:rPr>
        <w:t xml:space="preserve">On behalf of Slate Medicines, thank you to the Fulcrum team for your partnership, and we look forward to working closely together through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With that, I’ll hand the call back to the operator.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this concludes today’s call. All parties may now disconnect.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documents filed as exhibits hereto contain forward-looking statements within the meaning of the U.S. Private Securities Litigation Reform Act of 1995, including statements regarding the proposed transaction involving Fulcrum and Slate, including the conditions to, and timing of, closing of the proposed transaction, the Board of Directors and management of the combined company, the percentage ownership of the combined company (which is subject to adjustment based on the amount of Fulcrum’s net cash as of the closing of the proposed transaction), the potential of Fulcrum stockholders to receive cash distributions (including the amount thereof), the parties’ ability to consummate the proposed transaction and Slate private placement financing, including the intended use of net proceeds from the Slate private placement financing and the expected timing of closing and completion of the private placement financing, the combined company’s expected cash runway and the sufficiency of the combined company’s cash to fund operations into 2029, the listing of the combined company’s shares on Nasdaq, the expectations surrounding the potential, safety, efficacy, and regulatory and clinical progress of Slate’s product candidates, including SLTE-1009, and anticipated milestones and timing, among others.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with respect to: (i) the timely satisfaction of the conditions to the closing of the proposed transaction,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Slate to consummate the proposed transaction; (iii) the ability of Fulcrum and Slate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Fulcrum, Slate or their respective directors; (vi) possible disruptions from the proposed transaction that could harm Fulcrum’s and/or Slate’s respective businesses; (vii) the ability of Slate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Slate’s financial performance; (x) certain restrictions during the pendency of the proposed transaction that may impact Fulcrum’s or Slate’s ability to pursue certain business opportunities or strategic transactions; (xi) the combined company’s need for additional funding, which may not be available on favorable terms or at all; (xii) potential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the combined company’s product candidates may cause serious adverse side effects; (xviii) inability to maintain existing or future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 the possibility of system failures or security breaches; risks relating to intellectual property; (xxvii) significant costs incurred as a result of operating as a public company; (xxviii) the risk that, as a result of adjustments to the exchange ratio, Fulcrum stockholders and Slate stockholders could own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factors as are set forth in Fulcrum’s periodic public filings with the SEC, including but not limited to those described under the heading “Risk Factors” in Fulcrum’s Quarterly Report on Form 10-Q for the period ended June 30, 2026. Fulcrum and Slate can give no assurance that any or all of the conditions to the proposed transaction will be satisfied. Except as required by applicable law, Fulcrum and Slate undertake no obligation to revise or update any forward-looking statement, or to make any other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substitute for the registration statement or for any other document that Fulcrum may file with the SEC in connection with the proposed merger. In connection with the proposed merger between Fulcrum and Slate,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SLATE,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Fulcrum, Slate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2995</Words>
  <Characters>17147</Characters>
  <CharactersWithSpaces>20151</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