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9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9"/>
          <w:szCs w:val="19"/>
          <w:b w:val="1"/>
          <w:bCs w:val="1"/>
          <w:color w:val="auto"/>
        </w:rPr>
        <w:t>January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195580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FULCRUM THERAPEUTICS, INC.</w:t>
      </w:r>
    </w:p>
    <w:p>
      <w:pPr>
        <w:spacing w:after="0" w:line="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924" w:type="dxa"/>
        <w:tblCellMar>
          <w:top w:w="0" w:type="dxa"/>
          <w:left w:w="0" w:type="dxa"/>
          <w:bottom w:w="0" w:type="dxa"/>
          <w:right w:w="0" w:type="dxa"/>
        </w:tblCellMar>
      </w:tblPr>
      <w:tr>
        <w:trPr>
          <w:trHeight w:val="220"/>
        </w:trPr>
        <w:tc>
          <w:tcPr>
            <w:tcW w:w="374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001-38978</w:t>
            </w:r>
          </w:p>
        </w:tc>
        <w:tc>
          <w:tcPr>
            <w:tcW w:w="29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47-4839948</w:t>
            </w:r>
          </w:p>
        </w:tc>
      </w:tr>
      <w:tr>
        <w:trPr>
          <w:trHeight w:val="216"/>
        </w:trPr>
        <w:tc>
          <w:tcPr>
            <w:tcW w:w="374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3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(Commission</w:t>
            </w:r>
          </w:p>
        </w:tc>
        <w:tc>
          <w:tcPr>
            <w:tcW w:w="29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74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File Number)</w:t>
            </w:r>
          </w:p>
        </w:tc>
        <w:tc>
          <w:tcPr>
            <w:tcW w:w="29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33"/>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360" w:type="dxa"/>
            <w:vAlign w:val="bottom"/>
          </w:tcPr>
          <w:p>
            <w:pPr>
              <w:spacing w:after="0"/>
              <w:rPr>
                <w:sz w:val="20"/>
                <w:szCs w:val="20"/>
                <w:color w:val="auto"/>
              </w:rPr>
            </w:pPr>
          </w:p>
        </w:tc>
        <w:tc>
          <w:tcPr>
            <w:tcW w:w="29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234"/>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60" w:type="dxa"/>
            <w:vAlign w:val="bottom"/>
          </w:tcPr>
          <w:p>
            <w:pPr>
              <w:spacing w:after="0"/>
              <w:rPr>
                <w:sz w:val="20"/>
                <w:szCs w:val="20"/>
                <w:color w:val="auto"/>
              </w:rPr>
            </w:pPr>
          </w:p>
        </w:tc>
        <w:tc>
          <w:tcPr>
            <w:tcW w:w="29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651-8851</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5" w:lineRule="exact"/>
        <w:rPr>
          <w:sz w:val="24"/>
          <w:szCs w:val="24"/>
          <w:color w:val="auto"/>
        </w:rPr>
      </w:pPr>
    </w:p>
    <w:tbl>
      <w:tblPr>
        <w:tblLayout w:type="fixed"/>
        <w:tblInd w:w="4"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540" w:type="dxa"/>
            <w:vAlign w:val="bottom"/>
          </w:tcPr>
          <w:p>
            <w:pPr>
              <w:spacing w:after="0"/>
              <w:rPr>
                <w:sz w:val="17"/>
                <w:szCs w:val="17"/>
                <w:color w:val="auto"/>
              </w:rPr>
            </w:pPr>
          </w:p>
        </w:tc>
      </w:tr>
      <w:tr>
        <w:trPr>
          <w:trHeight w:val="225"/>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4"/>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62"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24"/>
          </w:cols>
          <w:pgMar w:left="436" w:top="221"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17, 2023, Fulcrum Therapeutics, Inc., or Fulcrum, entered into an underwriting agreement with Goldman Sachs &amp; Co. LLC, SVB Securities LLC and Piper Sandler &amp; Co., as the representatives of the several underwriters, or the Underwriters, relating to an underwritten public offering of 9,615,384 shares of its common stock, par value $0.001 per share, at a price to the public of $13.00 per share, less underwriting discounts and commissions. All of the shares are being sold by Fulcrum. Under the terms of the underwriting agreement, Fulcrum granted the Underwriters an option, exercisable for 30 days, to purchase up to an additional 1,442,307 shares of its common stock at the same price per share as the shares, less underwriting discounts and commissions.</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Fulcrum estimates that the net proceeds from the offering will be approximately $117.3 million, or approximately $134.9 million if the Underwriters exercise in full their option to purchase the additional shares, in each case after deducting underwriting discounts and commissions and estimated offering expenses.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shares will be issued pursuant to a shelf registration statement on Form S-3, as amended by that certain post-effective Amendment No. 2 that was filed with the Securities and Exchange Commission, or the SEC, on March 3, 2022 and declared effective by the SEC on April 28, 2022 (File</w:t>
      </w:r>
    </w:p>
    <w:p>
      <w:pPr>
        <w:ind w:right="400"/>
        <w:spacing w:after="0" w:line="260" w:lineRule="auto"/>
        <w:rPr>
          <w:sz w:val="20"/>
          <w:szCs w:val="20"/>
          <w:color w:val="auto"/>
        </w:rPr>
      </w:pPr>
      <w:r>
        <w:rPr>
          <w:rFonts w:ascii="Times New Roman" w:cs="Times New Roman" w:eastAsia="Times New Roman" w:hAnsi="Times New Roman"/>
          <w:sz w:val="18"/>
          <w:szCs w:val="18"/>
          <w:color w:val="auto"/>
        </w:rPr>
        <w:t>No. 333-260754). A final prospectus supplement relating to the offering was filed with the SEC on January 18, 2023. The closing of the offering is expected to take place on or about January 20, 2023, subject to the satisfaction of customary closing conditions.</w:t>
      </w:r>
    </w:p>
    <w:p>
      <w:pPr>
        <w:spacing w:after="0" w:line="1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covenants and agreements by Fulcrum, customary conditions to closing, indemnification obligations of Fulcrum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In addition, subject to certain exceptions, Fulcrum and its executive officers and directors have agreed not to offer, sell, transfer or otherwise dispose of any shares of common stock during the 60-day period, in the case of Fulcrum, and the 30-day period, in the case of its directors and executive officers, following the date of the underwriting agreement. A copy of the underwriting agreement is attached as Exhibit 1.1 hereto and is incorporated herein by reference. The foregoing description of the material terms of the underwriting agreement does not purport to be complete and is qualified in its entirety by reference to such exhibit.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legal opinion and consent of Goodwin Procter LLP relating to the shares and the additional shares is attached as Exhibit 5.1 hereto.</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January 17, 2023, Fulcrum announced the pricing of the offering. A copy of the press release announcing the pricing of the offering is attached as Exhibit 99.1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4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4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4"/>
                <w:szCs w:val="24"/>
                <w:color w:val="auto"/>
              </w:rPr>
            </w:pPr>
          </w:p>
        </w:tc>
        <w:tc>
          <w:tcPr>
            <w:tcW w:w="99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Underwriting Agreement, dated January 17, 2023, by and among Fulcrum Therapeutics, Inc., Goldman Sachs &amp; Co. LLC, SVB Securities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5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LLC and Piper Sandler &amp; Co. as representatives of the several underwriters named in Schedule I thereto</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5"/>
              </w:rPr>
              <w:t>23.1</w:t>
            </w:r>
          </w:p>
        </w:tc>
        <w:tc>
          <w:tcPr>
            <w:tcW w:w="420" w:type="dxa"/>
            <w:vAlign w:val="bottom"/>
          </w:tcPr>
          <w:p>
            <w:pPr>
              <w:spacing w:after="0"/>
              <w:rPr>
                <w:sz w:val="24"/>
                <w:szCs w:val="24"/>
                <w:color w:val="auto"/>
              </w:rPr>
            </w:pPr>
          </w:p>
        </w:tc>
        <w:tc>
          <w:tcPr>
            <w:tcW w:w="48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Goodwin Procter LLP (contained in Exhibit 5.1 above)</w:t>
            </w:r>
          </w:p>
        </w:tc>
        <w:tc>
          <w:tcPr>
            <w:tcW w:w="5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5"/>
              </w:rPr>
              <w:t>99.1</w:t>
            </w:r>
          </w:p>
        </w:tc>
        <w:tc>
          <w:tcPr>
            <w:tcW w:w="420" w:type="dxa"/>
            <w:vAlign w:val="bottom"/>
          </w:tcPr>
          <w:p>
            <w:pPr>
              <w:spacing w:after="0"/>
              <w:rPr>
                <w:sz w:val="24"/>
                <w:szCs w:val="24"/>
                <w:color w:val="auto"/>
              </w:rPr>
            </w:pPr>
          </w:p>
        </w:tc>
        <w:tc>
          <w:tcPr>
            <w:tcW w:w="2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January 17, 2023</w:t>
            </w:r>
          </w:p>
        </w:tc>
        <w:tc>
          <w:tcPr>
            <w:tcW w:w="7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January 18,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Curtis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Curtis Oltmans</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17,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(the “Representatives”) of the several Underwriters named in Schedule I hereto,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10282-2198</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SVB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State Street, 40th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1251 Avenue of the Americas, 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Fulcrum Therapeutics, Inc., a Delaware corporation (the “Company”), proposes, subject to the terms and conditions stated in this agreement (this “Agreement”), to issue and sell to the Underwriters named in Schedule I hereto (the “Underwriters”) an aggregate of 9,615,384 shares (the “Firm Shares”) and, at the election of the Underwriters, up to 1,442,307 additional shares (the “Optional Shares”) of common stock, par value $0.001 per share (“Stock”), of the Company (the Firm Shares and the Optional Shares that the Underwriters elect to purchase pursuant to Section 2 hereof being collectively called the “Shares”).</w:t>
      </w:r>
    </w:p>
    <w:p>
      <w:pPr>
        <w:sectPr>
          <w:pgSz w:w="11900" w:h="16838" w:orient="portrait"/>
          <w:cols w:equalWidth="0" w:num="1">
            <w:col w:w="11020"/>
          </w:cols>
          <w:pgMar w:left="440" w:top="117" w:right="439" w:bottom="1440" w:gutter="0" w:footer="0" w:header="0"/>
        </w:sectPr>
      </w:pPr>
    </w:p>
    <w:bookmarkStart w:id="4" w:name="page5"/>
    <w:bookmarkEnd w:id="4"/>
    <w:p>
      <w:pPr>
        <w:ind w:left="184" w:hanging="184"/>
        <w:spacing w:after="0"/>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represents and warrants to, and agrees with, each of the Underwriters that:</w:t>
      </w:r>
    </w:p>
    <w:p>
      <w:pPr>
        <w:spacing w:after="0" w:line="117" w:lineRule="exact"/>
        <w:rPr>
          <w:rFonts w:ascii="Times New Roman" w:cs="Times New Roman" w:eastAsia="Times New Roman" w:hAnsi="Times New Roman"/>
          <w:sz w:val="18"/>
          <w:szCs w:val="18"/>
          <w:color w:val="auto"/>
        </w:rPr>
      </w:pPr>
    </w:p>
    <w:p>
      <w:pPr>
        <w:ind w:left="4" w:firstLine="419"/>
        <w:spacing w:after="0" w:line="251" w:lineRule="auto"/>
        <w:tabs>
          <w:tab w:leader="none" w:pos="67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S-3 (File No. 333-260754) (the “Initial Registration Statement”) in respect of the Shares has been filed with the Securities and Exchange Commission (the “Commission”); the Initial Registration Statement and any post-effective amendment thereto, each in the form heretofore delivered to you, became effective upon filing or has been declared effective by the Commission in such form, as the case may be;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or document incorporated by reference therein has been filed, or transmitted for filing, with the Commission (other than prospectuses filed pursuant to Rule 424(b) of the rules and regulations of the Commission under the Act, each in the form heretofore delivered to the Representatives); and no stop order suspending the effectiveness of the Initial Registration Statement, any post-effective amendment thereto or any part thereof or the Rule 462(b) Registration Statement, if any, has been issued and no proceeding for that purpose or pursuant to Section 8A of the Act has been initiated or threatened by the Commission (the base prospectus filed as part of the Initial Registration Statement, in the form in which it has most recently been filed with the Commission on or prior to the date of this Agreement relating to the Shares, is hereinafter called the “Basic Prospectus”; any preliminary prospectus (including any preliminary prospectus supplement) relating to the Shares filed with the Commission pursuant to Rule 424(b) under the Act is hereinafter called a “Preliminary Prospectus”; the various parts of the Initial Registration Statement and the Rule 462(b) Registration Statement, if any, including all exhibits thereto but excluding Form T-1 and including any prospectus supplement relating to the Shares that is filed with the Commission and deemed by virtue of Rule 430B under the Act to be part of the Initial Registration Statement, each as amended at the time such part of the Initial Registration Statement became effective or such part of the Rule 462(b) Registration Statement, if any, became or hereafter becomes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Shares filed with the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Shares filed with the Commission pursuant to Rule 424(b) under the Act and any documents filed under the Securities Exchange Act of 1934, as amended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oral or written communication with potential investors undertaken in reliance on Section 5(d) of the Act or Rule 163B under the Act is hereinafter called a “Testing-the-Waters Communication”; and any Testing-the-Waters Communication that is a written communication within the meaning of Rule</w:t>
      </w:r>
    </w:p>
    <w:p>
      <w:pPr>
        <w:spacing w:after="0" w:line="4" w:lineRule="exact"/>
        <w:rPr>
          <w:rFonts w:ascii="Times New Roman" w:cs="Times New Roman" w:eastAsia="Times New Roman" w:hAnsi="Times New Roman"/>
          <w:sz w:val="18"/>
          <w:szCs w:val="18"/>
          <w:color w:val="auto"/>
        </w:rPr>
      </w:pPr>
    </w:p>
    <w:p>
      <w:pPr>
        <w:ind w:left="4" w:right="380" w:hanging="4"/>
        <w:spacing w:after="0" w:line="260" w:lineRule="auto"/>
        <w:tabs>
          <w:tab w:leader="none" w:pos="3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Act is hereinafter called a “Written Testing-the-Waters Communication”; and any “issuer free writing prospectus” as defined in Rule 433 under the Act relating to the Shares is hereinafter called an “Issuer Free Writing Prospectus”);</w:t>
      </w:r>
    </w:p>
    <w:p>
      <w:pPr>
        <w:spacing w:after="0" w:line="73" w:lineRule="exact"/>
        <w:rPr>
          <w:rFonts w:ascii="Times New Roman" w:cs="Times New Roman" w:eastAsia="Times New Roman" w:hAnsi="Times New Roman"/>
          <w:sz w:val="18"/>
          <w:szCs w:val="18"/>
          <w:color w:val="auto"/>
        </w:rPr>
      </w:pPr>
    </w:p>
    <w:p>
      <w:pPr>
        <w:ind w:left="4" w:right="160" w:firstLine="419"/>
        <w:spacing w:after="0" w:line="256" w:lineRule="auto"/>
        <w:tabs>
          <w:tab w:leader="none" w:pos="68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4"/>
          </w:cols>
          <w:pgMar w:left="876" w:top="270" w:right="459" w:bottom="1440" w:gutter="0" w:footer="0" w:header="0"/>
        </w:sectPr>
      </w:pPr>
    </w:p>
    <w:bookmarkStart w:id="5" w:name="page6"/>
    <w:bookmarkEnd w:id="5"/>
    <w:p>
      <w:pPr>
        <w:ind w:right="40" w:firstLine="419"/>
        <w:spacing w:after="0" w:line="253" w:lineRule="auto"/>
        <w:tabs>
          <w:tab w:leader="none" w:pos="6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this Agreement, the “Applicable Time” is 7:00 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83" w:lineRule="exact"/>
        <w:rPr>
          <w:rFonts w:ascii="Times New Roman" w:cs="Times New Roman" w:eastAsia="Times New Roman" w:hAnsi="Times New Roman"/>
          <w:sz w:val="18"/>
          <w:szCs w:val="18"/>
          <w:color w:val="auto"/>
        </w:rPr>
      </w:pPr>
    </w:p>
    <w:p>
      <w:pPr>
        <w:ind w:right="40" w:firstLine="419"/>
        <w:spacing w:after="0" w:line="253"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Pricing Prospectus and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Pricing Prospectus and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in the light of the circumstances under which they were made, not misleading;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this representation and warranty shall not apply to any statements or omissions made in reliance upon and in conformity with the Underwriter Information; and no such documents were filed by the Company with the Commission since the Commission’s close of business on the business day immediately prior to the date of this Agreement and prior to the execution of this Agreement, except as set forth on Schedule II(b) hereto;</w:t>
      </w:r>
    </w:p>
    <w:p>
      <w:pPr>
        <w:spacing w:after="0" w:line="81" w:lineRule="exact"/>
        <w:rPr>
          <w:rFonts w:ascii="Times New Roman" w:cs="Times New Roman" w:eastAsia="Times New Roman" w:hAnsi="Times New Roman"/>
          <w:sz w:val="18"/>
          <w:szCs w:val="18"/>
          <w:color w:val="auto"/>
        </w:rPr>
      </w:pPr>
    </w:p>
    <w:p>
      <w:pPr>
        <w:ind w:firstLine="419"/>
        <w:spacing w:after="0" w:line="255" w:lineRule="auto"/>
        <w:tabs>
          <w:tab w:leader="none" w:pos="6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conforms, and the Prospectus and any further amendments or supplements to the Registration Statement and the Prospectus, on the date when such prospectus is filed,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70" w:right="479" w:bottom="1440" w:gutter="0" w:footer="0" w:header="0"/>
        </w:sectPr>
      </w:pPr>
    </w:p>
    <w:bookmarkStart w:id="6" w:name="page7"/>
    <w:bookmarkEnd w:id="6"/>
    <w:p>
      <w:pPr>
        <w:ind w:firstLine="419"/>
        <w:spacing w:after="0" w:line="252" w:lineRule="auto"/>
        <w:tabs>
          <w:tab w:leader="none" w:pos="6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its subsidiary has, since the date of the latest audited financial statements included or incorporated by reference in the Pricing Prospectus, (i) sustained any material loss or material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subsidiary taken as a whole or incurred any liability or obligation, direct or contingent, that is material to the Company and its subsidiary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or (ii) the issuance, if any, of stock upon conversion of Company securities as described in the Pricing Prospectus and the Prospectus) or long term debt of the Company or its subsidiary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prospects, stockholders’ equity or results of operations of the Company and its subsidiary, taken as a whole,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87" w:lineRule="exact"/>
        <w:rPr>
          <w:rFonts w:ascii="Times New Roman" w:cs="Times New Roman" w:eastAsia="Times New Roman" w:hAnsi="Times New Roman"/>
          <w:sz w:val="18"/>
          <w:szCs w:val="18"/>
          <w:color w:val="auto"/>
        </w:rPr>
      </w:pPr>
    </w:p>
    <w:p>
      <w:pPr>
        <w:ind w:right="40" w:firstLine="419"/>
        <w:spacing w:after="0" w:line="256"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do not own any real property and have good and marketable title to all personal property owned by them, in each case free and clear of all liens, encumbrances and defects except such as are described in the Pricing Prospectus and the Prospectus or such as do not materially affect the value of such property and do not materially interfere with the use made and proposed to be made of such property by the Company and its subsidiary; and any real property and buildings held under lease by the Company and its subsidiary are held by them under valid, subsisting and enforceable leases with such exceptions as are not material and do not materially interfere with the use made and proposed to be made of such property and buildings by the Company and its subsidiary;</w:t>
      </w:r>
    </w:p>
    <w:p>
      <w:pPr>
        <w:spacing w:after="0" w:line="79" w:lineRule="exact"/>
        <w:rPr>
          <w:rFonts w:ascii="Times New Roman" w:cs="Times New Roman" w:eastAsia="Times New Roman" w:hAnsi="Times New Roman"/>
          <w:sz w:val="18"/>
          <w:szCs w:val="18"/>
          <w:color w:val="auto"/>
        </w:rPr>
      </w:pPr>
    </w:p>
    <w:p>
      <w:pPr>
        <w:ind w:right="20" w:firstLine="419"/>
        <w:spacing w:after="0" w:line="255"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subsidiary has been (i) duly organized and is validly existing as a corporation and in good standing under the laws of its jurisdiction of organization, with corporate power and authority to own and/or lease its properties and conduct its business as described in the Pricing Prospectus, and (ii) duly qualified as a foreign corporation or other form of entity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has been listed in Exhibit 21.1 to the Annual Report on Form 10-K filed by the Company with the Commission on March 3, 2022;</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7" w:name="page8"/>
    <w:bookmarkEnd w:id="7"/>
    <w:p>
      <w:pPr>
        <w:ind w:right="40" w:firstLine="419"/>
        <w:spacing w:after="0" w:line="254" w:lineRule="auto"/>
        <w:tabs>
          <w:tab w:leader="none" w:pos="6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an authorized capitalization as set forth in the Pricing Prospectus and all of the issued shares of capital stock of the Company have been duly and validly authorized and issued and are fully paid and non-assessable and conform to the description of the Stock contained in the Pricing Disclosure Package and the Prospectus; and all of the issued shares of capital stock of the Company’s subsidiary have been duly and validly authorized and issued, are fully paid and non-assessable and are owned directly by the Company, free and clear of all liens, encumbrances, equities or claims; and the Shares to be issued and sold by the Company to the Underwriters hereunder have been duly and validly authorized and, when issued and delivered against payment therefor as provided herein, will be duly and validly issued and fully paid and non-assessable and will conform to the description of the Stock contained in the Pricing Disclosure Package and the Prospectus; and the issuance of the Shares is not subject to any preemptive or similar rights, except as have been validly waived or complied with in connection with the offering of the Shares;</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and sale of the Shares and the compliance by the Company with this Agreement and the consummation of the transactions contemplated in this Agreement and the Pricing Prospectus and the Prospectus will not conflict with or result in a breach or violation of any of the terms or provisions of, or constitute a default under, (A) any indenture, mortgage, deed of trust, loan agreement, lease or other agreement or instrument to which the Company or its subsidiary is a party or by which the Company or its subsidiary is bound or to which any of the property or assets of the Company or its subsidiary is subject, (B) the certificate of incorporation or by-laws (or other applicable organizational document) of the Company or its subsidiary, or (C) any statute or any judgment, order, rule or regulation of any court or governmental agency or body having jurisdiction over the Company or its subsidiary or any of their properties, except in the case of clauses (A) and (C), for such defaults, breaches or violations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for listing the Shares on The Nasdaq Global Market (the “Exchange”) and for such consents, approvals, authorizations, orders, registrations or qualifications as may be required under state securities or Blue Sky laws in connection with the purchase and distribution of the Shares by the Underwriters;</w:t>
      </w:r>
    </w:p>
    <w:p>
      <w:pPr>
        <w:spacing w:after="0" w:line="79" w:lineRule="exact"/>
        <w:rPr>
          <w:rFonts w:ascii="Times New Roman" w:cs="Times New Roman" w:eastAsia="Times New Roman" w:hAnsi="Times New Roman"/>
          <w:sz w:val="18"/>
          <w:szCs w:val="18"/>
          <w:color w:val="auto"/>
        </w:rPr>
      </w:pPr>
    </w:p>
    <w:p>
      <w:pPr>
        <w:ind w:right="40" w:firstLine="419"/>
        <w:spacing w:after="0" w:line="255"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Prospectus, there are no legal, governmental or regulatory investigations, actions, demands, claims, suits, arbitrations, inquiries or proceedings (“Actions”) pending to which the Company or its subsidiary or, to the Company’s knowledge, any officer or director of the Company is a party or of which any property or assets of the Company or its subsidiary or, to the Company’s knowledge, any officer or director of the Company is the subject which, if determined adversely to the Company or its subsidiary (or such officer or director), would individually or in the aggregate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therein;</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70" w:right="479" w:bottom="1440" w:gutter="0" w:footer="0" w:header="0"/>
        </w:sectPr>
      </w:pPr>
    </w:p>
    <w:bookmarkStart w:id="8" w:name="page9"/>
    <w:bookmarkEnd w:id="8"/>
    <w:p>
      <w:pPr>
        <w:ind w:left="4" w:firstLine="419"/>
        <w:spacing w:after="0" w:line="256" w:lineRule="auto"/>
        <w:tabs>
          <w:tab w:leader="none" w:pos="64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its subsidiary is (i) in violation of its certificate of incorporation or by-laws (or other applicable organizational document), (ii) in violation of any statute or any judgment, order, rule or regulation of any court or governmental agency or body having jurisdiction over the Company or its subsidiary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79" w:lineRule="exact"/>
        <w:rPr>
          <w:rFonts w:ascii="Times New Roman" w:cs="Times New Roman" w:eastAsia="Times New Roman" w:hAnsi="Times New Roman"/>
          <w:sz w:val="18"/>
          <w:szCs w:val="18"/>
          <w:color w:val="auto"/>
        </w:rPr>
      </w:pPr>
    </w:p>
    <w:p>
      <w:pPr>
        <w:ind w:left="4" w:right="460" w:firstLine="419"/>
        <w:spacing w:after="0" w:line="282" w:lineRule="auto"/>
        <w:tabs>
          <w:tab w:leader="none" w:pos="73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Pricing Prospectus and Prospectus under the caption “Description of Capital Stock”, insofar as they purport to constitute a summary of the terms of the Stock, are accurate, complete and fair in all material respects;</w:t>
      </w:r>
    </w:p>
    <w:p>
      <w:pPr>
        <w:spacing w:after="0" w:line="53"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6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will not be an “investment company”, as such term is defined in the Investment Company Act of 1940, as amended;</w:t>
      </w:r>
    </w:p>
    <w:p>
      <w:pPr>
        <w:spacing w:after="0" w:line="53" w:lineRule="exact"/>
        <w:rPr>
          <w:rFonts w:ascii="Times New Roman" w:cs="Times New Roman" w:eastAsia="Times New Roman" w:hAnsi="Times New Roman"/>
          <w:sz w:val="18"/>
          <w:szCs w:val="18"/>
          <w:color w:val="auto"/>
        </w:rPr>
      </w:pPr>
    </w:p>
    <w:p>
      <w:pPr>
        <w:jc w:val="both"/>
        <w:ind w:left="4" w:right="220" w:firstLine="419"/>
        <w:spacing w:after="0" w:line="266" w:lineRule="auto"/>
        <w:tabs>
          <w:tab w:leader="none" w:pos="6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in Rule 405 under the Act;</w:t>
      </w:r>
    </w:p>
    <w:p>
      <w:pPr>
        <w:spacing w:after="0" w:line="67" w:lineRule="exact"/>
        <w:rPr>
          <w:rFonts w:ascii="Times New Roman" w:cs="Times New Roman" w:eastAsia="Times New Roman" w:hAnsi="Times New Roman"/>
          <w:sz w:val="18"/>
          <w:szCs w:val="18"/>
          <w:color w:val="auto"/>
        </w:rPr>
      </w:pPr>
    </w:p>
    <w:p>
      <w:pPr>
        <w:ind w:left="4" w:right="640" w:firstLine="419"/>
        <w:spacing w:after="0" w:line="282" w:lineRule="auto"/>
        <w:tabs>
          <w:tab w:leader="none" w:pos="6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which has certified certain financial statements of the Company and its subsidiary, is an independent public accounting firm as required by the Act and the rules and regulations of the Commission thereunder;</w:t>
      </w:r>
    </w:p>
    <w:p>
      <w:pPr>
        <w:spacing w:after="0" w:line="53" w:lineRule="exact"/>
        <w:rPr>
          <w:rFonts w:ascii="Times New Roman" w:cs="Times New Roman" w:eastAsia="Times New Roman" w:hAnsi="Times New Roman"/>
          <w:sz w:val="18"/>
          <w:szCs w:val="18"/>
          <w:color w:val="auto"/>
        </w:rPr>
      </w:pPr>
    </w:p>
    <w:p>
      <w:pPr>
        <w:ind w:left="4" w:right="180" w:firstLine="419"/>
        <w:spacing w:after="0" w:line="269" w:lineRule="auto"/>
        <w:tabs>
          <w:tab w:leader="none" w:pos="68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maintains a system of internal control over financial reporting (as such term is defined in Rule 13a-15(f) under the Exchange Act)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w:t>
      </w:r>
    </w:p>
    <w:p>
      <w:pPr>
        <w:spacing w:after="0" w:line="2" w:lineRule="exact"/>
        <w:rPr>
          <w:rFonts w:ascii="Times New Roman" w:cs="Times New Roman" w:eastAsia="Times New Roman" w:hAnsi="Times New Roman"/>
          <w:sz w:val="17"/>
          <w:szCs w:val="17"/>
          <w:color w:val="auto"/>
        </w:rPr>
      </w:pPr>
    </w:p>
    <w:p>
      <w:pPr>
        <w:ind w:left="4" w:right="200" w:hanging="4"/>
        <w:spacing w:after="0" w:line="253" w:lineRule="auto"/>
        <w:tabs>
          <w:tab w:leader="none" w:pos="2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w:t>
      </w:r>
    </w:p>
    <w:p>
      <w:pPr>
        <w:spacing w:after="0" w:line="78" w:lineRule="exact"/>
        <w:rPr>
          <w:rFonts w:ascii="Times New Roman" w:cs="Times New Roman" w:eastAsia="Times New Roman" w:hAnsi="Times New Roman"/>
          <w:sz w:val="18"/>
          <w:szCs w:val="18"/>
          <w:color w:val="auto"/>
        </w:rPr>
      </w:pPr>
    </w:p>
    <w:p>
      <w:pPr>
        <w:ind w:left="4" w:firstLine="419"/>
        <w:spacing w:after="0" w:line="266" w:lineRule="auto"/>
        <w:tabs>
          <w:tab w:leader="none" w:pos="65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included or incorporated by reference in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67" w:lineRule="exact"/>
        <w:rPr>
          <w:rFonts w:ascii="Times New Roman" w:cs="Times New Roman" w:eastAsia="Times New Roman" w:hAnsi="Times New Roman"/>
          <w:sz w:val="18"/>
          <w:szCs w:val="18"/>
          <w:color w:val="auto"/>
        </w:rPr>
      </w:pPr>
    </w:p>
    <w:p>
      <w:pPr>
        <w:ind w:left="4" w:right="40" w:firstLine="419"/>
        <w:spacing w:after="0" w:line="261" w:lineRule="auto"/>
        <w:tabs>
          <w:tab w:leader="none" w:pos="6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subsidiary is made known to the Company’s principal executive officer and principal financial officer by others within those entities; and such disclosure controls and procedures are effective;</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4"/>
          </w:cols>
          <w:pgMar w:left="876" w:top="270" w:right="459" w:bottom="1440" w:gutter="0" w:footer="0" w:header="0"/>
        </w:sectPr>
      </w:pPr>
    </w:p>
    <w:bookmarkStart w:id="9" w:name="page10"/>
    <w:bookmarkEnd w:id="9"/>
    <w:p>
      <w:pPr>
        <w:ind w:firstLine="419"/>
        <w:spacing w:after="0" w:line="253" w:lineRule="auto"/>
        <w:tabs>
          <w:tab w:leader="none" w:pos="6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its subsidiary, nor any director, officer, or employee of the Company or its subsidiary nor, to the knowledge of the Company, any agent, affiliate or other person associated with or acting on behalf of the Company or its subsidiary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the Company and its subsidiary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 neither the Company nor its subsidiary will use, directly or indirectly, the proceeds of the offering in furtherance of an offer, payment, promise to pay, or authorization of the payment or giving of money, or anything else of value, to any person in violation of Anti-Corruption Laws;</w:t>
      </w:r>
    </w:p>
    <w:p>
      <w:pPr>
        <w:spacing w:after="0" w:line="83" w:lineRule="exact"/>
        <w:rPr>
          <w:rFonts w:ascii="Times New Roman" w:cs="Times New Roman" w:eastAsia="Times New Roman" w:hAnsi="Times New Roman"/>
          <w:sz w:val="18"/>
          <w:szCs w:val="18"/>
          <w:color w:val="auto"/>
        </w:rPr>
      </w:pPr>
    </w:p>
    <w:p>
      <w:pPr>
        <w:ind w:firstLine="419"/>
        <w:spacing w:after="0" w:line="255"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subsidiary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subsidiary conduct business, the rules and regulations thereunder and any related or similar rules, regulation or guidelines issued, administered or enforced by any governmental agency (collectively, the “Money Laundering Laws”) and no action, suit or proceeding by or before any court or governmental agency, authority or body or any arbitrator involving the Company or its subsidiary with respect to the Money Laundering Laws is pending or, to the knowledge of the Company, threatened;</w:t>
      </w:r>
    </w:p>
    <w:p>
      <w:pPr>
        <w:spacing w:after="0" w:line="80" w:lineRule="exact"/>
        <w:rPr>
          <w:rFonts w:ascii="Times New Roman" w:cs="Times New Roman" w:eastAsia="Times New Roman" w:hAnsi="Times New Roman"/>
          <w:sz w:val="18"/>
          <w:szCs w:val="18"/>
          <w:color w:val="auto"/>
        </w:rPr>
      </w:pPr>
    </w:p>
    <w:p>
      <w:pPr>
        <w:ind w:right="20" w:firstLine="419"/>
        <w:spacing w:after="0" w:line="252"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nor any director, officer, or employee of the Company or its subsidiary nor, to the knowledge of the Company, any agent, affiliate or other person associated with or acting on behalf of the Company or its subsidiary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(ii) located, organized, or resident in a country or territory that is the subject or target of Sanctions (a “Sanctioned Jurisdiction”),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neither the Company nor y its subsidiary is engaged in, or has, at any time in the past five years, engaged in, any dealings or transactions with or involving any individual or entity that was or is, as applicable, at the time of such dealing or transaction, the subject or target of Sanctions or with any Sanctioned Jurisdiction; the Company and its subsidiary have instituted, and maintain, policies and procedures designed to promote and achieve continued compliance with Sanctions;</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0" w:name="page11"/>
    <w:bookmarkEnd w:id="10"/>
    <w:p>
      <w:pPr>
        <w:ind w:left="720" w:hanging="301"/>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in the Registration Statement, the Pricing Prospectus and the Prospectus, together with the related schedules and notes, present fairly in all material respects the financial position of the Company and its subsidiary at the dates indicated and the statement of operations, stockholders’ equity and cash flows of the Company and its subsidiary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spacing w:after="0" w:line="86"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(i) own or otherwise possess adequate rights to use all material patents, patent applications, trademarks, service marks, trade names, domain names, copyrights and registrations and applications thereof, licenses, know-how, software, systems and technology (including trade secrets and other unpatented and/or unpatentable proprietary or confidential information, systems or procedures and other intellectual property) necessary for the conduct of their respective businesses, (ii) do not, through the conduct of their respective businesses, infringe, violate or conflict with any such right of others and (iii) have not received any written notice of any claim of infringement, violation or conflict with, any such rights of others;</w:t>
      </w:r>
    </w:p>
    <w:p>
      <w:pPr>
        <w:spacing w:after="0" w:line="79"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subsidiary as currently conducted, free and clear of all material bugs, errors, defects, Trojan horses, time bombs, malware and other corruptants; the Company and its subsidiary have implemented and maintained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subsidiary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2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00"/>
          </w:cols>
          <w:pgMar w:left="880" w:top="270" w:right="519" w:bottom="1440" w:gutter="0" w:footer="0" w:header="0"/>
        </w:sectPr>
      </w:pPr>
    </w:p>
    <w:bookmarkStart w:id="11" w:name="page12"/>
    <w:bookmarkEnd w:id="11"/>
    <w:p>
      <w:pPr>
        <w:ind w:right="280" w:firstLine="419"/>
        <w:spacing w:after="0" w:line="266" w:lineRule="auto"/>
        <w:tabs>
          <w:tab w:leader="none" w:pos="7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w:t>
      </w:r>
    </w:p>
    <w:p>
      <w:pPr>
        <w:spacing w:after="0" w:line="67" w:lineRule="exact"/>
        <w:rPr>
          <w:rFonts w:ascii="Times New Roman" w:cs="Times New Roman" w:eastAsia="Times New Roman" w:hAnsi="Times New Roman"/>
          <w:sz w:val="18"/>
          <w:szCs w:val="18"/>
          <w:color w:val="auto"/>
        </w:rPr>
      </w:pPr>
    </w:p>
    <w:p>
      <w:pPr>
        <w:ind w:right="100" w:firstLine="419"/>
        <w:spacing w:after="0" w:line="266" w:lineRule="auto"/>
        <w:tabs>
          <w:tab w:leader="none" w:pos="7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w:t>
      </w:r>
    </w:p>
    <w:p>
      <w:pPr>
        <w:spacing w:after="0" w:line="67" w:lineRule="exact"/>
        <w:rPr>
          <w:rFonts w:ascii="Times New Roman" w:cs="Times New Roman" w:eastAsia="Times New Roman" w:hAnsi="Times New Roman"/>
          <w:sz w:val="18"/>
          <w:szCs w:val="18"/>
          <w:color w:val="auto"/>
        </w:rPr>
      </w:pPr>
    </w:p>
    <w:p>
      <w:pPr>
        <w:jc w:val="both"/>
        <w:ind w:firstLine="419"/>
        <w:spacing w:after="0" w:line="266" w:lineRule="auto"/>
        <w:tabs>
          <w:tab w:leader="none" w:pos="7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or any of the Company’s directors or 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67" w:lineRule="exact"/>
        <w:rPr>
          <w:rFonts w:ascii="Times New Roman" w:cs="Times New Roman" w:eastAsia="Times New Roman" w:hAnsi="Times New Roman"/>
          <w:sz w:val="18"/>
          <w:szCs w:val="18"/>
          <w:color w:val="auto"/>
        </w:rPr>
      </w:pPr>
    </w:p>
    <w:p>
      <w:pPr>
        <w:ind w:right="500" w:firstLine="419"/>
        <w:spacing w:after="0" w:line="266" w:lineRule="auto"/>
        <w:tabs>
          <w:tab w:leader="none" w:pos="7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affiliates has taken or will take, directly or indirectly, any action designed to or that could reasonably be expected to cause or result in the stabilization or manipulation of the price of any security of the Company or its subsidiary in connection with the offering of the Shares;</w:t>
      </w:r>
    </w:p>
    <w:p>
      <w:pPr>
        <w:spacing w:after="0" w:line="67" w:lineRule="exact"/>
        <w:rPr>
          <w:rFonts w:ascii="Times New Roman" w:cs="Times New Roman" w:eastAsia="Times New Roman" w:hAnsi="Times New Roman"/>
          <w:sz w:val="18"/>
          <w:szCs w:val="18"/>
          <w:color w:val="auto"/>
        </w:rPr>
      </w:pPr>
    </w:p>
    <w:p>
      <w:pPr>
        <w:ind w:right="40" w:firstLine="419"/>
        <w:spacing w:after="0" w:line="256" w:lineRule="auto"/>
        <w:tabs>
          <w:tab w:leader="none" w:pos="7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have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individually or in the aggregate, reasonably be expected to have a Material Adverse Effect. Neither the Company nor its subsidiary has received notice of any proceedings related to the revocation or modification of any such Permits that, individually or in the aggregate, if the subject of an unfavorable decision, ruling or finding, would have a Material Adverse Effect;</w:t>
      </w:r>
    </w:p>
    <w:p>
      <w:pPr>
        <w:spacing w:after="0" w:line="79" w:lineRule="exact"/>
        <w:rPr>
          <w:rFonts w:ascii="Times New Roman" w:cs="Times New Roman" w:eastAsia="Times New Roman" w:hAnsi="Times New Roman"/>
          <w:sz w:val="18"/>
          <w:szCs w:val="18"/>
          <w:color w:val="auto"/>
        </w:rPr>
      </w:pPr>
    </w:p>
    <w:p>
      <w:pPr>
        <w:ind w:right="400" w:firstLine="419"/>
        <w:spacing w:after="0" w:line="282" w:lineRule="auto"/>
        <w:tabs>
          <w:tab w:leader="none" w:pos="7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taken as a whole, are insured against such losses and risks and in such amounts as are prudent and customary in the businesses in which they are engaged;</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2" w:name="page13"/>
    <w:bookmarkEnd w:id="12"/>
    <w:p>
      <w:pPr>
        <w:ind w:firstLine="419"/>
        <w:spacing w:after="0" w:line="251" w:lineRule="auto"/>
        <w:tabs>
          <w:tab w:leader="none" w:pos="7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subsidiary, and to the Company’s knowledge, their respective directors, officers and employees, are, and at all times have been, in compliance with applicable Health Care Laws (defined herein) including, but not limited to, the rules and regulations of the Food and Drug Administration (“FDA”), the U.S. Department of Health and Human Services Office of Inspector General, the Centers for Medicare &amp; Medicaid Services, the Office for Civil Rights, and any other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or federal healthcare program, except for such noncompliance that would not, individually or in the aggregate, reasonably be expected to have a Material Adverse Effect. For purposes of this Agreement, “Health Care Laws” shall mean, as applicable, the federal Anti-kickback Statute (42 U.S.C. § 1320a-7b(b)), the Physician Payments Sunshine Act (42 U.S.C. § 1320a-7h), the civil False Claims Act (31 U.S.C. §§ 3729 et seq.), the criminal False Claims Act (42 U.S.C. § 1320a-7b(a)), applicable criminal laws relating to health care fraud and abuse, the exclusion laws (42 U.S.C. § 1320a-7), the civil monetary penalties law (42 U.S.C. § 1320a-7a), the health care fraud criminal provisions under the Health Insurance Portability and Accountability Act of 1996 (42 U.S.C. §§ 1320d et seq.) (“HIPAA”), the exclusion laws (42 U.S.C. § 1320a-7), the civil monetary penalties law (42 U.S.C. § 1320a-7a), HIPAA, as amended by the Health Information Technology for Economic and Clinical Health Act (42 U.S.C. §§ 17921 et seq.), the Federal Food, Drug, and Cosmetic Act (21 U.S.C. §§ 301 et seq.), the Patient Protection and Affordable Care Act of 2010 (Pub. Law 111-148), as amended by the Health Care and Education Reconciliation Act of 2010 (Pub. Law 111-152), and the regulations promulgated pursuant to the aforementioned statutes. Neither the Company nor its subsidiary is a party to or has any ongoing reporting obligations pursuant to any corporate integrity agreement, deferred prosecution agreement, monitoring agreement, consent decree, settlement order, plan of correction or similar agreement imposed by any governmental authority. Neither the Company nor its subsidiary has received any written notification, correspondence or any other written communication, including, without limitation, any Form FDA 483, notice of adverse finding, warning letter, untitled letter or other correspondence or notice from the FDA or any similar regulatory authority, or any notification of any pending or, to the Company’s knowledge, threatened claim, suit, proceeding, hearing, enforcement, investigation, arbitration or other action, from any governmental authority of alleging material non-compliance by, or material liability of, the Company or its subsidiary under any Health Care Laws;</w:t>
      </w:r>
    </w:p>
    <w:p>
      <w:pPr>
        <w:spacing w:after="0" w:line="97" w:lineRule="exact"/>
        <w:rPr>
          <w:rFonts w:ascii="Times New Roman" w:cs="Times New Roman" w:eastAsia="Times New Roman" w:hAnsi="Times New Roman"/>
          <w:sz w:val="18"/>
          <w:szCs w:val="18"/>
          <w:color w:val="auto"/>
        </w:rPr>
      </w:pPr>
    </w:p>
    <w:p>
      <w:pPr>
        <w:ind w:firstLine="419"/>
        <w:spacing w:after="0" w:line="252" w:lineRule="auto"/>
        <w:tabs>
          <w:tab w:leader="none" w:pos="7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subsidiary possesses, and is in material compliance with the terms of, all applications, certificates, approvals, clearances, registrations, exemptions, franchises, licenses, permits, consents and other authorizations issued by the appropriate Governmental Authorities and necessary to conduct their respective businesses as currently conducted or as proposed to be conducted as described in the Prospectus (collectively, “Licenses”), including, without limitation, all Licenses required by the FDA, or any component thereof, and/or by any other U.S., state, local or foreign government or drug regulatory agency (collectively, the “Regulatory Agencies”), except where a failure to so possess or noncompliance would not, individually or in the aggregate, reasonably be expected to have a Material Adverse Effect. All such Licenses are in full force and effect and neither the Company nor its subsidiary is in violation of any term or conditions of any such License, except where a failure to be in full force or effect or such violation would not, individually or in the aggregate, reasonably be expected to have a Material Adverse Effect. Each of the Company and its subsidiary has fulfilled and performed all of its respective obligations with respect to such Licenses and, no event has occurred which allows, or after notice or lapse of time would allow, revocation or termination thereof or results in any other impairment of the rights of the holder of any such License, except for such failure or occurrence that would not, individually or in the aggregate, reasonably be expected to have a Material Adverse Effect. Neither the Company nor y its subsidiary has received any notice of proceedings from the applicable Regulatory Agency proposing to revoke or materially adversely modify any such Licenses and, to the Company’s knowledge, no Regulatory Agency has taken any action to limit, suspend or revoke any such License possessed by the Company;</w:t>
      </w:r>
    </w:p>
    <w:p>
      <w:pPr>
        <w:spacing w:after="0" w:line="89"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3" w:name="page14"/>
    <w:bookmarkEnd w:id="13"/>
    <w:p>
      <w:pPr>
        <w:ind w:firstLine="419"/>
        <w:spacing w:after="0" w:line="270" w:lineRule="auto"/>
        <w:tabs>
          <w:tab w:leader="none" w:pos="68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Company’s product candidates have received marketing approval from any Regulatory Agencies. The pre-clinical studies and clinical trials that are described in the Registration Statement, the Pricing Prospectus and the Prospectus were and, if still pending, are being, conducted in all material respects in accordance with the protocols submitted to the FDA or any foreign governmental body exercising comparable authority, and all applicable laws and regulations; the descriptions of the pre-clinical studies and clinical trials conducted by or, to the Company’s knowledge, on behalf of the Company or by a licensor, and the results thereof, contained in the Registration Statement, the Pricing Prospectus and the Prospectus are accurate and complete in all material respects; the Company is not aware of any other pre-clinical studies or clinical trials, the results of which reasonably call into question the results described in the Registration Statement, the Pricing Prospectus and the Prospectus; and the Company has not received any notices or correspondence from the FDA, any foreign, state or local governmental body exercising comparable authority or any Institutional Review Board or ethics committee or similar body requiring the termination, suspension, material modification or clinical hold of any pre-clinical studies or clinical trials conducted by or, to the Company’s knowledge, on behalf of the Company or by a licensor;</w:t>
      </w:r>
    </w:p>
    <w:p>
      <w:pPr>
        <w:spacing w:after="0" w:line="68" w:lineRule="exact"/>
        <w:rPr>
          <w:rFonts w:ascii="Times New Roman" w:cs="Times New Roman" w:eastAsia="Times New Roman" w:hAnsi="Times New Roman"/>
          <w:sz w:val="17"/>
          <w:szCs w:val="17"/>
          <w:color w:val="auto"/>
        </w:rPr>
      </w:pPr>
    </w:p>
    <w:p>
      <w:pPr>
        <w:ind w:right="100" w:firstLine="419"/>
        <w:spacing w:after="0" w:line="256" w:lineRule="auto"/>
        <w:tabs>
          <w:tab w:leader="none" w:pos="7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nor any of their respective officers, employees or directors, nor, to the Company’s knowledge, any of its or their respective agents or clinical investigators, or licensors, has, for the past three (3) years, been excluded, suspended or debarred from participation in any U.S. federal or foreign health care program or human clinical research or, to the Company’s knowledge, is subject to a governmental inquiry, investigation, proceeding, or other similar action that could reasonably be expected to result in debarment, suspension, or exclusion, or convicted of any crime or engaged in any conduct that would reasonably be expected to result in debarment under 21 U.S.C. § 335a or comparable foreign law;</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4" w:name="page15"/>
    <w:bookmarkEnd w:id="14"/>
    <w:p>
      <w:pPr>
        <w:ind w:left="4" w:firstLine="419"/>
        <w:spacing w:after="0" w:line="252" w:lineRule="auto"/>
        <w:tabs>
          <w:tab w:leader="none" w:pos="69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each subsidiary owns or has valid and enforceable licenses or other rights to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the conduct, or the proposed conduct, of the business of the Company in the manner described in the Pricing Prospectus and the Prospectus (collectively, the “Company Intellectual Property”); to the Company’s knowledge, there are no rights of third parties to any of the patents, trademarks and copyrights within the Company Intellectual Property disclosed in the Registration Statement and the Prospectus as being owned by the Company and its subsidiary and such patents, trademark and copyrights are owned by the Company and its subsidiary free and clear of all material liens, security interests, or encumbrances; to the Company’s knowledge, the patents, trademarks and copyrights held or licensed by the Company and its subsidiary included within the Company Intellectual Property are valid, enforceable and subsisting; and other than as disclosed in the Pricing Prospectus and the Prospectus, (i) neither the Company nor its subsidiary is obligated to pay a material royalty, grant a license, or provide other material consideration to any third party in connection with the Company Intellectual Property,</w:t>
      </w:r>
    </w:p>
    <w:p>
      <w:pPr>
        <w:spacing w:after="0" w:line="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claim or other proceeding is pending or, to the knowledge of the Company, is threatened, alleging that the conduct of the</w:t>
      </w:r>
    </w:p>
    <w:p>
      <w:pPr>
        <w:spacing w:after="0" w:line="9" w:lineRule="exact"/>
        <w:rPr>
          <w:rFonts w:ascii="Times New Roman" w:cs="Times New Roman" w:eastAsia="Times New Roman" w:hAnsi="Times New Roman"/>
          <w:sz w:val="18"/>
          <w:szCs w:val="18"/>
          <w:color w:val="auto"/>
        </w:rPr>
      </w:pPr>
    </w:p>
    <w:p>
      <w:pPr>
        <w:ind w:left="4"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of the Company or its subsidiary in the manner described in the Pricing Prospectus and the Prospectus is infringing, misappropriating, diluting or otherwise violating any intellectual property rights of others, (iii) no action, suit, claim or other proceeding is pending or, to the knowledge of the Company, is threatened, challenging the validity, enforceability, scope, registration, ownership or use of any of the Company Intellectual Property, (iv) no action, suit, claim or other proceeding is pending or, to the knowledge of the Company, is threatened, challenging the Company’s and its subsidiary’s rights in or to any Company Intellectual Property, and the Company is unaware of any facts which could form a reasonable basis for any such action, suit, proceeding or claim, (v) the Company has not received written notice of any claim of infringement, misappropriation or conflict with any asserted rights of others with respect to any of the Company’s or its subsidiary’s products, proposed products, processes or Company Intellectual Property, (vi) to the knowledge of the Company, the development, manufacture, sale, and any currently proposed use of any of the products, proposed products or processes of the Company and its subsidiary referred to in the Pricing Prospectus and the Prospectus, in the current or proposed conduct of the business of the Company, do not currently, and will not upon commercialization, to the knowledge of the Company, infringe any right or valid patent claim of any third party, (vii) to the Company’s knowledge, no third party has any ownership right in or to any Company Intellectual Property in any field of use that is exclusively licensed to the Company or its subsidiary, other than any licensor to the Company or its subsidiary of such Company Intellectual Property, (viii) no employee, consultant or independent contractor of the Company or its subsidiary is, to the Company’s knowledge,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(ix) the Company has taken reasonable measures to protect its material confidential information and material trade secrets and to maintain and safeguard the material Company Intellectual Property, including the execution of appropriate nondisclosure and confidentiality agreements and (x) the Company has complied with the material terms of each agreement pursuant to which the Company Intellectual Property has been licensed to the Company, and any such agreements are in full force and effect;</w:t>
      </w:r>
    </w:p>
    <w:p>
      <w:pPr>
        <w:spacing w:after="0" w:line="97"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8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patents and patent applications owned by or licensed to the Company and its subsidiary or under which the Company and its subsidiary have rights have, to the knowledge of the Company, been duly and properly filed and maintained; to the knowledge of the Company, there are no material defects in any of the patents or patent applications disclosed in the Registration Statement and the Prospectus as being owned by the Company or its subsidiary; to the knowledge of the Company, the parties prosecuting such applications have complied with their duty of candor and disclosure to the United States Patent and Trademark Office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15" w:name="page16"/>
    <w:bookmarkEnd w:id="15"/>
    <w:p>
      <w:pPr>
        <w:ind w:firstLine="419"/>
        <w:spacing w:after="0" w:line="254"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subsidiary possess all licenses, certificates, permits and other authorizations issued by, and have made all declarations and filings with, the appropriate federal, state, local or foreign governmental or regulatory authorities having jurisdiction over the Company and its subsidiary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individually or in the aggregate, reasonably be expected to have a Material Adverse Effect; and except as described in the Registration Statement, the Pricing Disclosure Package and the Prospectus, neither the Company nor its subsidiary has received notice of any revocation or modification of any such license, certificate, permit or authorization, except where such revocation or modification would not, individually or in the aggregate, reasonably be expected to have a Material Adverse Effect;</w:t>
      </w:r>
    </w:p>
    <w:p>
      <w:pPr>
        <w:spacing w:after="0" w:line="83" w:lineRule="exact"/>
        <w:rPr>
          <w:rFonts w:ascii="Times New Roman" w:cs="Times New Roman" w:eastAsia="Times New Roman" w:hAnsi="Times New Roman"/>
          <w:sz w:val="18"/>
          <w:szCs w:val="18"/>
          <w:color w:val="auto"/>
        </w:rPr>
      </w:pPr>
    </w:p>
    <w:p>
      <w:pPr>
        <w:ind w:firstLine="419"/>
        <w:spacing w:after="0" w:line="254"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United States federal income tax returns of the Company and its subsidiary required by law to be filed have been filed, except where the failure to file would not, individually or in the aggregate, reasonably be expected to have a Material Adverse Effect, and all taxes shown as due on such returns or that otherwise have been assessed, which are due and payable, have been paid, except assessments against which appeals have been or will be promptly taken and as to which adequate reserves have been provided. The Company and its subsidiary have filed all other tax returns that are required to have been filed by them pursuant to applicable foreign, state, local or other law except insofar as the failure to file such returns would not, individually or in the aggregate, reasonably be expected to have a Material Adverse Effect, and has paid all taxes due pursuant to such returns or pursuant to any assessment received by the Company and its subsidiary, except for such taxes, if any, as are being contested in good faith and as to which adequate reserves have been provided and except insofar as the failure to pay such taxes would not, individually or in the aggregate,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right="180" w:firstLine="419"/>
        <w:spacing w:after="0" w:line="266"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is a party to any contract, agreement or understanding with any person (other than this Agreement) that would give rise to a valid claim against the Company or its subsidiary or any Underwriter for a brokerage commission, finder’s fee or like payment in connection with the offering and sale of the Shares;</w:t>
      </w:r>
    </w:p>
    <w:p>
      <w:pPr>
        <w:spacing w:after="0" w:line="67" w:lineRule="exact"/>
        <w:rPr>
          <w:rFonts w:ascii="Times New Roman" w:cs="Times New Roman" w:eastAsia="Times New Roman" w:hAnsi="Times New Roman"/>
          <w:sz w:val="18"/>
          <w:szCs w:val="18"/>
          <w:color w:val="auto"/>
        </w:rPr>
      </w:pPr>
    </w:p>
    <w:p>
      <w:pPr>
        <w:jc w:val="both"/>
        <w:ind w:right="120" w:firstLine="419"/>
        <w:spacing w:after="0" w:line="261"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relationship, direct or indirect, exists between or among the Company or its subsidiary, on the one hand, and the directors, officers, stockholders, customers or suppliers of the Company or its subsidiary, on the other, that is required by the Act to be described in the Registration Statement and the Prospectus and that is not so described in such documents and in the Registration Statement, the Pricing Disclosure Package and the Prospectus;</w:t>
      </w:r>
    </w:p>
    <w:p>
      <w:pPr>
        <w:spacing w:after="0" w:line="71" w:lineRule="exact"/>
        <w:rPr>
          <w:rFonts w:ascii="Times New Roman" w:cs="Times New Roman" w:eastAsia="Times New Roman" w:hAnsi="Times New Roman"/>
          <w:sz w:val="18"/>
          <w:szCs w:val="18"/>
          <w:color w:val="auto"/>
        </w:rPr>
      </w:pPr>
    </w:p>
    <w:p>
      <w:pPr>
        <w:ind w:right="340" w:firstLine="419"/>
        <w:spacing w:after="0" w:line="282" w:lineRule="auto"/>
        <w:tabs>
          <w:tab w:leader="none" w:pos="7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arrangements or documents which are required to be described in the Registration Statement or to be filed as exhibits thereto which have not been so described and filed as required;</w:t>
      </w:r>
    </w:p>
    <w:p>
      <w:pPr>
        <w:spacing w:after="0" w:line="53" w:lineRule="exact"/>
        <w:rPr>
          <w:rFonts w:ascii="Times New Roman" w:cs="Times New Roman" w:eastAsia="Times New Roman" w:hAnsi="Times New Roman"/>
          <w:sz w:val="18"/>
          <w:szCs w:val="18"/>
          <w:color w:val="auto"/>
        </w:rPr>
      </w:pPr>
    </w:p>
    <w:p>
      <w:pPr>
        <w:ind w:right="80" w:firstLine="419"/>
        <w:spacing w:after="0" w:line="261" w:lineRule="auto"/>
        <w:tabs>
          <w:tab w:leader="none" w:pos="7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disturbance by or dispute with current or former employees or officers of the Company or its subsidiary exists or, to the Company’s knowledge, is contemplated or threatened, and the Company is not aware of any existing or imminent labor disturbance by, or dispute with, the employees of any of the Company’s or its subsidiary’s principal suppliers, manufacturers or contractors. Neither the Company nor its subsidiary are a party to any collective bargaining agreement;</w:t>
      </w:r>
    </w:p>
    <w:p>
      <w:pPr>
        <w:spacing w:after="0" w:line="71" w:lineRule="exact"/>
        <w:rPr>
          <w:rFonts w:ascii="Times New Roman" w:cs="Times New Roman" w:eastAsia="Times New Roman" w:hAnsi="Times New Roman"/>
          <w:sz w:val="18"/>
          <w:szCs w:val="18"/>
          <w:color w:val="auto"/>
        </w:rPr>
      </w:pPr>
    </w:p>
    <w:p>
      <w:pPr>
        <w:ind w:right="100" w:firstLine="419"/>
        <w:spacing w:after="0" w:line="282" w:lineRule="auto"/>
        <w:tabs>
          <w:tab w:leader="none" w:pos="6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(and prior to the Time of Delivery, will be) no debt securities or preferred stock issued or guaranteed by the Company that are rated by a “nationally recognized statistical rating organization”, as such term is defined in Section 3(a)(62) under the Exchange Act; and</w:t>
      </w:r>
    </w:p>
    <w:p>
      <w:pPr>
        <w:spacing w:after="0" w:line="53" w:lineRule="exact"/>
        <w:rPr>
          <w:rFonts w:ascii="Times New Roman" w:cs="Times New Roman" w:eastAsia="Times New Roman" w:hAnsi="Times New Roman"/>
          <w:sz w:val="18"/>
          <w:szCs w:val="18"/>
          <w:color w:val="auto"/>
        </w:rPr>
      </w:pPr>
    </w:p>
    <w:p>
      <w:pPr>
        <w:ind w:right="40" w:firstLine="419"/>
        <w:spacing w:after="0" w:line="282"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filing of the Initial Registration Statement through the date hereof, the Company has been and is an “emerging growth company” as defined in Section 2(a)(19) of the Act (an “Emerging Growth Company”).</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16" w:name="page17"/>
    <w:bookmarkEnd w:id="16"/>
    <w:p>
      <w:pPr>
        <w:ind w:firstLine="436"/>
        <w:spacing w:after="0" w:line="253"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terms and conditions herein set forth, (a) the Company agrees to issue and sell to each of the Underwriters, and each of the Underwriters agrees, severally and not jointly, to purchase from the Company, at a purchase price per share of $12.22,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9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Company hereby grants to the Underwriters the right to purchase at their election up to 1,442,307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189" w:lineRule="exact"/>
        <w:rPr>
          <w:sz w:val="20"/>
          <w:szCs w:val="20"/>
          <w:color w:val="auto"/>
        </w:rPr>
      </w:pPr>
    </w:p>
    <w:p>
      <w:pPr>
        <w:ind w:right="340" w:firstLine="436"/>
        <w:spacing w:after="0" w:line="282"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authorization by you of the release of the Shares, the several Underwriters propose to offer the Shares for sale upon the terms and conditions set forth in the Pricing Disclosure Package and the Prospectus.</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January 20, 2023 or such other time and date as the Representatives and the Company may agree upon in writing, and, with respect to the Optional Shares, 9:30 a.m., New York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17" w:name="page18"/>
    <w:bookmarkEnd w:id="17"/>
    <w:p>
      <w:pPr>
        <w:ind w:right="20" w:firstLine="436"/>
        <w:spacing w:after="0" w:line="254"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documents to be delivered at each Time of Delivery by or on behalf of the parties hereto pursuant to Section 8 hereof, including the cross receipt for the Shares and any additional documents requested by the Underwriters pursuant to Section 8(j) hereof, will be delivered at the offices of Mintz, Levin, Cohn, Ferris, Glovsky and Popeo, P.C., 666 Third Avenue, New York, NY 10017 (the “Closing Location”), and the Shares will be delivered at the Designated Office, all at such Time of Delivery. A meeting will be held at the Closing Location at 5:00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are generally authorized or obligated by law or executive order to close.</w:t>
      </w:r>
    </w:p>
    <w:p>
      <w:pPr>
        <w:spacing w:after="0" w:line="192" w:lineRule="exact"/>
        <w:rPr>
          <w:sz w:val="20"/>
          <w:szCs w:val="20"/>
          <w:color w:val="auto"/>
        </w:rPr>
      </w:pPr>
    </w:p>
    <w:p>
      <w:pPr>
        <w:ind w:left="620" w:hanging="184"/>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with each of the Underwriters:</w:t>
      </w:r>
    </w:p>
    <w:p>
      <w:pPr>
        <w:spacing w:after="0" w:line="117" w:lineRule="exact"/>
        <w:rPr>
          <w:rFonts w:ascii="Times New Roman" w:cs="Times New Roman" w:eastAsia="Times New Roman" w:hAnsi="Times New Roman"/>
          <w:sz w:val="18"/>
          <w:szCs w:val="18"/>
          <w:color w:val="auto"/>
        </w:rPr>
      </w:pPr>
    </w:p>
    <w:p>
      <w:pPr>
        <w:ind w:left="440" w:firstLine="419"/>
        <w:spacing w:after="0" w:line="252" w:lineRule="auto"/>
        <w:tabs>
          <w:tab w:leader="none" w:pos="110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in a form approved by you and to file such Prospectus pursuant to Rule 424(b) under the Act not later than the Commission’s close of business on the second business day following the date of this Agreement or such earlier time as may be required under the Act; to make no further amendment or any supplement to the Registration Statement, the Basic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within the time required by such Rule;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Shares;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86"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1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from time to time to take such action as you may reasonably request to qualify the Shares for offering and sale under the securities laws of such jurisdictions as you may request and to use reasonable best efforts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 or subject itself to taxation in any jurisdiction in which it is not otherwise subject to taxation as of the date hereof;</w:t>
      </w:r>
    </w:p>
    <w:p>
      <w:pPr>
        <w:spacing w:after="0" w:line="7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18" w:name="page19"/>
    <w:bookmarkEnd w:id="18"/>
    <w:p>
      <w:pPr>
        <w:ind w:left="4" w:right="20" w:firstLine="419"/>
        <w:spacing w:after="0" w:line="252" w:lineRule="auto"/>
        <w:tabs>
          <w:tab w:leader="none" w:pos="68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10:00 a.m., New York City time, on the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87" w:lineRule="exact"/>
        <w:rPr>
          <w:rFonts w:ascii="Times New Roman" w:cs="Times New Roman" w:eastAsia="Times New Roman" w:hAnsi="Times New Roman"/>
          <w:sz w:val="18"/>
          <w:szCs w:val="18"/>
          <w:color w:val="auto"/>
        </w:rPr>
      </w:pPr>
    </w:p>
    <w:p>
      <w:pPr>
        <w:ind w:left="4" w:firstLine="419"/>
        <w:spacing w:after="0" w:line="258" w:lineRule="auto"/>
        <w:tabs>
          <w:tab w:leader="none" w:pos="6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its security holders as soon as practicable (which may be satisfied by filing with the Commission’s Electronic Data Gathering, Analysis and Retrieval System or any successor thereto), but in any event not later than sixteen months after the effective date of the Registration Statement (as defined in Rule 158(c) under the Act), an earnings statement of the Company and its subsidiary (which need not be audited) complying with Section 11(a) of the Act and the rules and regulations of the Commission thereunder (including, at the option of the Company, Rule 158);</w:t>
      </w:r>
    </w:p>
    <w:p>
      <w:pPr>
        <w:spacing w:after="0" w:line="75"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from the date hereof and continuing to and including the date 60 days after the date of the Prospectus, not to</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your prior written consent; provided, however, that the restrictions in the foregoing sentence shall not apply to (a) the Shares to be sold hereunder; (b) Shares or any securities (including without limitation options, restricted stock or restricted stock units) convertible into, or exercisable for, shares of Stock pursuant to any employee stock option plan, incentive plan, stock plan, dividend reinvestment plan or otherwise in equity compensation arrangements in place as of the Applicable Time and as described in the Pricing Disclosure Package; (c) the grant of awards pursuant to employee equity-based compensation plans, incentive plans, stock plans, or other arrangements in place as of the Applicable Time and as described in the Pricing Disclosure Package; (d) the filing of a registration statement on Form S-8 in connection with the registration of Shares issuable under any employee equity-based compensation plan, incentive plan, stock plan, dividend reinvestment plan adopted and approved by the Company’s board of directors prior to the Applicable Time and as described in the Pricing Disclosure Package; and (e) the issuance of up to 5% of the outstanding shares of Stock immediately after the closing of the Shares as contemplated hereunder in connection with the bona fide acquisition, strategic investment, licensing, commercialization, joint venture, technology transfer or development collaboration agreement with an unaffiliated third party; provided that each recipient of any Shares issued or sold pursuant to clause (b), (c) or (e) above executes and delivers to the Representatives prior to such issuance or sale (as the case may be) an agreement having substantially the same terms as the lock-up letters described in Section 8(i) of this Agreement;</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4"/>
          </w:cols>
          <w:pgMar w:left="876" w:top="270" w:right="459" w:bottom="1440" w:gutter="0" w:footer="0" w:header="0"/>
        </w:sectPr>
      </w:pPr>
    </w:p>
    <w:bookmarkStart w:id="19" w:name="page20"/>
    <w:bookmarkEnd w:id="19"/>
    <w:p>
      <w:pPr>
        <w:jc w:val="both"/>
        <w:ind w:left="380" w:right="200" w:firstLine="419"/>
        <w:spacing w:after="0" w:line="261" w:lineRule="auto"/>
        <w:tabs>
          <w:tab w:leader="none" w:pos="10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elects to rely upon Rule 462(b), the Company shall file a Rule 462(b) Registration Statement with the Commission in compliance with Rule 462(b) by 10:00 p.m., Washington, D.C. time, on the date of this Agreement, and the Company shall at the time of filing either pay the Commission the filing fee for the Rule 462(b) Registration Statement or give irrevocable instructions for the payment of such fee pursuant to Rule 111(b) under the Act;</w:t>
      </w:r>
    </w:p>
    <w:p>
      <w:pPr>
        <w:spacing w:after="0" w:line="71" w:lineRule="exact"/>
        <w:rPr>
          <w:rFonts w:ascii="Times New Roman" w:cs="Times New Roman" w:eastAsia="Times New Roman" w:hAnsi="Times New Roman"/>
          <w:sz w:val="18"/>
          <w:szCs w:val="18"/>
          <w:color w:val="auto"/>
        </w:rPr>
      </w:pPr>
    </w:p>
    <w:p>
      <w:pPr>
        <w:ind w:left="380" w:right="180" w:firstLine="419"/>
        <w:spacing w:after="0" w:line="261" w:lineRule="auto"/>
        <w:tabs>
          <w:tab w:leader="none" w:pos="10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spacing w:after="0" w:line="71" w:lineRule="exact"/>
        <w:rPr>
          <w:rFonts w:ascii="Times New Roman" w:cs="Times New Roman" w:eastAsia="Times New Roman" w:hAnsi="Times New Roman"/>
          <w:sz w:val="18"/>
          <w:szCs w:val="18"/>
          <w:color w:val="auto"/>
        </w:rPr>
      </w:pPr>
    </w:p>
    <w:p>
      <w:pPr>
        <w:ind w:left="380" w:right="340" w:firstLine="419"/>
        <w:spacing w:after="0" w:line="282" w:lineRule="auto"/>
        <w:tabs>
          <w:tab w:leader="none" w:pos="10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net proceeds received by it from the sale of the Shares in the manner specified in the Pricing Prospectus under the caption “Use of Proceeds”;</w:t>
      </w:r>
    </w:p>
    <w:p>
      <w:pPr>
        <w:spacing w:after="0" w:line="53" w:lineRule="exact"/>
        <w:rPr>
          <w:rFonts w:ascii="Times New Roman" w:cs="Times New Roman" w:eastAsia="Times New Roman" w:hAnsi="Times New Roman"/>
          <w:sz w:val="18"/>
          <w:szCs w:val="18"/>
          <w:color w:val="auto"/>
        </w:rPr>
      </w:pPr>
    </w:p>
    <w:p>
      <w:pPr>
        <w:ind w:left="1020" w:hanging="221"/>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best efforts to list, subject to notice of issuance, the Shares on the Exchange; and</w:t>
      </w:r>
    </w:p>
    <w:p>
      <w:pPr>
        <w:spacing w:after="0" w:line="117" w:lineRule="exact"/>
        <w:rPr>
          <w:rFonts w:ascii="Times New Roman" w:cs="Times New Roman" w:eastAsia="Times New Roman" w:hAnsi="Times New Roman"/>
          <w:sz w:val="18"/>
          <w:szCs w:val="18"/>
          <w:color w:val="auto"/>
        </w:rPr>
      </w:pPr>
    </w:p>
    <w:p>
      <w:pPr>
        <w:ind w:left="380" w:right="20" w:firstLine="419"/>
        <w:spacing w:after="0" w:line="282" w:lineRule="auto"/>
        <w:tabs>
          <w:tab w:leader="none" w:pos="10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promptly notify you if the Company ceases to be an Emerging Growth Company at any time prior to the later of (i) completion of the distribution of the Shares within the meaning of the Act and (ii) the last Time of Delivery.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6.</w:t>
      </w:r>
    </w:p>
    <w:p>
      <w:pPr>
        <w:spacing w:after="0" w:line="225" w:lineRule="exact"/>
        <w:rPr>
          <w:sz w:val="20"/>
          <w:szCs w:val="20"/>
          <w:color w:val="auto"/>
        </w:rPr>
      </w:pPr>
    </w:p>
    <w:p>
      <w:pPr>
        <w:ind w:left="-60" w:firstLine="436"/>
        <w:spacing w:after="0" w:line="258" w:lineRule="auto"/>
        <w:tabs>
          <w:tab w:leader="none" w:pos="6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agrees that, without the prior consent of the Representatives, it has not made and will not make any offer relating to the Securities that would constitute a “free writing prospectus” as defined in Rule 405 under the Act; each Underwriter represents and agrees that, without the prior consent of the Company and the Representatives, it has not made and will not make any offer relating to the Securities that would constitute a free writing prospectus required to be filed with the Commission; any such free writing prospectus the use of which has been consented to by the Company and the Representatives is listed on Schedule II(a) hereto;</w:t>
      </w:r>
    </w:p>
    <w:p>
      <w:pPr>
        <w:spacing w:after="0" w:line="75" w:lineRule="exact"/>
        <w:rPr>
          <w:rFonts w:ascii="Times New Roman" w:cs="Times New Roman" w:eastAsia="Times New Roman" w:hAnsi="Times New Roman"/>
          <w:sz w:val="18"/>
          <w:szCs w:val="18"/>
          <w:color w:val="auto"/>
        </w:rPr>
      </w:pPr>
    </w:p>
    <w:p>
      <w:pPr>
        <w:ind w:left="-60" w:right="800" w:firstLine="436"/>
        <w:spacing w:after="0" w:line="282" w:lineRule="auto"/>
        <w:tabs>
          <w:tab w:leader="none" w:pos="6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will comply with the requirements of Rule 433 under the Act applicable to any Issuer Free Writing Prospectus, including timely filing with the Commission or retention where required and legending;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500" w:top="270" w:right="499" w:bottom="1440" w:gutter="0" w:footer="0" w:header="0"/>
        </w:sectPr>
      </w:pPr>
    </w:p>
    <w:bookmarkStart w:id="20" w:name="page21"/>
    <w:bookmarkEnd w:id="20"/>
    <w:p>
      <w:pPr>
        <w:ind w:firstLine="436"/>
        <w:spacing w:after="0" w:line="254"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representation and warranty shall not apply to any statements or omissions in an Issuer Free Writing Prospectus made in reliance upon and in conformity with the Underwriter Information;</w:t>
      </w:r>
    </w:p>
    <w:p>
      <w:pPr>
        <w:spacing w:after="0" w:line="191" w:lineRule="exact"/>
        <w:rPr>
          <w:rFonts w:ascii="Times New Roman" w:cs="Times New Roman" w:eastAsia="Times New Roman" w:hAnsi="Times New Roman"/>
          <w:sz w:val="18"/>
          <w:szCs w:val="18"/>
          <w:color w:val="auto"/>
        </w:rPr>
      </w:pPr>
    </w:p>
    <w:p>
      <w:pPr>
        <w:ind w:right="120" w:firstLine="436"/>
        <w:spacing w:after="0" w:line="256"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agrees that (i) it has not engaged in, or authorized any other person to engage in, any Testing-the-Waters Communications, other than Testing-the-Waters Communications, if any, with the prior consent of the Representatives with entities that the Company reasonably believes are qualified institutional buyers as defined in Rule 144A under the Act or institutions that are accredited investors as defined Rule 501(a)(1), (a)(2), (a)(3), (a)(7) or (a)(8)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 and</w:t>
      </w:r>
    </w:p>
    <w:p>
      <w:pPr>
        <w:spacing w:after="0" w:line="187" w:lineRule="exact"/>
        <w:rPr>
          <w:rFonts w:ascii="Times New Roman" w:cs="Times New Roman" w:eastAsia="Times New Roman" w:hAnsi="Times New Roman"/>
          <w:sz w:val="18"/>
          <w:szCs w:val="18"/>
          <w:color w:val="auto"/>
        </w:rPr>
      </w:pPr>
    </w:p>
    <w:p>
      <w:pPr>
        <w:ind w:right="160" w:firstLine="436"/>
        <w:spacing w:after="0" w:line="276" w:lineRule="auto"/>
        <w:tabs>
          <w:tab w:leader="none" w:pos="68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Underwriter represents and agrees that any Written Testing-the-Waters Communications undertaken by it were with entities that are qualified institutional buyers as defined in Rule 144A under the Act or institutions that are accredited investors as defined in Rule 501(a)(1), (a)(2), (a)</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(a)(7) or (a)(8) under the Act.</w:t>
      </w:r>
    </w:p>
    <w:p>
      <w:pPr>
        <w:spacing w:after="0" w:line="207" w:lineRule="exact"/>
        <w:rPr>
          <w:sz w:val="20"/>
          <w:szCs w:val="20"/>
          <w:color w:val="auto"/>
        </w:rPr>
      </w:pPr>
    </w:p>
    <w:p>
      <w:pPr>
        <w:ind w:right="100" w:firstLine="436"/>
        <w:spacing w:after="0" w:line="252"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the Basic Prospectus,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any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survey(s); (iv) any filing fees incident to, and the fees and disbursements of counsel for the Underwriters in connection with, any required reviews by FINRA of the terms of the sale of the Shares; (v) the cost of preparing certificates for the Shares; (vi) the cost and charges of any transfer agent or registrar; (vii) all fees and expenses in connection with listing the Shares on the Exchange; and (viii)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transfer taxes on resale of any of the Shares by them, and any advertising expenses connected with any offers they may make.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1" w:name="page22"/>
    <w:bookmarkEnd w:id="21"/>
    <w:p>
      <w:pPr>
        <w:jc w:val="both"/>
        <w:ind w:right="100" w:firstLine="436"/>
        <w:spacing w:after="0" w:line="261"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71" w:lineRule="exact"/>
        <w:rPr>
          <w:rFonts w:ascii="Times New Roman" w:cs="Times New Roman" w:eastAsia="Times New Roman" w:hAnsi="Times New Roman"/>
          <w:sz w:val="18"/>
          <w:szCs w:val="18"/>
          <w:color w:val="auto"/>
        </w:rPr>
      </w:pPr>
    </w:p>
    <w:p>
      <w:pPr>
        <w:ind w:left="440" w:firstLine="419"/>
        <w:spacing w:after="0" w:line="254" w:lineRule="auto"/>
        <w:tabs>
          <w:tab w:leader="none" w:pos="110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filings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80"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Mintz, Levin, Cohn, Ferris, Glovsky and Popeo, P.C., counsel for the Underwriters, shall have furnished to you such written opinion or opinions, dated such Time of Delivery in form and substance satisfactory to you, and such counsel shall have received such papers and information as they may reasonably request to enable them to pass upon such matters;</w:t>
      </w:r>
    </w:p>
    <w:p>
      <w:pPr>
        <w:spacing w:after="0" w:line="6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0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Goodwin Procter LLP, counsel for the Company, shall have furnished to you their written opinion and negative assurance letter, dated such Time of Delivery, in form and substance satisfactory to you;</w:t>
      </w:r>
    </w:p>
    <w:p>
      <w:pPr>
        <w:spacing w:after="0" w:line="53"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Goodwin Procter LLP, intellectual property counsel for the Company, shall have furnished to you their written opinion and negative assurance letter, dated such Time of Delivery, in form and substance satisfactory to you;</w:t>
      </w:r>
    </w:p>
    <w:p>
      <w:pPr>
        <w:spacing w:after="0" w:line="53" w:lineRule="exact"/>
        <w:rPr>
          <w:rFonts w:ascii="Times New Roman" w:cs="Times New Roman" w:eastAsia="Times New Roman" w:hAnsi="Times New Roman"/>
          <w:sz w:val="18"/>
          <w:szCs w:val="18"/>
          <w:color w:val="auto"/>
        </w:rPr>
      </w:pPr>
    </w:p>
    <w:p>
      <w:pPr>
        <w:jc w:val="both"/>
        <w:ind w:left="440" w:right="60" w:firstLine="419"/>
        <w:spacing w:after="0" w:line="261" w:lineRule="auto"/>
        <w:tabs>
          <w:tab w:leader="none" w:pos="110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08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Prospectus at a time prior to the execution of this Agreement and also at each Time of Delivery, the Chief Financial Officer of the Company shall have furnished to you a certificate, dated the respective dates of delivery thereof, in form and substance satisfactory to you.</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22" w:name="page23"/>
    <w:bookmarkEnd w:id="22"/>
    <w:p>
      <w:pPr>
        <w:ind w:firstLine="419"/>
        <w:spacing w:after="0" w:line="253"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Neither the Company nor its subsidiary shall have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the exercise of stock options or the award of stock options or other equity awards in the ordinary course of business pursuant to the Company’s equity plans that are described in the Pricing Prospectus) or long term debt of the Company or its subsidiary or any change or effect, or any development involving a prospective change or effect, in or affecting (x) the business, properties, general affairs, management, financial position, stockholders’ equity or results of operations of the Company and its subsidiary, taken as a whole, except as set forth or contemplated in the Pricing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79" w:lineRule="exact"/>
        <w:rPr>
          <w:rFonts w:ascii="Times New Roman" w:cs="Times New Roman" w:eastAsia="Times New Roman" w:hAnsi="Times New Roman"/>
          <w:sz w:val="18"/>
          <w:szCs w:val="18"/>
          <w:color w:val="auto"/>
        </w:rPr>
      </w:pPr>
    </w:p>
    <w:p>
      <w:pPr>
        <w:ind w:right="220" w:firstLine="419"/>
        <w:spacing w:after="0" w:line="254"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Applicable Time there shall not have occurred any of the following: (i) a suspension or material limitation in trading in securities generally on the New York Stock Exchange or on the Exchange; (ii) a suspension or material limitation in trading in the Company’s securities on the Exchange; (iii) a general moratorium on commercial banking activities declared by either Federal, Commonwealth of Massachusetts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80"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at each Time of Delivery shall have been duly listed, subject to notice of issuance, on the Exchange;</w:t>
      </w:r>
    </w:p>
    <w:p>
      <w:pPr>
        <w:spacing w:after="0" w:line="117" w:lineRule="exact"/>
        <w:rPr>
          <w:rFonts w:ascii="Times New Roman" w:cs="Times New Roman" w:eastAsia="Times New Roman" w:hAnsi="Times New Roman"/>
          <w:sz w:val="18"/>
          <w:szCs w:val="18"/>
          <w:color w:val="auto"/>
        </w:rPr>
      </w:pPr>
    </w:p>
    <w:p>
      <w:pPr>
        <w:ind w:right="200" w:firstLine="419"/>
        <w:spacing w:after="0" w:line="282" w:lineRule="auto"/>
        <w:tabs>
          <w:tab w:leader="none" w:pos="6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the provisions of Section 5(c) hereof with respect to the furnishing of prospectuses on the New York Business Day next succeeding the date of this Agreement; and</w:t>
      </w:r>
    </w:p>
    <w:p>
      <w:pPr>
        <w:spacing w:after="0" w:line="53" w:lineRule="exact"/>
        <w:rPr>
          <w:rFonts w:ascii="Times New Roman" w:cs="Times New Roman" w:eastAsia="Times New Roman" w:hAnsi="Times New Roman"/>
          <w:sz w:val="18"/>
          <w:szCs w:val="18"/>
          <w:color w:val="auto"/>
        </w:rPr>
      </w:pPr>
    </w:p>
    <w:p>
      <w:pPr>
        <w:jc w:val="both"/>
        <w:ind w:right="120" w:firstLine="419"/>
        <w:spacing w:after="0" w:line="261"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you may reasonably request.</w:t>
      </w:r>
    </w:p>
    <w:p>
      <w:pPr>
        <w:spacing w:after="0" w:line="71" w:lineRule="exact"/>
        <w:rPr>
          <w:rFonts w:ascii="Times New Roman" w:cs="Times New Roman" w:eastAsia="Times New Roman" w:hAnsi="Times New Roman"/>
          <w:sz w:val="18"/>
          <w:szCs w:val="18"/>
          <w:color w:val="auto"/>
        </w:rPr>
      </w:pPr>
    </w:p>
    <w:p>
      <w:pPr>
        <w:ind w:right="100" w:firstLine="419"/>
        <w:spacing w:after="0" w:line="266" w:lineRule="auto"/>
        <w:tabs>
          <w:tab w:leader="none" w:pos="6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and delivered to the Underwriters executed copies of an agreement from each officer, director, and stockholder of the Company listed on Schedule III hereto, substantially to the effect set forth in Annex I hereto in form and substance satisfactory to you;</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80"/>
          </w:cols>
          <w:pgMar w:left="880" w:top="270" w:right="439" w:bottom="1440" w:gutter="0" w:footer="0" w:header="0"/>
        </w:sectPr>
      </w:pPr>
    </w:p>
    <w:bookmarkStart w:id="23" w:name="page24"/>
    <w:bookmarkEnd w:id="23"/>
    <w:p>
      <w:pPr>
        <w:ind w:left="-40" w:right="100" w:firstLine="436"/>
        <w:spacing w:after="0" w:line="253"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or any Testing-the-Waters Communication, in reliance upon and in conformity with the Underwriter Information.</w:t>
      </w:r>
    </w:p>
    <w:p>
      <w:pPr>
        <w:spacing w:after="0" w:line="187" w:lineRule="exact"/>
        <w:rPr>
          <w:sz w:val="20"/>
          <w:szCs w:val="20"/>
          <w:color w:val="auto"/>
        </w:rPr>
      </w:pPr>
    </w:p>
    <w:p>
      <w:pPr>
        <w:ind w:left="-40" w:firstLine="436"/>
        <w:spacing w:after="0" w:line="25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figure appearing in the sixth paragraph under the caption “Underwriting”, and the information contained in the ninth, tenth and eleventh paragraphs under the caption “Underwriting”.</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480" w:top="270" w:right="499" w:bottom="1440" w:gutter="0" w:footer="0" w:header="0"/>
        </w:sectPr>
      </w:pPr>
    </w:p>
    <w:bookmarkStart w:id="24" w:name="page25"/>
    <w:bookmarkEnd w:id="24"/>
    <w:p>
      <w:pPr>
        <w:ind w:left="4" w:firstLine="436"/>
        <w:spacing w:after="0" w:line="252" w:lineRule="auto"/>
        <w:tabs>
          <w:tab w:leader="none" w:pos="68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 behalf of any indemnified party.</w:t>
      </w:r>
    </w:p>
    <w:p>
      <w:pPr>
        <w:spacing w:after="0" w:line="19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9 is unavailable to or insufficient to hold harmless an indemnified party under subsection</w:t>
      </w:r>
    </w:p>
    <w:p>
      <w:pPr>
        <w:spacing w:after="0" w:line="27" w:lineRule="exact"/>
        <w:rPr>
          <w:rFonts w:ascii="Times New Roman" w:cs="Times New Roman" w:eastAsia="Times New Roman" w:hAnsi="Times New Roman"/>
          <w:sz w:val="18"/>
          <w:szCs w:val="18"/>
          <w:color w:val="auto"/>
        </w:rPr>
      </w:pPr>
    </w:p>
    <w:p>
      <w:pPr>
        <w:ind w:left="4" w:hanging="4"/>
        <w:spacing w:after="0" w:line="266" w:lineRule="auto"/>
        <w:tabs>
          <w:tab w:leader="none" w:pos="24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3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25" w:name="page26"/>
    <w:bookmarkEnd w:id="25"/>
    <w:p>
      <w:pPr>
        <w:ind w:right="220" w:firstLine="436"/>
        <w:spacing w:after="0" w:line="258"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obligations of the Company under this Section 9 shall be in addition to any liability which the Company may otherwise have and shall extend, upon the same terms and conditions, to each employee, officer and director of each Underwriter,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183" w:lineRule="exact"/>
        <w:rPr>
          <w:sz w:val="20"/>
          <w:szCs w:val="20"/>
          <w:color w:val="auto"/>
        </w:rPr>
      </w:pPr>
    </w:p>
    <w:p>
      <w:pPr>
        <w:ind w:firstLine="436"/>
        <w:spacing w:after="0" w:line="253"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 six hours after such default by any Underwriter you do not arrange for the purchase of such Shares, then the Company shall be entitled to a further period of thirty 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94" w:lineRule="exact"/>
        <w:rPr>
          <w:sz w:val="20"/>
          <w:szCs w:val="20"/>
          <w:color w:val="auto"/>
        </w:rPr>
      </w:pPr>
    </w:p>
    <w:p>
      <w:pPr>
        <w:ind w:right="60" w:firstLine="436"/>
        <w:spacing w:after="0" w:line="255"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88"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6" w:name="page27"/>
    <w:bookmarkEnd w:id="26"/>
    <w:p>
      <w:pPr>
        <w:ind w:right="80" w:firstLine="436"/>
        <w:spacing w:after="0" w:line="258" w:lineRule="auto"/>
        <w:tabs>
          <w:tab w:leader="none" w:pos="7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officer or director or controlling person of the Company, and shall survive delivery of and payment for the Shares.</w:t>
      </w:r>
    </w:p>
    <w:p>
      <w:pPr>
        <w:spacing w:after="0" w:line="183" w:lineRule="exact"/>
        <w:rPr>
          <w:rFonts w:ascii="Times New Roman" w:cs="Times New Roman" w:eastAsia="Times New Roman" w:hAnsi="Times New Roman"/>
          <w:sz w:val="18"/>
          <w:szCs w:val="18"/>
          <w:color w:val="auto"/>
        </w:rPr>
      </w:pPr>
    </w:p>
    <w:p>
      <w:pPr>
        <w:ind w:right="400" w:firstLine="436"/>
        <w:spacing w:after="0" w:line="277" w:lineRule="auto"/>
        <w:tabs>
          <w:tab w:leader="none" w:pos="71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167" w:lineRule="exact"/>
        <w:rPr>
          <w:rFonts w:ascii="Times New Roman" w:cs="Times New Roman" w:eastAsia="Times New Roman" w:hAnsi="Times New Roman"/>
          <w:sz w:val="17"/>
          <w:szCs w:val="17"/>
          <w:color w:val="auto"/>
        </w:rPr>
      </w:pPr>
    </w:p>
    <w:p>
      <w:pPr>
        <w:ind w:right="200" w:firstLine="436"/>
        <w:spacing w:after="0" w:line="266" w:lineRule="auto"/>
        <w:tabs>
          <w:tab w:leader="none" w:pos="71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dealings hereunder, you shall act on behalf of each of the Underwriters, and the parties hereto shall be entitled to act and rely upon any statement, request, notice or agreement on behalf of any Underwriter made or given by you jointly or by Goldman Sachs &amp; Co. LLC, SVB Securities LLC, and Piper Sandler &amp; Co. on behalf of you as the representatives.</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All statements, requests, notices and agreements hereunder shall be in writing, and if to the Underwriters shall be delivered or sent by mail, telex or facsimile transmission to you as the Representatives in care of Goldman Sachs &amp; Co. LLC, 200 West Street, New York, New York 10282-2198, Attention: Registration Department, SVB Securities LLC, 1301 Avenue of the Americas, 12th Floor, New York, NY 10019, Attention: Stuart R. Nayman and Piper Sandler &amp; Co., 800 Nicollet Mall, Suite 1000, Minneapolis, MN 55402, Attention: General Counsel; and if to the Company shall be delivered or sent by mail, telex or facsimile transmission to the address of the Company set forth in the Registration Statement, Attention: Secretary;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Any such statements, requests, notices or agreements shall take effect upon receipt thereof.</w:t>
      </w:r>
    </w:p>
    <w:p>
      <w:pPr>
        <w:spacing w:after="0" w:line="19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27" w:name="page28"/>
    <w:bookmarkEnd w:id="27"/>
    <w:p>
      <w:pPr>
        <w:ind w:right="80" w:firstLine="436"/>
        <w:spacing w:after="0" w:line="258"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shall be binding upon, and inure solely to the benefit of, the Underwriters, the Company and, to the extent provided in Sections 8 and 10 hereof, the officers and directors of the Company and each person who controls the Company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83" w:lineRule="exact"/>
        <w:rPr>
          <w:rFonts w:ascii="Times New Roman" w:cs="Times New Roman" w:eastAsia="Times New Roman" w:hAnsi="Times New Roman"/>
          <w:sz w:val="18"/>
          <w:szCs w:val="18"/>
          <w:color w:val="auto"/>
        </w:rPr>
      </w:pPr>
    </w:p>
    <w:p>
      <w:pPr>
        <w:ind w:right="100" w:firstLine="436"/>
        <w:spacing w:after="0" w:line="282"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shall be of the essence of this Agreement. As used herein, the term “business day” shall mean any day when the Commission’s office in Washington, D.C. is open for business.</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Company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94" w:lineRule="exact"/>
        <w:rPr>
          <w:rFonts w:ascii="Times New Roman" w:cs="Times New Roman" w:eastAsia="Times New Roman" w:hAnsi="Times New Roman"/>
          <w:sz w:val="18"/>
          <w:szCs w:val="18"/>
          <w:color w:val="auto"/>
        </w:rPr>
      </w:pPr>
    </w:p>
    <w:p>
      <w:pPr>
        <w:ind w:right="100" w:firstLine="436"/>
        <w:spacing w:after="0" w:line="282"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all prior agreements and understandings (whether written or oral) between the Company and the Underwriters, or any of them, with respect to the subject matter hereof.</w:t>
      </w:r>
    </w:p>
    <w:p>
      <w:pPr>
        <w:spacing w:after="0" w:line="157" w:lineRule="exact"/>
        <w:rPr>
          <w:rFonts w:ascii="Times New Roman" w:cs="Times New Roman" w:eastAsia="Times New Roman" w:hAnsi="Times New Roman"/>
          <w:sz w:val="18"/>
          <w:szCs w:val="18"/>
          <w:color w:val="auto"/>
        </w:rPr>
      </w:pPr>
    </w:p>
    <w:p>
      <w:pPr>
        <w:ind w:right="20" w:firstLine="436"/>
        <w:spacing w:after="0" w:line="257" w:lineRule="auto"/>
        <w:tabs>
          <w:tab w:leader="none" w:pos="71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Agreement and any transaction contemplated by this Agreement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86" w:lineRule="exact"/>
        <w:rPr>
          <w:rFonts w:ascii="Times New Roman" w:cs="Times New Roman" w:eastAsia="Times New Roman" w:hAnsi="Times New Roman"/>
          <w:sz w:val="18"/>
          <w:szCs w:val="18"/>
          <w:b w:val="1"/>
          <w:bCs w:val="1"/>
          <w:color w:val="auto"/>
        </w:rPr>
      </w:pPr>
    </w:p>
    <w:p>
      <w:pPr>
        <w:ind w:right="240" w:firstLine="436"/>
        <w:spacing w:after="0" w:line="282"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is authorized to disclose to any persons U.S. federal and state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8" w:name="page29"/>
    <w:bookmarkEnd w:id="28"/>
    <w:p>
      <w:pPr>
        <w:ind w:right="40" w:firstLine="436"/>
        <w:spacing w:after="0" w:line="258" w:lineRule="auto"/>
        <w:tabs>
          <w:tab w:leader="none" w:pos="7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the U.S. Special Resolution Regimes.</w:t>
      </w:r>
    </w:p>
    <w:p>
      <w:pPr>
        <w:spacing w:after="0" w:line="225" w:lineRule="exact"/>
        <w:rPr>
          <w:sz w:val="20"/>
          <w:szCs w:val="20"/>
          <w:color w:val="auto"/>
        </w:rPr>
      </w:pPr>
    </w:p>
    <w:p>
      <w:pPr>
        <w:ind w:right="60" w:firstLine="436"/>
        <w:spacing w:after="0" w:line="261"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660" w:hanging="224"/>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29" w:name="page30"/>
    <w:bookmarkEnd w:id="2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3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Robert Gould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Interim CEO and President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Lyla Bibi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Lyla Bibi (Maduri)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 Head of Healthcare Equity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Capital Markets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SVB Securities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17145</wp:posOffset>
            </wp:positionV>
            <wp:extent cx="26060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Dan Dubin, M.D.</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Chairman, Global Co-Head of Investment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Banking and Global Co-Head of Healthcare Investment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Banking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Piper Sandler &amp; Co.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Bassett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Michael Bassett</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0" w:name="page31"/>
    <w:bookmarkEnd w:id="30"/>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tbl>
      <w:tblPr>
        <w:tblLayout w:type="fixed"/>
        <w:tblInd w:w="0" w:type="dxa"/>
        <w:tblCellMar>
          <w:top w:w="0" w:type="dxa"/>
          <w:left w:w="0" w:type="dxa"/>
          <w:bottom w:w="0" w:type="dxa"/>
          <w:right w:w="0" w:type="dxa"/>
        </w:tblCellMar>
      </w:tblPr>
      <w:tr>
        <w:trPr>
          <w:trHeight w:val="155"/>
        </w:trPr>
        <w:tc>
          <w:tcPr>
            <w:tcW w:w="780" w:type="dxa"/>
            <w:vAlign w:val="bottom"/>
          </w:tcPr>
          <w:p>
            <w:pPr>
              <w:spacing w:after="0"/>
              <w:rPr>
                <w:sz w:val="13"/>
                <w:szCs w:val="13"/>
                <w:color w:val="auto"/>
              </w:rPr>
            </w:pPr>
          </w:p>
        </w:tc>
        <w:tc>
          <w:tcPr>
            <w:tcW w:w="8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Optional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Firm Shares</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Which</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8260" w:type="dxa"/>
            <w:vAlign w:val="bottom"/>
            <w:vMerge w:val="restart"/>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May be</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8260" w:type="dxa"/>
            <w:vAlign w:val="bottom"/>
            <w:vMerge w:val="continue"/>
          </w:tcPr>
          <w:p>
            <w:pPr>
              <w:spacing w:after="0"/>
              <w:rPr>
                <w:sz w:val="15"/>
                <w:szCs w:val="15"/>
                <w:color w:val="auto"/>
              </w:rPr>
            </w:pPr>
          </w:p>
        </w:tc>
        <w:tc>
          <w:tcPr>
            <w:tcW w:w="10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9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9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Goldman Sachs &amp; Co. LLC</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4,038,461</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605,769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SVB Securities LLC</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3,028,846</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454,327</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2,259,615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338,942</w:t>
            </w: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288,462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43,269</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8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9,615,384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1,442,307</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1" w:name="page32"/>
    <w:bookmarkEnd w:id="31"/>
    <w:p>
      <w:pPr>
        <w:ind w:left="49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29" w:lineRule="exact"/>
        <w:rPr>
          <w:sz w:val="20"/>
          <w:szCs w:val="20"/>
          <w:color w:val="auto"/>
        </w:rPr>
      </w:pPr>
    </w:p>
    <w:p>
      <w:pPr>
        <w:ind w:left="444" w:right="3959" w:hanging="444"/>
        <w:spacing w:after="0" w:line="407" w:lineRule="auto"/>
        <w:tabs>
          <w:tab w:leader="none" w:pos="2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Free Writing Prospectuses not included in the Pricing Disclosure Package: None</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Documents Incorporated by Reference: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 Information other than the Pricing Prospectus that comprises the Pricing Disclosure Package: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public offering price per share for the Shares is $13.00.</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number of Shares purchased by the Underwriters is 9,615,384.</w:t>
      </w:r>
    </w:p>
    <w:p>
      <w:pPr>
        <w:spacing w:after="0" w:line="207" w:lineRule="exact"/>
        <w:rPr>
          <w:sz w:val="20"/>
          <w:szCs w:val="20"/>
          <w:color w:val="auto"/>
        </w:rPr>
      </w:pPr>
    </w:p>
    <w:p>
      <w:pPr>
        <w:ind w:left="444" w:right="6499" w:hanging="444"/>
        <w:spacing w:after="0" w:line="399" w:lineRule="auto"/>
        <w:tabs>
          <w:tab w:leader="none" w:pos="25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Testing-the-Waters Communications: None</w:t>
      </w:r>
    </w:p>
    <w:p>
      <w:pPr>
        <w:ind w:left="5384"/>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0023"/>
          </w:cols>
          <w:pgMar w:left="436" w:top="266" w:right="1440" w:bottom="1440" w:gutter="0" w:footer="0" w:header="0"/>
        </w:sectPr>
      </w:pPr>
    </w:p>
    <w:bookmarkStart w:id="32" w:name="page33"/>
    <w:bookmarkEnd w:id="32"/>
    <w:p>
      <w:pPr>
        <w:jc w:val="right"/>
        <w:ind w:right="38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J. Gould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 Hayes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Haviland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Sonja L. Banks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J. Collins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Katina Dorton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Ezekowitz</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Geraghty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Curtis Oltmans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Esther Rajavelu</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Santiago Arroyo</w:t>
      </w:r>
    </w:p>
    <w:p>
      <w:pPr>
        <w:sectPr>
          <w:pgSz w:w="11900" w:h="16838" w:orient="portrait"/>
          <w:cols w:equalWidth="0" w:num="1">
            <w:col w:w="10019"/>
          </w:cols>
          <w:pgMar w:left="440" w:top="266" w:right="1440"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jc w:val="center"/>
        <w:ind w:right="20"/>
        <w:spacing w:after="0"/>
        <w:tabs>
          <w:tab w:leader="none" w:pos="160" w:val="left"/>
        </w:tabs>
        <w:rPr>
          <w:sz w:val="20"/>
          <w:szCs w:val="20"/>
          <w:color w:val="auto"/>
        </w:rPr>
      </w:pPr>
      <w:r>
        <w:rPr>
          <w:rFonts w:ascii="Times New Roman" w:cs="Times New Roman" w:eastAsia="Times New Roman" w:hAnsi="Times New Roman"/>
          <w:sz w:val="18"/>
          <w:szCs w:val="18"/>
          <w:color w:val="auto"/>
        </w:rPr>
        <w:t>January [</w:t>
      </w:r>
      <w:r>
        <w:rPr>
          <w:sz w:val="20"/>
          <w:szCs w:val="20"/>
          <w:color w:val="auto"/>
        </w:rPr>
        <w:tab/>
      </w:r>
      <w:r>
        <w:rPr>
          <w:rFonts w:ascii="Times New Roman" w:cs="Times New Roman" w:eastAsia="Times New Roman" w:hAnsi="Times New Roman"/>
          <w:sz w:val="17"/>
          <w:szCs w:val="17"/>
          <w:color w:val="auto"/>
        </w:rPr>
        <w:t>], 2023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(the “Representatives”) of the several Underwriters named in Schedule I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10282-2198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SVB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State Street, 40th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1251 Avenue of the Americas, 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Fulcrum Therapeutics, Inc.—Lock-Up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you, as Representatives, propose to enter into an underwriting agreement (the “Underwriting Agreement”) on behalf of the several Underwriters named in Schedule I to such agreement (collectively, the “Underwriters”), with Fulcrum Therapeutics, Inc., a Delaware corporation (the “Company”), providing for a public offering (the “Public Offering”) of shares (the “Shares”) of the common stock, par value $0.001 per share, of the Company (the “Common Stock”), pursuant to a Registration Statement on Form S-3 (the “Registration Statement”) filed with the Securities and Exchange Commission (the “SEC”).</w:t>
      </w:r>
    </w:p>
    <w:p>
      <w:pPr>
        <w:sectPr>
          <w:pgSz w:w="11900" w:h="16838" w:orient="portrait"/>
          <w:cols w:equalWidth="0" w:num="1">
            <w:col w:w="11020"/>
          </w:cols>
          <w:pgMar w:left="440" w:top="266" w:right="439" w:bottom="1440" w:gutter="0" w:footer="0" w:header="0"/>
        </w:sectPr>
      </w:pPr>
    </w:p>
    <w:bookmarkStart w:id="34" w:name="page35"/>
    <w:bookmarkEnd w:id="3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30 days after the date of the final prospectus supplement relating to the Public Offering (the “Prospectus”) (such period, the “Lock-Up Period”), the undersigned shall not, and shall not cause or direct any of its affiliates to,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w:t>
      </w:r>
    </w:p>
    <w:p>
      <w:pPr>
        <w:sectPr>
          <w:pgSz w:w="11900" w:h="16838" w:orient="portrait"/>
          <w:cols w:equalWidth="0" w:num="1">
            <w:col w:w="11000"/>
          </w:cols>
          <w:pgMar w:left="440" w:top="270" w:right="459" w:bottom="1440" w:gutter="0" w:footer="0" w:header="0"/>
        </w:sectPr>
      </w:pPr>
    </w:p>
    <w:bookmarkStart w:id="35" w:name="page36"/>
    <w:bookmarkEnd w:id="35"/>
    <w:p>
      <w:pPr>
        <w:ind w:left="1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the undersigned may:</w:t>
      </w:r>
    </w:p>
    <w:p>
      <w:pPr>
        <w:spacing w:after="0" w:line="129" w:lineRule="exact"/>
        <w:rPr>
          <w:sz w:val="20"/>
          <w:szCs w:val="20"/>
          <w:color w:val="auto"/>
        </w:rPr>
      </w:pPr>
    </w:p>
    <w:p>
      <w:pPr>
        <w:ind w:left="532" w:hanging="532"/>
        <w:spacing w:after="0" w:line="251" w:lineRule="auto"/>
        <w:tabs>
          <w:tab w:leader="none" w:pos="5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the undersigned’s Lock-Up Securities (i) as one or more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or charitable contributions, or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purposes, (ii) upon death by will, testamentary document or intestate succession, (iii) 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 (iv) to a partnership, limited liability company or other entity of which the undersigned and the immediate family of the undersigned are the legal and beneficial owner of all of the outstanding equity securities or similar interests, (v) to a nominee or custodian of a person or entity to whom a disposition or transfer would be permissible under clauses (a)(i) through (iv) above, (vi) if the undersigned is a corporation, partnership, limited liability company or other business entity, (A) to another corporation, partnership, limited liability company or other business entity that is an affiliate (as defined in Rule 405 under the Securities Act of 1933, as amended) of the undersigned, or to any investment fund or other entity which fund or entity is controlled or managed by the undersigned or affiliates of the undersigned, or (B) as part of a distribution by the undersigned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the Company from an employee of the Company upon death, disability or termination of employment, in each case, of such employee, (ix) if the undersigned is not an officer or director of the Company, in connection with a sale of the undersigned’s shares of Common Stock acquired (A) from the Underwriters in the Public Offering or (B) in open market transactions after the closing date of the Public Offering, (x) to the Company in connection with the vesting, settlement or exercise of restricted stock units, options, warrants or other rights to purchase shares of Common Stock (including, in each case, by way of “net” or “cashless” exercise) that are scheduled to expire or automatically vest during the Lock-Up Period,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a document incorporated by reference in the Registration Statement, the preliminary prospectus supplement relating to the Shares and the Prospectus, provided that any securities received upon such vesting, settlement, exercise or conversion shall be subject to the terms of this Lock-Up Agreement, or (xi) with the prior written consent of Goldman Sachs &amp; Co. LLC, SVB Securities LLC and Piper Sandler &amp; Co., on behalf of the Underwriters; provided that (A) in the case of clauses (a)(i), (ii), (iii), (iv), (v) and (vi)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this Lock-Up Agreement, (C) in the case of clauses (a)(i), (ii), (iii), (iv), (v) and (vi) above, no filing by any party (including, without limitation, any donor, donee, devisee, transferor, transferee, distributor or distributee) under the Securities Exchange Act of 1934, as amended (the “Exchange Act), or other public filing, report or announcement reporting a reduction in beneficial ownership of Lock-Up Securities shall be required or shall be voluntarily made in connection with such transfer or distribution, and (D) in the case of clauses (a)(vii),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 (a)(vii) above, that the donee, devisee, transferee or distributee has agreed to be bound by a lock-up agreement in the form of this Lock-Up Agreement;</w:t>
      </w:r>
    </w:p>
    <w:p>
      <w:pPr>
        <w:spacing w:after="0" w:line="106" w:lineRule="exact"/>
        <w:rPr>
          <w:rFonts w:ascii="Times New Roman" w:cs="Times New Roman" w:eastAsia="Times New Roman" w:hAnsi="Times New Roman"/>
          <w:sz w:val="18"/>
          <w:szCs w:val="18"/>
          <w:color w:val="auto"/>
        </w:rPr>
      </w:pPr>
    </w:p>
    <w:p>
      <w:pPr>
        <w:ind w:left="532" w:right="100" w:hanging="532"/>
        <w:spacing w:after="0" w:line="258" w:lineRule="auto"/>
        <w:tabs>
          <w:tab w:leader="none" w:pos="5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written plan meeting the requirements of Rule 10b5-1 under the Exchange Act relating to the transfer, sale or other disposition of the undersigned’s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required or shall be voluntarily made regarding the establishment of such plan during the Lock-Up Period; and</w:t>
      </w:r>
    </w:p>
    <w:p>
      <w:pPr>
        <w:spacing w:after="0" w:line="88" w:lineRule="exact"/>
        <w:rPr>
          <w:rFonts w:ascii="Times New Roman" w:cs="Times New Roman" w:eastAsia="Times New Roman" w:hAnsi="Times New Roman"/>
          <w:sz w:val="18"/>
          <w:szCs w:val="18"/>
          <w:color w:val="auto"/>
        </w:rPr>
      </w:pPr>
    </w:p>
    <w:p>
      <w:pPr>
        <w:ind w:left="532" w:right="80" w:hanging="532"/>
        <w:spacing w:after="0" w:line="254" w:lineRule="auto"/>
        <w:tabs>
          <w:tab w:leader="none" w:pos="5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undersigned’s Lock-Up Securities shall remain subject to the provisions of this Lock-Up Agreement.</w:t>
      </w:r>
    </w:p>
    <w:p>
      <w:pPr>
        <w:sectPr>
          <w:pgSz w:w="11900" w:h="16838" w:orient="portrait"/>
          <w:cols w:equalWidth="0" w:num="1">
            <w:col w:w="10592"/>
          </w:cols>
          <w:pgMar w:left="868" w:top="270" w:right="439" w:bottom="1440" w:gutter="0" w:footer="0" w:header="0"/>
        </w:sectPr>
      </w:pPr>
    </w:p>
    <w:bookmarkStart w:id="36" w:name="page37"/>
    <w:bookmarkEnd w:id="36"/>
    <w:p>
      <w:pPr>
        <w:jc w:val="both"/>
        <w:ind w:right="3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80" w:lineRule="exact"/>
        <w:rPr>
          <w:sz w:val="20"/>
          <w:szCs w:val="20"/>
          <w:color w:val="auto"/>
        </w:rPr>
      </w:pPr>
    </w:p>
    <w:p>
      <w:pPr>
        <w:jc w:val="both"/>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undersigned’s Lock-Up Securities except in compliance with the foregoing restrictions.</w:t>
      </w:r>
    </w:p>
    <w:p>
      <w:pPr>
        <w:spacing w:after="0" w:line="16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This Lock-Up Agreement shall automatically terminate and the undersigned shall be released from all of his, her or its obligations hereunder upon the earlier of (i) the date on which the Company notifies the Representatives, in writing and prior to the execution of the Underwriting Agreement, that it does not intend to proceed with the Public Offering,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and (iii) and (iv) February 15, 2023, in the event that the Underwriting Agreement has not been executed by such date (provided, however, that the Company may, by written notice to the undersigned prior to such date, extend such date by a period of up to an additional 90 days).</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ectPr>
          <w:pgSz w:w="11900" w:h="16838" w:orient="portrait"/>
          <w:cols w:equalWidth="0" w:num="1">
            <w:col w:w="11000"/>
          </w:cols>
          <w:pgMar w:left="440" w:top="270" w:right="4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59"/>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IF AN INDIVIDUAL:</w:t>
            </w:r>
          </w:p>
        </w:tc>
        <w:tc>
          <w:tcPr>
            <w:tcW w:w="1340" w:type="dxa"/>
            <w:vAlign w:val="bottom"/>
          </w:tcPr>
          <w:p>
            <w:pPr>
              <w:spacing w:after="0"/>
              <w:rPr>
                <w:sz w:val="24"/>
                <w:szCs w:val="24"/>
                <w:color w:val="auto"/>
              </w:rPr>
            </w:pPr>
          </w:p>
        </w:tc>
        <w:tc>
          <w:tcPr>
            <w:tcW w:w="5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IF AN ENTITY:</w:t>
            </w:r>
          </w:p>
        </w:tc>
      </w:tr>
      <w:tr>
        <w:trPr>
          <w:trHeight w:val="432"/>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30"/>
        </w:trPr>
        <w:tc>
          <w:tcPr>
            <w:tcW w:w="540" w:type="dxa"/>
            <w:vAlign w:val="bottom"/>
          </w:tcPr>
          <w:p>
            <w:pPr>
              <w:spacing w:after="0"/>
              <w:rPr>
                <w:sz w:val="19"/>
                <w:szCs w:val="19"/>
                <w:color w:val="auto"/>
              </w:rPr>
            </w:pPr>
          </w:p>
        </w:tc>
        <w:tc>
          <w:tcPr>
            <w:tcW w:w="3480" w:type="dxa"/>
            <w:vAlign w:val="bottom"/>
            <w:tcBorders>
              <w:top w:val="single" w:sz="8" w:color="auto"/>
            </w:tcBorders>
          </w:tcPr>
          <w:p>
            <w:pPr>
              <w:jc w:val="center"/>
              <w:ind w:left="1350"/>
              <w:spacing w:after="0"/>
              <w:rPr>
                <w:sz w:val="20"/>
                <w:szCs w:val="20"/>
                <w:color w:val="auto"/>
              </w:rPr>
            </w:pPr>
            <w:r>
              <w:rPr>
                <w:rFonts w:ascii="Times New Roman" w:cs="Times New Roman" w:eastAsia="Times New Roman" w:hAnsi="Times New Roman"/>
                <w:sz w:val="18"/>
                <w:szCs w:val="18"/>
                <w:i w:val="1"/>
                <w:iCs w:val="1"/>
                <w:color w:val="auto"/>
                <w:w w:val="99"/>
              </w:rPr>
              <w:t>(duly authorized signature)</w:t>
            </w:r>
          </w:p>
        </w:tc>
        <w:tc>
          <w:tcPr>
            <w:tcW w:w="134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48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(please print complete name of entity)</w:t>
            </w:r>
          </w:p>
        </w:tc>
      </w:tr>
      <w:tr>
        <w:trPr>
          <w:trHeight w:val="412"/>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340" w:type="dxa"/>
            <w:vAlign w:val="bottom"/>
          </w:tcPr>
          <w:p>
            <w:pPr>
              <w:spacing w:after="0"/>
              <w:rPr>
                <w:sz w:val="24"/>
                <w:szCs w:val="24"/>
                <w:color w:val="auto"/>
              </w:rPr>
            </w:pPr>
          </w:p>
        </w:tc>
        <w:tc>
          <w:tcPr>
            <w:tcW w:w="5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By:</w:t>
            </w:r>
          </w:p>
        </w:tc>
      </w:tr>
      <w:tr>
        <w:trPr>
          <w:trHeight w:val="230"/>
        </w:trPr>
        <w:tc>
          <w:tcPr>
            <w:tcW w:w="540" w:type="dxa"/>
            <w:vAlign w:val="bottom"/>
          </w:tcPr>
          <w:p>
            <w:pPr>
              <w:spacing w:after="0"/>
              <w:rPr>
                <w:sz w:val="19"/>
                <w:szCs w:val="19"/>
                <w:color w:val="auto"/>
              </w:rPr>
            </w:pPr>
          </w:p>
        </w:tc>
        <w:tc>
          <w:tcPr>
            <w:tcW w:w="3480" w:type="dxa"/>
            <w:vAlign w:val="bottom"/>
            <w:tcBorders>
              <w:top w:val="single" w:sz="8" w:color="auto"/>
            </w:tcBorders>
          </w:tcPr>
          <w:p>
            <w:pPr>
              <w:jc w:val="center"/>
              <w:ind w:left="1370"/>
              <w:spacing w:after="0"/>
              <w:rPr>
                <w:sz w:val="20"/>
                <w:szCs w:val="20"/>
                <w:color w:val="auto"/>
              </w:rPr>
            </w:pPr>
            <w:r>
              <w:rPr>
                <w:rFonts w:ascii="Times New Roman" w:cs="Times New Roman" w:eastAsia="Times New Roman" w:hAnsi="Times New Roman"/>
                <w:sz w:val="18"/>
                <w:szCs w:val="18"/>
                <w:i w:val="1"/>
                <w:iCs w:val="1"/>
                <w:color w:val="auto"/>
              </w:rPr>
              <w:t>(please print full name)</w:t>
            </w:r>
          </w:p>
        </w:tc>
        <w:tc>
          <w:tcPr>
            <w:tcW w:w="134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484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rPr>
              <w:t>(duly authorized signature)</w:t>
            </w:r>
          </w:p>
        </w:tc>
      </w:tr>
      <w:tr>
        <w:trPr>
          <w:trHeight w:val="412"/>
        </w:trPr>
        <w:tc>
          <w:tcPr>
            <w:tcW w:w="5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Name:</w:t>
            </w:r>
          </w:p>
        </w:tc>
      </w:tr>
      <w:tr>
        <w:trPr>
          <w:trHeight w:val="230"/>
        </w:trPr>
        <w:tc>
          <w:tcPr>
            <w:tcW w:w="5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4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rPr>
              <w:t>(please print full name)</w:t>
            </w:r>
          </w:p>
        </w:tc>
      </w:tr>
      <w:tr>
        <w:trPr>
          <w:trHeight w:val="412"/>
        </w:trPr>
        <w:tc>
          <w:tcPr>
            <w:tcW w:w="5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Title:</w:t>
            </w:r>
          </w:p>
        </w:tc>
      </w:tr>
      <w:tr>
        <w:trPr>
          <w:trHeight w:val="230"/>
        </w:trPr>
        <w:tc>
          <w:tcPr>
            <w:tcW w:w="5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4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w w:val="99"/>
              </w:rPr>
              <w:t>(please print full title)</w:t>
            </w:r>
          </w:p>
        </w:tc>
      </w:tr>
      <w:tr>
        <w:trPr>
          <w:trHeight w:val="412"/>
        </w:trPr>
        <w:tc>
          <w:tcPr>
            <w:tcW w:w="5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000" w:type="dxa"/>
            <w:vAlign w:val="bottom"/>
            <w:gridSpan w:val="3"/>
          </w:tcPr>
          <w:p>
            <w:pPr>
              <w:jc w:val="center"/>
              <w:ind w:right="3950"/>
              <w:spacing w:after="0"/>
              <w:rPr>
                <w:sz w:val="20"/>
                <w:szCs w:val="20"/>
                <w:color w:val="auto"/>
              </w:rPr>
            </w:pPr>
            <w:r>
              <w:rPr>
                <w:rFonts w:ascii="Times New Roman" w:cs="Times New Roman" w:eastAsia="Times New Roman" w:hAnsi="Times New Roman"/>
                <w:sz w:val="18"/>
                <w:szCs w:val="18"/>
                <w:i w:val="1"/>
                <w:iCs w:val="1"/>
                <w:color w:val="auto"/>
                <w:w w:val="99"/>
              </w:rPr>
              <w:t>[Signature Page to Lock-Up Agreement]</w:t>
            </w:r>
          </w:p>
        </w:tc>
      </w:tr>
      <w:tr>
        <w:trPr>
          <w:trHeight w:val="364"/>
        </w:trPr>
        <w:tc>
          <w:tcPr>
            <w:tcW w:w="5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1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5</w:t>
            </w:r>
          </w:p>
        </w:tc>
        <w:tc>
          <w:tcPr>
            <w:tcW w:w="48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714500" cy="377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23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goodwinlaw.com</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+1 (617) 570-1000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18,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2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Securities Being Registered under Registration Statement on Form S-3</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Amendment No. 2 to the Registration Statement on Form S-3 (File No. 333-260754) (as amended or supplemented, the “Registration Statement”), filed on March 3, 2022 with the Securities and Exchange Commission (the “Commission”) pursuant to the Securities Act of 1933, as amended (the “Securities Act”), relating to the registration of the offering by Fulcrum Therapeutics, Inc., a Delaware corporation (the “Company”), of up to $250,000,000 of any combination of securities of the types specified therein. The Registration Statement was declared effective by the Commission on April 28, 2022. Reference is made to our opinion letter dated March 3, 2022 and included as Exhibit 5.1 to the Registration Statement. We are delivering this supplemental opinion letter in connection with the prospectus supplement (the “Prospectus Supplement”) filed on January 18, 2023 by the Company with the Commission pursuant to Rule 424 under the Securities Act. The Prospectus Supplement relates to the offering by the Company of up to 11,057,691 shares of the Company’s common stock, par value $0.001 per share (the “Shares”) covered by the Registration Statement. The Shares include an option granted to the underwriters of the offering to purchase an additional 1,442,307 Shares. The Shares are being sold to the several underwriters named in, and pursuant to, an underwriting agreement among the Company and such underwriters (the “Underwriting Agreement”).</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delivered and paid for in accordance with the terms of the Underwriting Agreement, will be validly issued, fully paid and non-assessable.</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opinion letter and the opinion it contains shall be interpreted in accordance with the Core Opinion Principles as published in 74 Business Lawyer 815 (Summer 2019).</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/s/ Goodwin Procter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1020"/>
          </w:cols>
          <w:pgMar w:left="440" w:top="117"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63065" cy="506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6306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Announces Pricing of Upsized Public Offering of Common Stock</w:t>
      </w:r>
    </w:p>
    <w:p>
      <w:pPr>
        <w:spacing w:after="0" w:line="225"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CAMBRIDGE, Mass. – January 17, 2023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Fulcrum Therapeutics, Inc.</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FULC), a clinical-stage biopharmaceutical company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improving the lives of patients with genetically defined rare diseases, today announced the pricing of an underwritten public offering of 9,615,384 shares of its common stock at a public offering price of $13.00 per share. The gross proceeds to Fulcrum from the offering, before deducting underwriting discounts and commissions and other estimated offering expenses, are expected to be $125 million. All shares in the offering are to be sold by Fulcrum. In addition, Fulcrum has granted the underwriters a 30-day option to purchase up to an additional 1,442,307 shares of its common stock. The offering is expected to close on or about January 20, 2023, subject to customary closing conditions.</w:t>
      </w:r>
    </w:p>
    <w:p>
      <w:pPr>
        <w:spacing w:after="0" w:line="19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Goldman Sachs &amp; Co. LLC, SVB Securities and Piper Sandler &amp; Co. are acting as joint book-running managers for the offering. H.C. Wainwright &amp; Co. is acting as lead manager for the offering.</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shares are being offered by Fulcrum pursuant to an effective shelf registration statement that was previously filed with the U.S. Securities and Exchange Commission (the “SEC”). The offering is being made only by means of a written prospectus and prospectus supplement that form a part of the registration statement. A preliminary prospectus supplement relating to and describing the terms of the offering was filed with the SEC and is available on the SEC’s website at www.sec.gov.</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When available, copies of the final prospectus supplement relating to the offering may be obtained from Goldman Sachs &amp; Co. LLC by mail at 200 West Street, New York, NY 10282, Attention: Prospectus Department, by telephone at (866) 471-2526, or by email at prospectus-ny@ny.email.gs.com; SVB Securities LLC, Attention: Syndicate Department, 53 State Street, 40th Floor, Boston, MA 02109, by phone at (800) 808-7525, ext. 6105 or by email at syndicate@svbsecurities.com; or Piper Sandler &amp; Co., Attention: Prospectus Department, 800 Nicollet Mall, J12S03, Minneapolis, MN 55402, by telephone at (800) 747-3924, or by email at prospectus@psc.com.</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the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121"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Fulcrum Therapeutics is a clinical-stage biopharmaceutical company focused on improving the lives of patients with genetically defined rare diseases in areas of high unmet medical need. Fulcrum’s two lead programs in clinical development are losmapimod, a small molecule for the treatment of facioscapulohumeral muscular dystrophy (FSHD), and FTX-6058, a small molecule designed to increase expression of fetal hemoglobin for the treatment of sickle cell disease and other hemoglobinopathies, including beta-thalassemia. Fulcrum’s proprietary product engine FulcrumSeek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identifies drug targets that can modulate gene expression to treat the known root cause of gene mis-expression.</w:t>
      </w:r>
    </w:p>
    <w:p>
      <w:pPr>
        <w:sectPr>
          <w:pgSz w:w="11900" w:h="16838" w:orient="portrait"/>
          <w:cols w:equalWidth="0" w:num="1">
            <w:col w:w="11020"/>
          </w:cols>
          <w:pgMar w:left="440" w:top="117"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statements regarding the completion of the public offering. All such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related to fluctuations in Fulcrum’s stock price, changes in market conditions and satisfaction of customary closing conditions related to the public offering, as well as the other factors discussed in the “Risk Factors” section in the prospectus supplement and registration statement referenced above and in Fulcrum’s most recently filed Quarterly Report on Form 10-Q, as well as other risks detailed in Fulcrum’s filings with the Securities and Exchange Commission. There can be no assurance that Fulcrum will be able to complete the public offering on the anticipated terms. All information in this press release is as of the date of the release, and Fulcrum undertakes no duty to update this information, even if subsequent events cause its views to change, unless required by law.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Ascher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stephanie.ascher@sternir.com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Fulcrum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dsmith@fulcrumtx.com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lvl w:ilvl="1">
      <w:lvlJc w:val="left"/>
      <w:lvlText w:val="(%2)"/>
      <w:numFmt w:val="lowerLetter"/>
      <w:start w:val="1"/>
    </w:lvl>
  </w:abstractNum>
  <w:abstractNum w:abstractNumId="2">
    <w:nsid w:val="2D1D5AE9"/>
    <w:multiLevelType w:val="hybridMultilevel"/>
    <w:lvl w:ilvl="0">
      <w:lvlJc w:val="left"/>
      <w:lvlText w:val="%1"/>
      <w:numFmt w:val="decimal"/>
      <w:start w:val="405"/>
    </w:lvl>
    <w:lvl w:ilvl="1">
      <w:lvlJc w:val="left"/>
      <w:lvlText w:val="(%2)"/>
      <w:numFmt w:val="lowerLetter"/>
      <w:start w:val="2"/>
    </w:lvl>
  </w:abstractNum>
  <w:abstractNum w:abstractNumId="3">
    <w:nsid w:val="6763845E"/>
    <w:multiLevelType w:val="hybridMultilevel"/>
    <w:lvl w:ilvl="0">
      <w:lvlJc w:val="left"/>
      <w:lvlText w:val="(%1)"/>
      <w:numFmt w:val="lowerLetter"/>
      <w:start w:val="3"/>
    </w:lvl>
  </w:abstractNum>
  <w:abstractNum w:abstractNumId="4">
    <w:nsid w:val="75A2A8D4"/>
    <w:multiLevelType w:val="hybridMultilevel"/>
    <w:lvl w:ilvl="0">
      <w:lvlJc w:val="left"/>
      <w:lvlText w:val="(%1)"/>
      <w:numFmt w:val="lowerLetter"/>
      <w:start w:val="6"/>
    </w:lvl>
  </w:abstractNum>
  <w:abstractNum w:abstractNumId="5">
    <w:nsid w:val="8EDBDAB"/>
    <w:multiLevelType w:val="hybridMultilevel"/>
    <w:lvl w:ilvl="0">
      <w:lvlJc w:val="left"/>
      <w:lvlText w:val="(%1)"/>
      <w:numFmt w:val="lowerLetter"/>
      <w:start w:val="9"/>
    </w:lvl>
  </w:abstractNum>
  <w:abstractNum w:abstractNumId="6">
    <w:nsid w:val="79838CB2"/>
    <w:multiLevelType w:val="hybridMultilevel"/>
    <w:lvl w:ilvl="0">
      <w:lvlJc w:val="left"/>
      <w:lvlText w:val="%1"/>
      <w:numFmt w:val="upperLetter"/>
      <w:start w:val="1"/>
    </w:lvl>
    <w:lvl w:ilvl="1">
      <w:lvlJc w:val="left"/>
      <w:lvlText w:val="(%2)"/>
      <w:numFmt w:val="lowerLetter"/>
      <w:start w:val="12"/>
    </w:lvl>
  </w:abstractNum>
  <w:abstractNum w:abstractNumId="7">
    <w:nsid w:val="4353D0CD"/>
    <w:multiLevelType w:val="hybridMultilevel"/>
    <w:lvl w:ilvl="0">
      <w:lvlJc w:val="left"/>
      <w:lvlText w:val="(%1)"/>
      <w:numFmt w:val="upperLetter"/>
      <w:start w:val="2"/>
    </w:lvl>
    <w:lvl w:ilvl="1">
      <w:lvlJc w:val="left"/>
      <w:lvlText w:val="(%2)"/>
      <w:numFmt w:val="lowerLetter"/>
      <w:start w:val="18"/>
    </w:lvl>
  </w:abstractNum>
  <w:abstractNum w:abstractNumId="8">
    <w:nsid w:val="B03E0C6"/>
    <w:multiLevelType w:val="hybridMultilevel"/>
    <w:lvl w:ilvl="0">
      <w:lvlJc w:val="left"/>
      <w:lvlText w:val="(%1)"/>
      <w:numFmt w:val="lowerLetter"/>
      <w:start w:val="20"/>
    </w:lvl>
  </w:abstractNum>
  <w:abstractNum w:abstractNumId="9">
    <w:nsid w:val="189A769B"/>
    <w:multiLevelType w:val="hybridMultilevel"/>
    <w:lvl w:ilvl="0">
      <w:lvlJc w:val="left"/>
      <w:lvlText w:val="(%1)"/>
      <w:numFmt w:val="lowerLetter"/>
      <w:start w:val="23"/>
    </w:lvl>
  </w:abstractNum>
  <w:abstractNum w:abstractNumId="10">
    <w:nsid w:val="54E49EB4"/>
    <w:multiLevelType w:val="hybridMultilevel"/>
    <w:lvl w:ilvl="0">
      <w:lvlJc w:val="left"/>
      <w:lvlText w:val="(%1)"/>
      <w:numFmt w:val="lowerLetter"/>
      <w:start w:val="27"/>
    </w:lvl>
  </w:abstractNum>
  <w:abstractNum w:abstractNumId="11">
    <w:nsid w:val="71F32454"/>
    <w:multiLevelType w:val="hybridMultilevel"/>
    <w:lvl w:ilvl="0">
      <w:lvlJc w:val="left"/>
      <w:lvlText w:val="(%1)"/>
      <w:numFmt w:val="lowerLetter"/>
      <w:start w:val="33"/>
    </w:lvl>
  </w:abstractNum>
  <w:abstractNum w:abstractNumId="12">
    <w:nsid w:val="2CA88611"/>
    <w:multiLevelType w:val="hybridMultilevel"/>
    <w:lvl w:ilvl="0">
      <w:lvlJc w:val="left"/>
      <w:lvlText w:val="(%1)"/>
      <w:numFmt w:val="lowerLetter"/>
      <w:start w:val="36"/>
    </w:lvl>
  </w:abstractNum>
  <w:abstractNum w:abstractNumId="13">
    <w:nsid w:val="836C40E"/>
    <w:multiLevelType w:val="hybridMultilevel"/>
    <w:lvl w:ilvl="0">
      <w:lvlJc w:val="left"/>
      <w:lvlText w:val="%1"/>
      <w:numFmt w:val="lowerLetter"/>
      <w:start w:val="1"/>
    </w:lvl>
    <w:lvl w:ilvl="1">
      <w:lvlJc w:val="left"/>
      <w:lvlText w:val="(%2)"/>
      <w:numFmt w:val="lowerLetter"/>
      <w:start w:val="38"/>
    </w:lvl>
  </w:abstractNum>
  <w:abstractNum w:abstractNumId="14">
    <w:nsid w:val="2901D82"/>
    <w:multiLevelType w:val="hybridMultilevel"/>
    <w:lvl w:ilvl="0">
      <w:lvlJc w:val="left"/>
      <w:lvlText w:val="(%1)"/>
      <w:numFmt w:val="lowerLetter"/>
      <w:start w:val="35"/>
    </w:lvl>
    <w:lvl w:ilvl="1">
      <w:lvlJc w:val="left"/>
      <w:lvlText w:val="(%2)"/>
      <w:numFmt w:val="lowerLetter"/>
      <w:start w:val="39"/>
    </w:lvl>
  </w:abstractNum>
  <w:abstractNum w:abstractNumId="15">
    <w:nsid w:val="3A95F874"/>
    <w:multiLevelType w:val="hybridMultilevel"/>
    <w:lvl w:ilvl="0">
      <w:lvlJc w:val="left"/>
      <w:lvlText w:val="(%1)"/>
      <w:numFmt w:val="lowerLetter"/>
      <w:start w:val="40"/>
    </w:lvl>
  </w:abstractNum>
  <w:abstractNum w:abstractNumId="16">
    <w:nsid w:val="8138641"/>
    <w:multiLevelType w:val="hybridMultilevel"/>
    <w:lvl w:ilvl="0">
      <w:lvlJc w:val="left"/>
      <w:lvlText w:val="%1."/>
      <w:numFmt w:val="decimal"/>
      <w:start w:val="2"/>
    </w:lvl>
  </w:abstractNum>
  <w:abstractNum w:abstractNumId="17">
    <w:nsid w:val="1E7FF521"/>
    <w:multiLevelType w:val="hybridMultilevel"/>
    <w:lvl w:ilvl="0">
      <w:lvlJc w:val="left"/>
      <w:lvlText w:val="%1."/>
      <w:numFmt w:val="decimal"/>
      <w:start w:val="3"/>
    </w:lvl>
  </w:abstractNum>
  <w:abstractNum w:abstractNumId="18">
    <w:nsid w:val="7C3DBD3D"/>
    <w:multiLevelType w:val="hybridMultilevel"/>
    <w:lvl w:ilvl="0">
      <w:lvlJc w:val="left"/>
      <w:lvlText w:val="(%1)"/>
      <w:numFmt w:val="lowerLetter"/>
      <w:start w:val="2"/>
    </w:lvl>
  </w:abstractNum>
  <w:abstractNum w:abstractNumId="19">
    <w:nsid w:val="737B8DDC"/>
    <w:multiLevelType w:val="hybridMultilevel"/>
    <w:lvl w:ilvl="0">
      <w:lvlJc w:val="left"/>
      <w:lvlText w:val="%1."/>
      <w:numFmt w:val="decimal"/>
      <w:start w:val="5"/>
    </w:lvl>
    <w:lvl w:ilvl="1">
      <w:lvlJc w:val="left"/>
      <w:lvlText w:val="(%2)"/>
      <w:numFmt w:val="lowerLetter"/>
      <w:start w:val="1"/>
    </w:lvl>
  </w:abstractNum>
  <w:abstractNum w:abstractNumId="20">
    <w:nsid w:val="6CEAF087"/>
    <w:multiLevelType w:val="hybridMultilevel"/>
    <w:lvl w:ilvl="0">
      <w:lvlJc w:val="left"/>
      <w:lvlText w:val="%1"/>
      <w:numFmt w:val="lowerLetter"/>
      <w:start w:val="1"/>
    </w:lvl>
    <w:lvl w:ilvl="1">
      <w:lvlJc w:val="left"/>
      <w:lvlText w:val="(%2)"/>
      <w:numFmt w:val="lowerLetter"/>
      <w:start w:val="4"/>
    </w:lvl>
  </w:abstractNum>
  <w:abstractNum w:abstractNumId="21">
    <w:nsid w:val="22221A70"/>
    <w:multiLevelType w:val="hybridMultilevel"/>
    <w:lvl w:ilvl="0">
      <w:lvlJc w:val="left"/>
      <w:lvlText w:val="(%1)"/>
      <w:numFmt w:val="lowerLetter"/>
      <w:start w:val="9"/>
    </w:lvl>
    <w:lvl w:ilvl="1">
      <w:lvlJc w:val="left"/>
      <w:lvlText w:val="%2"/>
      <w:numFmt w:val="lowerLetter"/>
      <w:start w:val="1"/>
    </w:lvl>
  </w:abstractNum>
  <w:abstractNum w:abstractNumId="22">
    <w:nsid w:val="4516DDE9"/>
    <w:multiLevelType w:val="hybridMultilevel"/>
    <w:lvl w:ilvl="0">
      <w:lvlJc w:val="left"/>
      <w:lvlText w:val="(%1)"/>
      <w:numFmt w:val="lowerLetter"/>
      <w:start w:val="7"/>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3"/>
    </w:lvl>
  </w:abstractNum>
  <w:abstractNum w:abstractNumId="25">
    <w:nsid w:val="419AC241"/>
    <w:multiLevelType w:val="hybridMultilevel"/>
    <w:lvl w:ilvl="0">
      <w:lvlJc w:val="left"/>
      <w:lvlText w:val="%1."/>
      <w:numFmt w:val="decimal"/>
      <w:start w:val="7"/>
    </w:lvl>
  </w:abstractNum>
  <w:abstractNum w:abstractNumId="26">
    <w:nsid w:val="5577F8E1"/>
    <w:multiLevelType w:val="hybridMultilevel"/>
    <w:lvl w:ilvl="0">
      <w:lvlJc w:val="left"/>
      <w:lvlText w:val="%1."/>
      <w:numFmt w:val="decimal"/>
      <w:start w:val="8"/>
    </w:lvl>
    <w:lvl w:ilvl="1">
      <w:lvlJc w:val="left"/>
      <w:lvlText w:val="(%2)"/>
      <w:numFmt w:val="lowerLetter"/>
      <w:start w:val="1"/>
    </w:lvl>
  </w:abstractNum>
  <w:abstractNum w:abstractNumId="27">
    <w:nsid w:val="440BADFC"/>
    <w:multiLevelType w:val="hybridMultilevel"/>
    <w:lvl w:ilvl="0">
      <w:lvlJc w:val="left"/>
      <w:lvlText w:val="(%1)"/>
      <w:numFmt w:val="lowerLetter"/>
      <w:start w:val="7"/>
    </w:lvl>
  </w:abstractNum>
  <w:abstractNum w:abstractNumId="28">
    <w:nsid w:val="5072367"/>
    <w:multiLevelType w:val="hybridMultilevel"/>
    <w:lvl w:ilvl="0">
      <w:lvlJc w:val="left"/>
      <w:lvlText w:val="%1."/>
      <w:numFmt w:val="decimal"/>
      <w:start w:val="9"/>
    </w:lvl>
  </w:abstractNum>
  <w:abstractNum w:abstractNumId="29">
    <w:nsid w:val="3804823E"/>
    <w:multiLevelType w:val="hybridMultilevel"/>
    <w:lvl w:ilvl="0">
      <w:lvlJc w:val="left"/>
      <w:lvlText w:val="(%1)"/>
      <w:numFmt w:val="lowerLetter"/>
      <w:start w:val="2"/>
    </w:lvl>
  </w:abstractNum>
  <w:abstractNum w:abstractNumId="30">
    <w:nsid w:val="77465F01"/>
    <w:multiLevelType w:val="hybridMultilevel"/>
    <w:lvl w:ilvl="0">
      <w:lvlJc w:val="left"/>
      <w:lvlText w:val="%1"/>
      <w:numFmt w:val="lowerLetter"/>
      <w:start w:val="1"/>
    </w:lvl>
    <w:lvl w:ilvl="1">
      <w:lvlJc w:val="left"/>
      <w:lvlText w:val="(%2)"/>
      <w:numFmt w:val="lowerLetter"/>
      <w:start w:val="3"/>
    </w:lvl>
  </w:abstractNum>
  <w:abstractNum w:abstractNumId="31">
    <w:nsid w:val="7724C67E"/>
    <w:multiLevelType w:val="hybridMultilevel"/>
    <w:lvl w:ilvl="0">
      <w:lvlJc w:val="left"/>
      <w:lvlText w:val="(%1)"/>
      <w:numFmt w:val="lowerLetter"/>
      <w:start w:val="1"/>
    </w:lvl>
    <w:lvl w:ilvl="1">
      <w:lvlJc w:val="left"/>
      <w:lvlText w:val="%2"/>
      <w:numFmt w:val="lowerLetter"/>
      <w:start w:val="1"/>
    </w:lvl>
  </w:abstractNum>
  <w:abstractNum w:abstractNumId="32">
    <w:nsid w:val="5C482A97"/>
    <w:multiLevelType w:val="hybridMultilevel"/>
    <w:lvl w:ilvl="0">
      <w:lvlJc w:val="left"/>
      <w:lvlText w:val="(%1)"/>
      <w:numFmt w:val="lowerLetter"/>
      <w:start w:val="5"/>
    </w:lvl>
  </w:abstractNum>
  <w:abstractNum w:abstractNumId="33">
    <w:nsid w:val="2463B9EA"/>
    <w:multiLevelType w:val="hybridMultilevel"/>
    <w:lvl w:ilvl="0">
      <w:lvlJc w:val="left"/>
      <w:lvlText w:val="%1."/>
      <w:numFmt w:val="decimal"/>
      <w:start w:val="10"/>
    </w:lvl>
  </w:abstractNum>
  <w:abstractNum w:abstractNumId="34">
    <w:nsid w:val="5E884ADC"/>
    <w:multiLevelType w:val="hybridMultilevel"/>
    <w:lvl w:ilvl="0">
      <w:lvlJc w:val="left"/>
      <w:lvlText w:val="(%1)"/>
      <w:numFmt w:val="lowerLetter"/>
      <w:start w:val="2"/>
    </w:lvl>
  </w:abstractNum>
  <w:abstractNum w:abstractNumId="35">
    <w:nsid w:val="51EAD36B"/>
    <w:multiLevelType w:val="hybridMultilevel"/>
    <w:lvl w:ilvl="0">
      <w:lvlJc w:val="left"/>
      <w:lvlText w:val="%1."/>
      <w:numFmt w:val="decimal"/>
      <w:start w:val="11"/>
    </w:lvl>
  </w:abstractNum>
  <w:abstractNum w:abstractNumId="36">
    <w:nsid w:val="2D517796"/>
    <w:multiLevelType w:val="hybridMultilevel"/>
    <w:lvl w:ilvl="0">
      <w:lvlJc w:val="left"/>
      <w:lvlText w:val="%1."/>
      <w:numFmt w:val="decimal"/>
      <w:start w:val="14"/>
    </w:lvl>
  </w:abstractNum>
  <w:abstractNum w:abstractNumId="37">
    <w:nsid w:val="580BD78F"/>
    <w:multiLevelType w:val="hybridMultilevel"/>
    <w:lvl w:ilvl="0">
      <w:lvlJc w:val="left"/>
      <w:lvlText w:val="%1."/>
      <w:numFmt w:val="decimal"/>
      <w:start w:val="2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lowerRoman"/>
      <w:start w:val="1"/>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lowerLetter"/>
      <w:start w:val="4"/>
    </w:lvl>
  </w:abstractNum>
  <w:abstractNum w:abstractNumId="42">
    <w:nsid w:val="2A487CB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2023-01-18T16:15:51Z</dcterms:created>
  <dcterms:modified xsi:type="dcterms:W3CDTF">2023-01-18T16:15:51Z</dcterms:modified>
</cp:coreProperties>
</file>