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March 9, 2023</w:t>
      </w:r>
    </w:p>
    <w:p>
      <w:pPr>
        <w:spacing w:after="0" w:line="31" w:lineRule="exact"/>
        <w:rPr>
          <w:sz w:val="24"/>
          <w:szCs w:val="24"/>
          <w:color w:val="auto"/>
        </w:rPr>
      </w:pPr>
    </w:p>
    <w:p>
      <w:pPr>
        <w:ind w:left="8660"/>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3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ind w:right="-39"/>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FULCRUM THERAPEUTICS, INC.</w:t>
      </w:r>
    </w:p>
    <w:p>
      <w:pPr>
        <w:spacing w:after="0" w:line="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540" w:type="dxa"/>
        <w:tblCellMar>
          <w:top w:w="0" w:type="dxa"/>
          <w:left w:w="0" w:type="dxa"/>
          <w:bottom w:w="0" w:type="dxa"/>
          <w:right w:w="0" w:type="dxa"/>
        </w:tblCellMar>
      </w:tblPr>
      <w:tr>
        <w:trPr>
          <w:trHeight w:val="214"/>
        </w:trPr>
        <w:tc>
          <w:tcPr>
            <w:tcW w:w="4360" w:type="dxa"/>
            <w:vAlign w:val="bottom"/>
          </w:tcPr>
          <w:p>
            <w:pPr>
              <w:jc w:val="center"/>
              <w:ind w:right="179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0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47-4839948</w:t>
            </w:r>
          </w:p>
        </w:tc>
      </w:tr>
      <w:tr>
        <w:trPr>
          <w:trHeight w:val="148"/>
        </w:trPr>
        <w:tc>
          <w:tcPr>
            <w:tcW w:w="4360" w:type="dxa"/>
            <w:vAlign w:val="bottom"/>
          </w:tcPr>
          <w:p>
            <w:pPr>
              <w:jc w:val="center"/>
              <w:ind w:right="179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000" w:type="dxa"/>
            <w:vAlign w:val="bottom"/>
          </w:tcPr>
          <w:p>
            <w:pPr>
              <w:jc w:val="center"/>
              <w:ind w:left="180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360" w:type="dxa"/>
            <w:vAlign w:val="bottom"/>
          </w:tcPr>
          <w:p>
            <w:pPr>
              <w:jc w:val="center"/>
              <w:ind w:right="179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000" w:type="dxa"/>
            <w:vAlign w:val="bottom"/>
          </w:tcPr>
          <w:p>
            <w:pPr>
              <w:jc w:val="center"/>
              <w:ind w:left="180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93"/>
        </w:trPr>
        <w:tc>
          <w:tcPr>
            <w:tcW w:w="4360" w:type="dxa"/>
            <w:vAlign w:val="bottom"/>
          </w:tcPr>
          <w:p>
            <w:pPr>
              <w:jc w:val="center"/>
              <w:ind w:right="1799"/>
              <w:spacing w:after="0"/>
              <w:rPr>
                <w:sz w:val="20"/>
                <w:szCs w:val="20"/>
                <w:color w:val="auto"/>
              </w:rPr>
            </w:pPr>
            <w:r>
              <w:rPr>
                <w:rFonts w:ascii="Times New Roman" w:cs="Times New Roman" w:eastAsia="Times New Roman" w:hAnsi="Times New Roman"/>
                <w:sz w:val="18"/>
                <w:szCs w:val="18"/>
                <w:b w:val="1"/>
                <w:bCs w:val="1"/>
                <w:color w:val="auto"/>
              </w:rPr>
              <w:t>26 Landsdowne Street</w:t>
            </w:r>
          </w:p>
        </w:tc>
        <w:tc>
          <w:tcPr>
            <w:tcW w:w="3000" w:type="dxa"/>
            <w:vAlign w:val="bottom"/>
          </w:tcPr>
          <w:p>
            <w:pPr>
              <w:spacing w:after="0"/>
              <w:rPr>
                <w:sz w:val="24"/>
                <w:szCs w:val="24"/>
                <w:color w:val="auto"/>
              </w:rPr>
            </w:pPr>
          </w:p>
        </w:tc>
      </w:tr>
      <w:tr>
        <w:trPr>
          <w:trHeight w:val="227"/>
        </w:trPr>
        <w:tc>
          <w:tcPr>
            <w:tcW w:w="4360" w:type="dxa"/>
            <w:vAlign w:val="bottom"/>
          </w:tcPr>
          <w:p>
            <w:pPr>
              <w:jc w:val="center"/>
              <w:ind w:right="1799"/>
              <w:spacing w:after="0"/>
              <w:rPr>
                <w:sz w:val="20"/>
                <w:szCs w:val="20"/>
                <w:color w:val="auto"/>
              </w:rPr>
            </w:pPr>
            <w:r>
              <w:rPr>
                <w:rFonts w:ascii="Times New Roman" w:cs="Times New Roman" w:eastAsia="Times New Roman" w:hAnsi="Times New Roman"/>
                <w:sz w:val="18"/>
                <w:szCs w:val="18"/>
                <w:b w:val="1"/>
                <w:bCs w:val="1"/>
                <w:color w:val="auto"/>
              </w:rPr>
              <w:t>Cambridge, Massachusetts</w:t>
            </w:r>
          </w:p>
        </w:tc>
        <w:tc>
          <w:tcPr>
            <w:tcW w:w="300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02139</w:t>
            </w:r>
          </w:p>
        </w:tc>
      </w:tr>
      <w:tr>
        <w:trPr>
          <w:trHeight w:val="190"/>
        </w:trPr>
        <w:tc>
          <w:tcPr>
            <w:tcW w:w="4360" w:type="dxa"/>
            <w:vAlign w:val="bottom"/>
          </w:tcPr>
          <w:p>
            <w:pPr>
              <w:jc w:val="center"/>
              <w:ind w:right="18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000" w:type="dxa"/>
            <w:vAlign w:val="bottom"/>
          </w:tcPr>
          <w:p>
            <w:pPr>
              <w:jc w:val="center"/>
              <w:ind w:left="180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2019 Stock Incentive Plan</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2019 Employee Stock Purchase Plan</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Amendment to 2022 Inducement Stock Incentive Plan</w:t>
      </w:r>
    </w:p>
    <w:p>
      <w:pPr>
        <w:spacing w:after="0" w:line="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(Full title of the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Robert J. Gould</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Interim President and Chief Executive Officer</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Fulcrum Therapeutics, Inc.</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26 Landsdowne Street</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Cambridge, Massachusetts 02139</w:t>
      </w:r>
    </w:p>
    <w:p>
      <w:pPr>
        <w:spacing w:after="0" w:line="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(Name and address of agent for service)</w:t>
      </w:r>
    </w:p>
    <w:p>
      <w:pPr>
        <w:spacing w:after="0" w:line="18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(617) 651-8851</w:t>
      </w:r>
    </w:p>
    <w:p>
      <w:pPr>
        <w:spacing w:after="0" w:line="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(Telephone number, including area code, of agent for service)</w:t>
      </w:r>
    </w:p>
    <w:p>
      <w:pPr>
        <w:spacing w:after="0" w:line="18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252" w:lineRule="exact"/>
        <w:rPr>
          <w:sz w:val="24"/>
          <w:szCs w:val="24"/>
          <w:color w:val="auto"/>
        </w:rPr>
      </w:pPr>
    </w:p>
    <w:tbl>
      <w:tblPr>
        <w:tblLayout w:type="fixed"/>
        <w:tblInd w:w="1820" w:type="dxa"/>
        <w:tblCellMar>
          <w:top w:w="0" w:type="dxa"/>
          <w:left w:w="0" w:type="dxa"/>
          <w:bottom w:w="0" w:type="dxa"/>
          <w:right w:w="0" w:type="dxa"/>
        </w:tblCellMar>
      </w:tblPr>
      <w:tr>
        <w:trPr>
          <w:trHeight w:val="216"/>
        </w:trPr>
        <w:tc>
          <w:tcPr>
            <w:tcW w:w="3580" w:type="dxa"/>
            <w:vAlign w:val="bottom"/>
          </w:tcPr>
          <w:p>
            <w:pPr>
              <w:jc w:val="center"/>
              <w:ind w:right="1570"/>
              <w:spacing w:after="0"/>
              <w:rPr>
                <w:sz w:val="20"/>
                <w:szCs w:val="20"/>
                <w:color w:val="auto"/>
              </w:rPr>
            </w:pPr>
            <w:r>
              <w:rPr>
                <w:rFonts w:ascii="Times New Roman" w:cs="Times New Roman" w:eastAsia="Times New Roman" w:hAnsi="Times New Roman"/>
                <w:sz w:val="18"/>
                <w:szCs w:val="18"/>
                <w:b w:val="1"/>
                <w:bCs w:val="1"/>
                <w:color w:val="auto"/>
                <w:w w:val="99"/>
              </w:rPr>
              <w:t>Mitchell Bloom, Esq.</w:t>
            </w:r>
          </w:p>
        </w:tc>
        <w:tc>
          <w:tcPr>
            <w:tcW w:w="4220" w:type="dxa"/>
            <w:vAlign w:val="bottom"/>
          </w:tcPr>
          <w:p>
            <w:pPr>
              <w:jc w:val="center"/>
              <w:ind w:left="1550"/>
              <w:spacing w:after="0"/>
              <w:rPr>
                <w:sz w:val="20"/>
                <w:szCs w:val="20"/>
                <w:color w:val="auto"/>
              </w:rPr>
            </w:pPr>
            <w:r>
              <w:rPr>
                <w:rFonts w:ascii="Times New Roman" w:cs="Times New Roman" w:eastAsia="Times New Roman" w:hAnsi="Times New Roman"/>
                <w:sz w:val="18"/>
                <w:szCs w:val="18"/>
                <w:b w:val="1"/>
                <w:bCs w:val="1"/>
                <w:color w:val="auto"/>
                <w:w w:val="99"/>
              </w:rPr>
              <w:t>Curtis Oltmans, Esq.</w:t>
            </w:r>
          </w:p>
        </w:tc>
      </w:tr>
      <w:tr>
        <w:trPr>
          <w:trHeight w:val="216"/>
        </w:trPr>
        <w:tc>
          <w:tcPr>
            <w:tcW w:w="3580" w:type="dxa"/>
            <w:vAlign w:val="bottom"/>
          </w:tcPr>
          <w:p>
            <w:pPr>
              <w:jc w:val="center"/>
              <w:ind w:right="1590"/>
              <w:spacing w:after="0"/>
              <w:rPr>
                <w:sz w:val="20"/>
                <w:szCs w:val="20"/>
                <w:color w:val="auto"/>
              </w:rPr>
            </w:pPr>
            <w:r>
              <w:rPr>
                <w:rFonts w:ascii="Times New Roman" w:cs="Times New Roman" w:eastAsia="Times New Roman" w:hAnsi="Times New Roman"/>
                <w:sz w:val="18"/>
                <w:szCs w:val="18"/>
                <w:b w:val="1"/>
                <w:bCs w:val="1"/>
                <w:color w:val="auto"/>
                <w:w w:val="99"/>
              </w:rPr>
              <w:t>Marianne Sarrazin, Esq.</w:t>
            </w:r>
          </w:p>
        </w:tc>
        <w:tc>
          <w:tcPr>
            <w:tcW w:w="4220" w:type="dxa"/>
            <w:vAlign w:val="bottom"/>
          </w:tcPr>
          <w:p>
            <w:pPr>
              <w:jc w:val="center"/>
              <w:ind w:left="1570"/>
              <w:spacing w:after="0"/>
              <w:rPr>
                <w:sz w:val="20"/>
                <w:szCs w:val="20"/>
                <w:color w:val="auto"/>
              </w:rPr>
            </w:pPr>
            <w:r>
              <w:rPr>
                <w:rFonts w:ascii="Times New Roman" w:cs="Times New Roman" w:eastAsia="Times New Roman" w:hAnsi="Times New Roman"/>
                <w:sz w:val="18"/>
                <w:szCs w:val="18"/>
                <w:b w:val="1"/>
                <w:bCs w:val="1"/>
                <w:color w:val="auto"/>
                <w:w w:val="99"/>
              </w:rPr>
              <w:t>Chief Legal Officer</w:t>
            </w:r>
          </w:p>
        </w:tc>
      </w:tr>
      <w:tr>
        <w:trPr>
          <w:trHeight w:val="216"/>
        </w:trPr>
        <w:tc>
          <w:tcPr>
            <w:tcW w:w="3580" w:type="dxa"/>
            <w:vAlign w:val="bottom"/>
          </w:tcPr>
          <w:p>
            <w:pPr>
              <w:jc w:val="center"/>
              <w:ind w:right="1570"/>
              <w:spacing w:after="0"/>
              <w:rPr>
                <w:sz w:val="20"/>
                <w:szCs w:val="20"/>
                <w:color w:val="auto"/>
              </w:rPr>
            </w:pPr>
            <w:r>
              <w:rPr>
                <w:rFonts w:ascii="Times New Roman" w:cs="Times New Roman" w:eastAsia="Times New Roman" w:hAnsi="Times New Roman"/>
                <w:sz w:val="18"/>
                <w:szCs w:val="18"/>
                <w:b w:val="1"/>
                <w:bCs w:val="1"/>
                <w:color w:val="auto"/>
                <w:w w:val="99"/>
              </w:rPr>
              <w:t>Goodwin Procter LLP</w:t>
            </w:r>
          </w:p>
        </w:tc>
        <w:tc>
          <w:tcPr>
            <w:tcW w:w="4220" w:type="dxa"/>
            <w:vAlign w:val="bottom"/>
          </w:tcPr>
          <w:p>
            <w:pPr>
              <w:jc w:val="center"/>
              <w:ind w:left="1570"/>
              <w:spacing w:after="0"/>
              <w:rPr>
                <w:sz w:val="20"/>
                <w:szCs w:val="20"/>
                <w:color w:val="auto"/>
              </w:rPr>
            </w:pPr>
            <w:r>
              <w:rPr>
                <w:rFonts w:ascii="Times New Roman" w:cs="Times New Roman" w:eastAsia="Times New Roman" w:hAnsi="Times New Roman"/>
                <w:sz w:val="18"/>
                <w:szCs w:val="18"/>
                <w:b w:val="1"/>
                <w:bCs w:val="1"/>
                <w:color w:val="auto"/>
              </w:rPr>
              <w:t>Fulcrum Therapeutics, Inc.</w:t>
            </w:r>
          </w:p>
        </w:tc>
      </w:tr>
      <w:tr>
        <w:trPr>
          <w:trHeight w:val="216"/>
        </w:trPr>
        <w:tc>
          <w:tcPr>
            <w:tcW w:w="3580" w:type="dxa"/>
            <w:vAlign w:val="bottom"/>
          </w:tcPr>
          <w:p>
            <w:pPr>
              <w:jc w:val="center"/>
              <w:ind w:right="1570"/>
              <w:spacing w:after="0"/>
              <w:rPr>
                <w:sz w:val="20"/>
                <w:szCs w:val="20"/>
                <w:color w:val="auto"/>
              </w:rPr>
            </w:pPr>
            <w:r>
              <w:rPr>
                <w:rFonts w:ascii="Times New Roman" w:cs="Times New Roman" w:eastAsia="Times New Roman" w:hAnsi="Times New Roman"/>
                <w:sz w:val="18"/>
                <w:szCs w:val="18"/>
                <w:b w:val="1"/>
                <w:bCs w:val="1"/>
                <w:color w:val="auto"/>
                <w:w w:val="98"/>
              </w:rPr>
              <w:t>100 Northern Avenue</w:t>
            </w:r>
          </w:p>
        </w:tc>
        <w:tc>
          <w:tcPr>
            <w:tcW w:w="4220" w:type="dxa"/>
            <w:vAlign w:val="bottom"/>
          </w:tcPr>
          <w:p>
            <w:pPr>
              <w:jc w:val="center"/>
              <w:ind w:left="1570"/>
              <w:spacing w:after="0"/>
              <w:rPr>
                <w:sz w:val="20"/>
                <w:szCs w:val="20"/>
                <w:color w:val="auto"/>
              </w:rPr>
            </w:pPr>
            <w:r>
              <w:rPr>
                <w:rFonts w:ascii="Times New Roman" w:cs="Times New Roman" w:eastAsia="Times New Roman" w:hAnsi="Times New Roman"/>
                <w:sz w:val="18"/>
                <w:szCs w:val="18"/>
                <w:b w:val="1"/>
                <w:bCs w:val="1"/>
                <w:color w:val="auto"/>
              </w:rPr>
              <w:t>26 Landsdowne Street</w:t>
            </w:r>
          </w:p>
        </w:tc>
      </w:tr>
      <w:tr>
        <w:trPr>
          <w:trHeight w:val="216"/>
        </w:trPr>
        <w:tc>
          <w:tcPr>
            <w:tcW w:w="3580" w:type="dxa"/>
            <w:vAlign w:val="bottom"/>
          </w:tcPr>
          <w:p>
            <w:pPr>
              <w:jc w:val="center"/>
              <w:ind w:right="1590"/>
              <w:spacing w:after="0"/>
              <w:rPr>
                <w:sz w:val="20"/>
                <w:szCs w:val="20"/>
                <w:color w:val="auto"/>
              </w:rPr>
            </w:pPr>
            <w:r>
              <w:rPr>
                <w:rFonts w:ascii="Times New Roman" w:cs="Times New Roman" w:eastAsia="Times New Roman" w:hAnsi="Times New Roman"/>
                <w:sz w:val="18"/>
                <w:szCs w:val="18"/>
                <w:b w:val="1"/>
                <w:bCs w:val="1"/>
                <w:color w:val="auto"/>
              </w:rPr>
              <w:t>Boston, MA 02210</w:t>
            </w:r>
          </w:p>
        </w:tc>
        <w:tc>
          <w:tcPr>
            <w:tcW w:w="4220" w:type="dxa"/>
            <w:vAlign w:val="bottom"/>
          </w:tcPr>
          <w:p>
            <w:pPr>
              <w:jc w:val="center"/>
              <w:ind w:left="1570"/>
              <w:spacing w:after="0"/>
              <w:rPr>
                <w:sz w:val="20"/>
                <w:szCs w:val="20"/>
                <w:color w:val="auto"/>
              </w:rPr>
            </w:pPr>
            <w:r>
              <w:rPr>
                <w:rFonts w:ascii="Times New Roman" w:cs="Times New Roman" w:eastAsia="Times New Roman" w:hAnsi="Times New Roman"/>
                <w:sz w:val="18"/>
                <w:szCs w:val="18"/>
                <w:b w:val="1"/>
                <w:bCs w:val="1"/>
                <w:color w:val="auto"/>
                <w:w w:val="99"/>
              </w:rPr>
              <w:t>Cambridge, Massachusetts 02139</w:t>
            </w:r>
          </w:p>
        </w:tc>
      </w:tr>
      <w:tr>
        <w:trPr>
          <w:trHeight w:val="238"/>
        </w:trPr>
        <w:tc>
          <w:tcPr>
            <w:tcW w:w="3580" w:type="dxa"/>
            <w:vAlign w:val="bottom"/>
          </w:tcPr>
          <w:p>
            <w:pPr>
              <w:jc w:val="center"/>
              <w:ind w:right="1570"/>
              <w:spacing w:after="0"/>
              <w:rPr>
                <w:sz w:val="20"/>
                <w:szCs w:val="20"/>
                <w:color w:val="auto"/>
              </w:rPr>
            </w:pPr>
            <w:r>
              <w:rPr>
                <w:rFonts w:ascii="Times New Roman" w:cs="Times New Roman" w:eastAsia="Times New Roman" w:hAnsi="Times New Roman"/>
                <w:sz w:val="18"/>
                <w:szCs w:val="18"/>
                <w:b w:val="1"/>
                <w:bCs w:val="1"/>
                <w:color w:val="auto"/>
                <w:w w:val="99"/>
              </w:rPr>
              <w:t>(617) 570-1000</w:t>
            </w:r>
          </w:p>
        </w:tc>
        <w:tc>
          <w:tcPr>
            <w:tcW w:w="4220" w:type="dxa"/>
            <w:vAlign w:val="bottom"/>
          </w:tcPr>
          <w:p>
            <w:pPr>
              <w:jc w:val="center"/>
              <w:ind w:left="1570"/>
              <w:spacing w:after="0"/>
              <w:rPr>
                <w:sz w:val="20"/>
                <w:szCs w:val="20"/>
                <w:color w:val="auto"/>
              </w:rPr>
            </w:pPr>
            <w:r>
              <w:rPr>
                <w:rFonts w:ascii="Times New Roman" w:cs="Times New Roman" w:eastAsia="Times New Roman" w:hAnsi="Times New Roman"/>
                <w:sz w:val="18"/>
                <w:szCs w:val="18"/>
                <w:b w:val="1"/>
                <w:bCs w:val="1"/>
                <w:color w:val="auto"/>
                <w:w w:val="99"/>
              </w:rPr>
              <w:t>(617) 651-8851</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231775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4"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8" w:lineRule="exact"/>
        <w:rPr>
          <w:sz w:val="24"/>
          <w:szCs w:val="24"/>
          <w:color w:val="auto"/>
        </w:rPr>
      </w:pPr>
    </w:p>
    <w:p>
      <w:pPr>
        <w:ind w:right="2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60"/>
          </w:cols>
          <w:pgMar w:left="440" w:top="225" w:right="499" w:bottom="901"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EXPLANATORY NOTE</w:t>
      </w:r>
    </w:p>
    <w:p>
      <w:pPr>
        <w:spacing w:after="0" w:line="229" w:lineRule="exact"/>
        <w:rPr>
          <w:sz w:val="20"/>
          <w:szCs w:val="20"/>
          <w:color w:val="auto"/>
        </w:rPr>
      </w:pPr>
    </w:p>
    <w:p>
      <w:pPr>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Fulcrum Therapeutics, Inc. (“Fulcrum”) is filing this Registration Statement on Form S-8 for the purpose of registering an additional (i) 2,000,000 shares of its common stock, $0.001 par value per share (the “Common Stock”) under the Fulcrum Therapeutics 2019 Stock Incentive Plan (the “2019 Plan”), (ii) 428,571 shares of Common Stock under the Fulcrum Therapeutics 2019 Employee Stock Purchase Plan (the “ESPP”) and (iii) 2,000,000 shares of Common Stock under the Fulcrum Therapeutics 2022 Inducement Stock Incentive Plan, as amended (the “Inducement Plan” and together with the 2019 Plan and the ESPP, the “Plans”), in the case of (i) and (ii) pursuant to the provisions for each plan that provide for annual automatic increases in the number of shares of Common Stock reserved for issuance under each plan, and in the case of (iii) pursuant to an amendment to the Inducement Plan as approved by the Fulcrum board, effective March 8, 2023. In each case, the additional shares are of the same class as other securities for which a registration statement relating to the Plans has previously been filed and is effective. Accordingly, this registration statement incorporates by reference the contents of the registration statements on </w:t>
      </w:r>
      <w:hyperlink r:id="rId18">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 No. 333-233452) filed on August 26, 2019, </w:t>
      </w:r>
      <w:hyperlink r:id="rId19">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 No. 333-236910) filed on March 5, 2020, </w:t>
      </w:r>
      <w:hyperlink r:id="rId20">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 No. 333-253862) filed on March 4, 2021, </w:t>
      </w:r>
      <w:hyperlink r:id="rId21">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 No. 333-262355) filed on January 27, 2022 and </w:t>
      </w:r>
      <w:hyperlink r:id="rId22">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333-263249) filed on March 3, 2022, pursuant to General Instruction E, except with respect to Item 8. Exhibits thereof.</w:t>
      </w:r>
    </w:p>
    <w:p>
      <w:pPr>
        <w:sectPr>
          <w:pgSz w:w="11900" w:h="16838" w:orient="portrait"/>
          <w:cols w:equalWidth="0" w:num="1">
            <w:col w:w="11000"/>
          </w:cols>
          <w:pgMar w:left="440" w:top="266" w:right="4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 II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80" w:type="dxa"/>
            <w:vAlign w:val="bottom"/>
            <w:gridSpan w:val="17"/>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8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No.</w:t>
            </w: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80" w:type="dxa"/>
            <w:vAlign w:val="bottom"/>
            <w:gridSpan w:val="17"/>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5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4.1</w:t>
            </w:r>
          </w:p>
        </w:tc>
        <w:tc>
          <w:tcPr>
            <w:tcW w:w="300" w:type="dxa"/>
            <w:vAlign w:val="bottom"/>
          </w:tcPr>
          <w:p>
            <w:pPr>
              <w:spacing w:after="0"/>
              <w:rPr>
                <w:sz w:val="22"/>
                <w:szCs w:val="22"/>
                <w:color w:val="auto"/>
              </w:rPr>
            </w:pPr>
          </w:p>
        </w:tc>
        <w:tc>
          <w:tcPr>
            <w:tcW w:w="10220" w:type="dxa"/>
            <w:vAlign w:val="bottom"/>
            <w:tcBorders>
              <w:top w:val="single" w:sz="8" w:color="auto"/>
            </w:tcBorders>
            <w:gridSpan w:val="24"/>
          </w:tcPr>
          <w:p>
            <w:pPr>
              <w:spacing w:after="0"/>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0000EE"/>
                </w:rPr>
                <w:t>Restated Certificate of Incorporation of the registrant (incorporated by reference to Exhibit 3.1 to the registrant’s Current Report on</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24">
              <w:r>
                <w:rPr>
                  <w:rFonts w:ascii="Times New Roman" w:cs="Times New Roman" w:eastAsia="Times New Roman" w:hAnsi="Times New Roman"/>
                  <w:sz w:val="18"/>
                  <w:szCs w:val="18"/>
                  <w:color w:val="0000EE"/>
                  <w:w w:val="99"/>
                </w:rPr>
                <w:t>Form 8-K filed with the Securities and Exchange Commission on July 22, 2019)</w:t>
              </w:r>
            </w:hyperlink>
          </w:p>
        </w:tc>
        <w:tc>
          <w:tcPr>
            <w:tcW w:w="3660" w:type="dxa"/>
            <w:vAlign w:val="bottom"/>
            <w:tcBorders>
              <w:top w:val="single" w:sz="8" w:color="0000EE"/>
            </w:tcBorders>
            <w:gridSpan w:val="7"/>
          </w:tcPr>
          <w:p>
            <w:pPr>
              <w:spacing w:after="0"/>
              <w:rPr>
                <w:sz w:val="17"/>
                <w:szCs w:val="17"/>
                <w:color w:val="auto"/>
              </w:rPr>
            </w:pPr>
          </w:p>
        </w:tc>
        <w:tc>
          <w:tcPr>
            <w:tcW w:w="76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4.2</w:t>
            </w:r>
          </w:p>
        </w:tc>
        <w:tc>
          <w:tcPr>
            <w:tcW w:w="300" w:type="dxa"/>
            <w:vAlign w:val="bottom"/>
          </w:tcPr>
          <w:p>
            <w:pPr>
              <w:spacing w:after="0"/>
              <w:rPr>
                <w:sz w:val="24"/>
                <w:szCs w:val="24"/>
                <w:color w:val="auto"/>
              </w:rPr>
            </w:pPr>
          </w:p>
        </w:tc>
        <w:tc>
          <w:tcPr>
            <w:tcW w:w="1022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9"/>
              </w:rPr>
            </w:pPr>
            <w:hyperlink r:id="rId25">
              <w:r>
                <w:rPr>
                  <w:rFonts w:ascii="Times New Roman" w:cs="Times New Roman" w:eastAsia="Times New Roman" w:hAnsi="Times New Roman"/>
                  <w:sz w:val="18"/>
                  <w:szCs w:val="18"/>
                  <w:color w:val="0000EE"/>
                  <w:w w:val="99"/>
                </w:rPr>
                <w:t>Amended and Restated Bylaws of the registrant (incorporated by reference to Exhibit 3.2 to the registrant’s Current Report on Form 8-K filed</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20" w:type="dxa"/>
            <w:vAlign w:val="bottom"/>
            <w:gridSpan w:val="24"/>
          </w:tcPr>
          <w:p>
            <w:pPr>
              <w:spacing w:after="0" w:line="196" w:lineRule="exact"/>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color w:val="0000EE"/>
                </w:rPr>
                <w:t>with the Securities and Exchange Commission on July 22, 2019)</w:t>
              </w:r>
            </w:hyperlink>
          </w:p>
        </w:tc>
        <w:tc>
          <w:tcPr>
            <w:tcW w:w="0" w:type="dxa"/>
            <w:vAlign w:val="bottom"/>
          </w:tcPr>
          <w:p>
            <w:pPr>
              <w:spacing w:after="0"/>
              <w:rPr>
                <w:sz w:val="1"/>
                <w:szCs w:val="1"/>
                <w:color w:val="auto"/>
              </w:rPr>
            </w:pPr>
          </w:p>
        </w:tc>
      </w:tr>
      <w:tr>
        <w:trPr>
          <w:trHeight w:val="304"/>
        </w:trPr>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300" w:type="dxa"/>
            <w:vAlign w:val="bottom"/>
          </w:tcPr>
          <w:p>
            <w:pPr>
              <w:spacing w:after="0"/>
              <w:rPr>
                <w:sz w:val="24"/>
                <w:szCs w:val="24"/>
                <w:color w:val="auto"/>
              </w:rPr>
            </w:pPr>
          </w:p>
        </w:tc>
        <w:tc>
          <w:tcPr>
            <w:tcW w:w="244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Opinion of Goodwin Procter LLP</w:t>
            </w:r>
          </w:p>
        </w:tc>
        <w:tc>
          <w:tcPr>
            <w:tcW w:w="2220" w:type="dxa"/>
            <w:vAlign w:val="bottom"/>
            <w:tcBorders>
              <w:top w:val="single" w:sz="8" w:color="0000EE"/>
            </w:tcBorders>
            <w:gridSpan w:val="3"/>
          </w:tcPr>
          <w:p>
            <w:pPr>
              <w:spacing w:after="0"/>
              <w:rPr>
                <w:sz w:val="24"/>
                <w:szCs w:val="24"/>
                <w:color w:val="auto"/>
              </w:rPr>
            </w:pPr>
          </w:p>
        </w:tc>
        <w:tc>
          <w:tcPr>
            <w:tcW w:w="5560" w:type="dxa"/>
            <w:vAlign w:val="bottom"/>
            <w:gridSpan w:val="18"/>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300" w:type="dxa"/>
            <w:vAlign w:val="bottom"/>
          </w:tcPr>
          <w:p>
            <w:pPr>
              <w:spacing w:after="0"/>
              <w:rPr>
                <w:sz w:val="24"/>
                <w:szCs w:val="24"/>
                <w:color w:val="auto"/>
              </w:rPr>
            </w:pPr>
          </w:p>
        </w:tc>
        <w:tc>
          <w:tcPr>
            <w:tcW w:w="1022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Consent of Ernst &amp; Young LLP</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300" w:type="dxa"/>
            <w:vAlign w:val="bottom"/>
          </w:tcPr>
          <w:p>
            <w:pPr>
              <w:spacing w:after="0"/>
              <w:rPr>
                <w:sz w:val="24"/>
                <w:szCs w:val="24"/>
                <w:color w:val="auto"/>
              </w:rPr>
            </w:pPr>
          </w:p>
        </w:tc>
        <w:tc>
          <w:tcPr>
            <w:tcW w:w="1022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Consent of Goodwin Procter LLP (included in Exhibit 5.1)</w:t>
            </w:r>
          </w:p>
        </w:tc>
        <w:tc>
          <w:tcPr>
            <w:tcW w:w="0" w:type="dxa"/>
            <w:vAlign w:val="bottom"/>
          </w:tcPr>
          <w:p>
            <w:pPr>
              <w:spacing w:after="0"/>
              <w:rPr>
                <w:sz w:val="1"/>
                <w:szCs w:val="1"/>
                <w:color w:val="auto"/>
              </w:rPr>
            </w:pPr>
          </w:p>
        </w:tc>
      </w:tr>
      <w:tr>
        <w:trPr>
          <w:trHeight w:val="304"/>
        </w:trPr>
        <w:tc>
          <w:tcPr>
            <w:tcW w:w="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24.1</w:t>
            </w:r>
          </w:p>
        </w:tc>
        <w:tc>
          <w:tcPr>
            <w:tcW w:w="300" w:type="dxa"/>
            <w:vAlign w:val="bottom"/>
          </w:tcPr>
          <w:p>
            <w:pPr>
              <w:spacing w:after="0"/>
              <w:rPr>
                <w:sz w:val="24"/>
                <w:szCs w:val="24"/>
                <w:color w:val="auto"/>
              </w:rPr>
            </w:pPr>
          </w:p>
        </w:tc>
        <w:tc>
          <w:tcPr>
            <w:tcW w:w="424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rPr>
              <w:t>Power of Attorney (included on signature page)</w:t>
            </w:r>
          </w:p>
        </w:tc>
        <w:tc>
          <w:tcPr>
            <w:tcW w:w="5980" w:type="dxa"/>
            <w:vAlign w:val="bottom"/>
            <w:gridSpan w:val="19"/>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260" w:type="dxa"/>
            <w:vAlign w:val="bottom"/>
            <w:gridSpan w:val="3"/>
            <w:shd w:val="clear" w:color="auto" w:fill="0000EE"/>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99.1</w:t>
            </w:r>
          </w:p>
        </w:tc>
        <w:tc>
          <w:tcPr>
            <w:tcW w:w="300" w:type="dxa"/>
            <w:vAlign w:val="bottom"/>
          </w:tcPr>
          <w:p>
            <w:pPr>
              <w:spacing w:after="0"/>
              <w:rPr>
                <w:sz w:val="24"/>
                <w:szCs w:val="24"/>
                <w:color w:val="auto"/>
              </w:rPr>
            </w:pPr>
          </w:p>
        </w:tc>
        <w:tc>
          <w:tcPr>
            <w:tcW w:w="10220" w:type="dxa"/>
            <w:vAlign w:val="bottom"/>
            <w:gridSpan w:val="24"/>
          </w:tcPr>
          <w:p>
            <w:pPr>
              <w:spacing w:after="0"/>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2019 Stock Incentive Plan (incorporated by reference to Exhibit 10.6 to Amendment No. 1 to the registrant’s Registration Statement on</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0" w:type="dxa"/>
            <w:vAlign w:val="bottom"/>
            <w:tcBorders>
              <w:top w:val="single" w:sz="8" w:color="0000EE"/>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Form S-1 (File No. 333-232260) filed with the Securities and Exchange Commission on July 8, 2019)</w:t>
              </w:r>
            </w:hyperlink>
          </w:p>
        </w:tc>
        <w:tc>
          <w:tcPr>
            <w:tcW w:w="2380" w:type="dxa"/>
            <w:vAlign w:val="bottom"/>
            <w:tcBorders>
              <w:top w:val="single" w:sz="8" w:color="0000EE"/>
            </w:tcBorders>
            <w:gridSpan w:val="7"/>
          </w:tcPr>
          <w:p>
            <w:pPr>
              <w:spacing w:after="0"/>
              <w:rPr>
                <w:sz w:val="17"/>
                <w:szCs w:val="17"/>
                <w:color w:val="auto"/>
              </w:rPr>
            </w:pPr>
          </w:p>
        </w:tc>
        <w:tc>
          <w:tcPr>
            <w:tcW w:w="4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99.2</w:t>
            </w:r>
          </w:p>
        </w:tc>
        <w:tc>
          <w:tcPr>
            <w:tcW w:w="300" w:type="dxa"/>
            <w:vAlign w:val="bottom"/>
          </w:tcPr>
          <w:p>
            <w:pPr>
              <w:spacing w:after="0"/>
              <w:rPr>
                <w:sz w:val="24"/>
                <w:szCs w:val="24"/>
                <w:color w:val="auto"/>
              </w:rPr>
            </w:pPr>
          </w:p>
        </w:tc>
        <w:tc>
          <w:tcPr>
            <w:tcW w:w="1018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r:id="rId27">
              <w:r>
                <w:rPr>
                  <w:rFonts w:ascii="Times New Roman" w:cs="Times New Roman" w:eastAsia="Times New Roman" w:hAnsi="Times New Roman"/>
                  <w:sz w:val="18"/>
                  <w:szCs w:val="18"/>
                  <w:color w:val="0000EE"/>
                  <w:w w:val="99"/>
                </w:rPr>
                <w:t>Form of Stock Option Agreement under the 2019 Stock Incentive Plan (incorporated by reference to Exhibit 10.7 to Amendment No. 1 to the</w:t>
              </w:r>
            </w:hyperlink>
          </w:p>
        </w:tc>
        <w:tc>
          <w:tcPr>
            <w:tcW w:w="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20" w:type="dxa"/>
            <w:vAlign w:val="bottom"/>
            <w:gridSpan w:val="24"/>
          </w:tcPr>
          <w:p>
            <w:pPr>
              <w:spacing w:after="0" w:line="196" w:lineRule="exact"/>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registrant’s Registration Statement on Form S-1 (File No. 333-232260) filed with the Securities and Exchange Commission on July 8, 2019)</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3560" w:type="dxa"/>
            <w:vAlign w:val="bottom"/>
            <w:gridSpan w:val="6"/>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99.3</w:t>
            </w:r>
          </w:p>
        </w:tc>
        <w:tc>
          <w:tcPr>
            <w:tcW w:w="300" w:type="dxa"/>
            <w:vAlign w:val="bottom"/>
          </w:tcPr>
          <w:p>
            <w:pPr>
              <w:spacing w:after="0"/>
              <w:rPr>
                <w:sz w:val="24"/>
                <w:szCs w:val="24"/>
                <w:color w:val="auto"/>
              </w:rPr>
            </w:pPr>
          </w:p>
        </w:tc>
        <w:tc>
          <w:tcPr>
            <w:tcW w:w="10220" w:type="dxa"/>
            <w:vAlign w:val="bottom"/>
            <w:gridSpan w:val="24"/>
          </w:tcPr>
          <w:p>
            <w:pPr>
              <w:spacing w:after="0"/>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color w:val="0000EE"/>
                </w:rPr>
                <w:t>Form of Restricted Stock Unit Agreement under the 2019 Stock Incentive Plan (incorporated by reference to Exhibit 10.10 to the registrant’s</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140" w:type="dxa"/>
            <w:vAlign w:val="bottom"/>
            <w:tcBorders>
              <w:top w:val="single" w:sz="8" w:color="0000EE"/>
            </w:tcBorders>
            <w:gridSpan w:val="21"/>
          </w:tcPr>
          <w:p>
            <w:pPr>
              <w:spacing w:after="0" w:line="196" w:lineRule="exact"/>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color w:val="0000EE"/>
                </w:rPr>
                <w:t>Annual Report on Form 10-K filed with the Securities and Exchange Commission on March 3, 2022)</w:t>
              </w:r>
            </w:hyperlink>
          </w:p>
        </w:tc>
        <w:tc>
          <w:tcPr>
            <w:tcW w:w="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3560" w:type="dxa"/>
            <w:vAlign w:val="bottom"/>
            <w:gridSpan w:val="6"/>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99.4</w:t>
            </w:r>
          </w:p>
        </w:tc>
        <w:tc>
          <w:tcPr>
            <w:tcW w:w="300" w:type="dxa"/>
            <w:vAlign w:val="bottom"/>
          </w:tcPr>
          <w:p>
            <w:pPr>
              <w:spacing w:after="0"/>
              <w:rPr>
                <w:sz w:val="24"/>
                <w:szCs w:val="24"/>
                <w:color w:val="auto"/>
              </w:rPr>
            </w:pPr>
          </w:p>
        </w:tc>
        <w:tc>
          <w:tcPr>
            <w:tcW w:w="962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0000EE"/>
                </w:rPr>
                <w:t>2019 Employee Stock Purchase Plan (incorporated by reference to Exhibit 10.8 to Amendment No. 1 to the Registrant’s Registration</w:t>
              </w:r>
            </w:hyperlink>
          </w:p>
        </w:tc>
        <w:tc>
          <w:tcPr>
            <w:tcW w:w="60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20" w:type="dxa"/>
            <w:vAlign w:val="bottom"/>
            <w:gridSpan w:val="24"/>
          </w:tcPr>
          <w:p>
            <w:pPr>
              <w:spacing w:after="0" w:line="196" w:lineRule="exact"/>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0000EE"/>
                </w:rPr>
                <w:t>Statement on Form S-1 (File No. 333-232260) filed with the Securities and Exchange Commission on July 8, 2019)</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3560" w:type="dxa"/>
            <w:vAlign w:val="bottom"/>
            <w:gridSpan w:val="6"/>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218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99.5</w:t>
            </w:r>
          </w:p>
        </w:tc>
        <w:tc>
          <w:tcPr>
            <w:tcW w:w="300" w:type="dxa"/>
            <w:vAlign w:val="bottom"/>
          </w:tcPr>
          <w:p>
            <w:pPr>
              <w:spacing w:after="0"/>
              <w:rPr>
                <w:sz w:val="24"/>
                <w:szCs w:val="24"/>
                <w:color w:val="auto"/>
              </w:rPr>
            </w:pPr>
          </w:p>
        </w:tc>
        <w:tc>
          <w:tcPr>
            <w:tcW w:w="10220" w:type="dxa"/>
            <w:vAlign w:val="bottom"/>
            <w:gridSpan w:val="24"/>
          </w:tcPr>
          <w:p>
            <w:pPr>
              <w:spacing w:after="0"/>
              <w:rPr>
                <w:rFonts w:ascii="Times New Roman" w:cs="Times New Roman" w:eastAsia="Times New Roman" w:hAnsi="Times New Roman"/>
                <w:sz w:val="18"/>
                <w:szCs w:val="18"/>
                <w:color w:val="0000EE"/>
              </w:rPr>
            </w:pPr>
            <w:hyperlink r:id="rId30">
              <w:r>
                <w:rPr>
                  <w:rFonts w:ascii="Times New Roman" w:cs="Times New Roman" w:eastAsia="Times New Roman" w:hAnsi="Times New Roman"/>
                  <w:sz w:val="18"/>
                  <w:szCs w:val="18"/>
                  <w:color w:val="0000EE"/>
                </w:rPr>
                <w:t>2022 Inducement Stock Incentive Plan (incorporated by reference to Exhibit 10.12 to the Registrant’s Annual Report on Form 10-K filed</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6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30">
              <w:r>
                <w:rPr>
                  <w:rFonts w:ascii="Times New Roman" w:cs="Times New Roman" w:eastAsia="Times New Roman" w:hAnsi="Times New Roman"/>
                  <w:sz w:val="18"/>
                  <w:szCs w:val="18"/>
                  <w:color w:val="0000EE"/>
                </w:rPr>
                <w:t>with the Securities and Exchange Commission on March 3, 2021)</w:t>
              </w:r>
            </w:hyperlink>
          </w:p>
        </w:tc>
        <w:tc>
          <w:tcPr>
            <w:tcW w:w="3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3560" w:type="dxa"/>
            <w:vAlign w:val="bottom"/>
            <w:gridSpan w:val="6"/>
            <w:shd w:val="clear" w:color="auto" w:fill="0000EE"/>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18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99.6</w:t>
            </w:r>
          </w:p>
        </w:tc>
        <w:tc>
          <w:tcPr>
            <w:tcW w:w="300" w:type="dxa"/>
            <w:vAlign w:val="bottom"/>
          </w:tcPr>
          <w:p>
            <w:pPr>
              <w:spacing w:after="0"/>
              <w:rPr>
                <w:sz w:val="24"/>
                <w:szCs w:val="24"/>
                <w:color w:val="auto"/>
              </w:rPr>
            </w:pPr>
          </w:p>
        </w:tc>
        <w:tc>
          <w:tcPr>
            <w:tcW w:w="10220" w:type="dxa"/>
            <w:vAlign w:val="bottom"/>
            <w:gridSpan w:val="24"/>
          </w:tcPr>
          <w:p>
            <w:pPr>
              <w:spacing w:after="0"/>
              <w:rPr>
                <w:rFonts w:ascii="Times New Roman" w:cs="Times New Roman" w:eastAsia="Times New Roman" w:hAnsi="Times New Roman"/>
                <w:sz w:val="18"/>
                <w:szCs w:val="18"/>
                <w:color w:val="0000EE"/>
              </w:rPr>
            </w:pPr>
            <w:hyperlink r:id="rId31">
              <w:r>
                <w:rPr>
                  <w:rFonts w:ascii="Times New Roman" w:cs="Times New Roman" w:eastAsia="Times New Roman" w:hAnsi="Times New Roman"/>
                  <w:sz w:val="18"/>
                  <w:szCs w:val="18"/>
                  <w:color w:val="0000EE"/>
                </w:rPr>
                <w:t>Amendment to 2022 Inducement Stock Incentive Plan (incorporated by reference to Exhibit 10.13 to the Registrant’s Annual Report on</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76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31">
              <w:r>
                <w:rPr>
                  <w:rFonts w:ascii="Times New Roman" w:cs="Times New Roman" w:eastAsia="Times New Roman" w:hAnsi="Times New Roman"/>
                  <w:sz w:val="18"/>
                  <w:szCs w:val="18"/>
                  <w:color w:val="0000EE"/>
                </w:rPr>
                <w:t>Form 10-K filed with the Securities and Exchange Commission on March 9, 2023)</w:t>
              </w:r>
            </w:hyperlink>
          </w:p>
        </w:tc>
        <w:tc>
          <w:tcPr>
            <w:tcW w:w="4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4780" w:type="dxa"/>
            <w:vAlign w:val="bottom"/>
            <w:gridSpan w:val="8"/>
            <w:shd w:val="clear" w:color="auto" w:fill="0000EE"/>
          </w:tcPr>
          <w:p>
            <w:pPr>
              <w:spacing w:after="0" w:line="20" w:lineRule="exact"/>
              <w:rPr>
                <w:sz w:val="1"/>
                <w:szCs w:val="1"/>
                <w:color w:val="auto"/>
              </w:rPr>
            </w:pPr>
          </w:p>
        </w:tc>
        <w:tc>
          <w:tcPr>
            <w:tcW w:w="218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99.7</w:t>
            </w:r>
          </w:p>
        </w:tc>
        <w:tc>
          <w:tcPr>
            <w:tcW w:w="300" w:type="dxa"/>
            <w:vAlign w:val="bottom"/>
          </w:tcPr>
          <w:p>
            <w:pPr>
              <w:spacing w:after="0"/>
              <w:rPr>
                <w:sz w:val="24"/>
                <w:szCs w:val="24"/>
                <w:color w:val="auto"/>
              </w:rPr>
            </w:pPr>
          </w:p>
        </w:tc>
        <w:tc>
          <w:tcPr>
            <w:tcW w:w="920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32">
              <w:r>
                <w:rPr>
                  <w:rFonts w:ascii="Times New Roman" w:cs="Times New Roman" w:eastAsia="Times New Roman" w:hAnsi="Times New Roman"/>
                  <w:sz w:val="18"/>
                  <w:szCs w:val="18"/>
                  <w:color w:val="0000EE"/>
                  <w:w w:val="99"/>
                </w:rPr>
                <w:t>Form of Non-Statutory Stock Option Agreement under the 2022 Inducement Stock Incentive Plan (incorporated by reference to</w:t>
              </w:r>
            </w:hyperlink>
          </w:p>
        </w:tc>
        <w:tc>
          <w:tcPr>
            <w:tcW w:w="102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20" w:type="dxa"/>
            <w:vAlign w:val="bottom"/>
            <w:gridSpan w:val="24"/>
          </w:tcPr>
          <w:p>
            <w:pPr>
              <w:spacing w:after="0" w:line="196" w:lineRule="exact"/>
              <w:rPr>
                <w:rFonts w:ascii="Times New Roman" w:cs="Times New Roman" w:eastAsia="Times New Roman" w:hAnsi="Times New Roman"/>
                <w:sz w:val="18"/>
                <w:szCs w:val="18"/>
                <w:color w:val="0000EE"/>
              </w:rPr>
            </w:pPr>
            <w:hyperlink r:id="rId32">
              <w:r>
                <w:rPr>
                  <w:rFonts w:ascii="Times New Roman" w:cs="Times New Roman" w:eastAsia="Times New Roman" w:hAnsi="Times New Roman"/>
                  <w:sz w:val="18"/>
                  <w:szCs w:val="18"/>
                  <w:color w:val="0000EE"/>
                </w:rPr>
                <w:t>Exhibit 10.13 to the registrant’s Annual Report on Form 10-K filed with the Securities and Exchange Commission on March 3, 2022)</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6960" w:type="dxa"/>
            <w:vAlign w:val="bottom"/>
            <w:gridSpan w:val="11"/>
            <w:shd w:val="clear" w:color="auto" w:fill="0000EE"/>
          </w:tcPr>
          <w:p>
            <w:pPr>
              <w:spacing w:after="0" w:line="20" w:lineRule="exact"/>
              <w:rPr>
                <w:sz w:val="1"/>
                <w:szCs w:val="1"/>
                <w:color w:val="auto"/>
              </w:rPr>
            </w:pPr>
          </w:p>
        </w:tc>
        <w:tc>
          <w:tcPr>
            <w:tcW w:w="1480" w:type="dxa"/>
            <w:vAlign w:val="bottom"/>
            <w:gridSpan w:val="4"/>
            <w:shd w:val="clear" w:color="auto" w:fill="0000EE"/>
          </w:tcPr>
          <w:p>
            <w:pPr>
              <w:spacing w:after="0" w:line="20" w:lineRule="exact"/>
              <w:rPr>
                <w:sz w:val="1"/>
                <w:szCs w:val="1"/>
                <w:color w:val="auto"/>
              </w:rPr>
            </w:pPr>
          </w:p>
        </w:tc>
        <w:tc>
          <w:tcPr>
            <w:tcW w:w="5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99.8</w:t>
            </w:r>
          </w:p>
        </w:tc>
        <w:tc>
          <w:tcPr>
            <w:tcW w:w="300" w:type="dxa"/>
            <w:vAlign w:val="bottom"/>
          </w:tcPr>
          <w:p>
            <w:pPr>
              <w:spacing w:after="0"/>
              <w:rPr>
                <w:sz w:val="24"/>
                <w:szCs w:val="24"/>
                <w:color w:val="auto"/>
              </w:rPr>
            </w:pPr>
          </w:p>
        </w:tc>
        <w:tc>
          <w:tcPr>
            <w:tcW w:w="1020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9"/>
              </w:rPr>
            </w:pPr>
            <w:hyperlink r:id="rId33">
              <w:r>
                <w:rPr>
                  <w:rFonts w:ascii="Times New Roman" w:cs="Times New Roman" w:eastAsia="Times New Roman" w:hAnsi="Times New Roman"/>
                  <w:sz w:val="18"/>
                  <w:szCs w:val="18"/>
                  <w:color w:val="0000EE"/>
                  <w:w w:val="99"/>
                </w:rPr>
                <w:t>Form of Restricted Stock Unit Agreement under the 2022 Inducement Stock Incentive Plan (incorporated by reference to Exhibit 10.14 to the</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20" w:type="dxa"/>
            <w:vAlign w:val="bottom"/>
            <w:gridSpan w:val="24"/>
          </w:tcPr>
          <w:p>
            <w:pPr>
              <w:spacing w:after="0" w:line="196" w:lineRule="exact"/>
              <w:rPr>
                <w:rFonts w:ascii="Times New Roman" w:cs="Times New Roman" w:eastAsia="Times New Roman" w:hAnsi="Times New Roman"/>
                <w:sz w:val="18"/>
                <w:szCs w:val="18"/>
                <w:color w:val="0000EE"/>
              </w:rPr>
            </w:pPr>
            <w:hyperlink r:id="rId33">
              <w:r>
                <w:rPr>
                  <w:rFonts w:ascii="Times New Roman" w:cs="Times New Roman" w:eastAsia="Times New Roman" w:hAnsi="Times New Roman"/>
                  <w:sz w:val="18"/>
                  <w:szCs w:val="18"/>
                  <w:color w:val="0000EE"/>
                </w:rPr>
                <w:t>registrant’s Annual Report on Form 10-K filed with the Securities and Exchange Commission on March 3, 2022)</w:t>
              </w:r>
            </w:hyperlink>
          </w:p>
        </w:tc>
        <w:tc>
          <w:tcPr>
            <w:tcW w:w="0" w:type="dxa"/>
            <w:vAlign w:val="bottom"/>
          </w:tcPr>
          <w:p>
            <w:pPr>
              <w:spacing w:after="0"/>
              <w:rPr>
                <w:sz w:val="1"/>
                <w:szCs w:val="1"/>
                <w:color w:val="auto"/>
              </w:rPr>
            </w:pPr>
          </w:p>
        </w:tc>
      </w:tr>
      <w:tr>
        <w:trPr>
          <w:trHeight w:val="304"/>
        </w:trPr>
        <w:tc>
          <w:tcPr>
            <w:tcW w:w="5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94"/>
              </w:rPr>
              <w:t>107*</w:t>
            </w:r>
          </w:p>
        </w:tc>
        <w:tc>
          <w:tcPr>
            <w:tcW w:w="300" w:type="dxa"/>
            <w:vAlign w:val="bottom"/>
          </w:tcPr>
          <w:p>
            <w:pPr>
              <w:spacing w:after="0"/>
              <w:rPr>
                <w:sz w:val="24"/>
                <w:szCs w:val="24"/>
                <w:color w:val="auto"/>
              </w:rPr>
            </w:pPr>
          </w:p>
        </w:tc>
        <w:tc>
          <w:tcPr>
            <w:tcW w:w="8140" w:type="dxa"/>
            <w:vAlign w:val="bottom"/>
            <w:tcBorders>
              <w:top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rPr>
              <w:t>Filing Fee Table</w:t>
            </w:r>
          </w:p>
        </w:tc>
        <w:tc>
          <w:tcPr>
            <w:tcW w:w="208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111125</wp:posOffset>
            </wp:positionV>
            <wp:extent cx="7715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ectPr>
          <w:pgSz w:w="11900" w:h="16838" w:orient="portrait"/>
          <w:cols w:equalWidth="0" w:num="1">
            <w:col w:w="11020"/>
          </w:cols>
          <w:pgMar w:left="440" w:top="266" w:right="4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Cambridge, Commonwealth of Massachusetts, on the 9th day of March, 2023.</w:t>
      </w:r>
    </w:p>
    <w:p>
      <w:pPr>
        <w:spacing w:after="0" w:line="19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Fulcrum Therapeutics, Inc.</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Robert J. Gould</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Robert J. Gould, Ph.D.</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Interim President and Chief Executive Officer</w:t>
            </w:r>
          </w:p>
        </w:tc>
      </w:tr>
    </w:tbl>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Each person whose signature appears below constitutes and appoints each of Robert J. Gould and Esther Rajavelu, acting alone or together with another attorney-in-fact, as his or her true and lawful attorney-in-fact and agent, with full power of substitution and resubstitution, for such person and in his or her name, place and stead, in any and all capacities, to sign any or all further amendments (including post-effective amendments) to this registration statement (and any additional registration statement related hereto permitted by Rule 462(b) promulgated under the Securities Act, (and all further amendments, including post-effective amendments, thereto)),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her substitute or substitutes, may lawfully do or cause to be done by virtue hereof.</w:t>
      </w:r>
    </w:p>
    <w:p>
      <w:pPr>
        <w:spacing w:after="0" w:line="18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180" w:type="dxa"/>
            <w:vAlign w:val="bottom"/>
            <w:tcBorders>
              <w:bottom w:val="single" w:sz="8" w:color="auto"/>
            </w:tcBorders>
          </w:tcPr>
          <w:p>
            <w:pPr>
              <w:ind w:left="186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1"/>
                <w:szCs w:val="21"/>
                <w:color w:val="auto"/>
              </w:rPr>
            </w:pPr>
          </w:p>
        </w:tc>
        <w:tc>
          <w:tcPr>
            <w:tcW w:w="4840" w:type="dxa"/>
            <w:vAlign w:val="bottom"/>
            <w:tcBorders>
              <w:bottom w:val="single" w:sz="8" w:color="auto"/>
            </w:tcBorders>
          </w:tcPr>
          <w:p>
            <w:pPr>
              <w:ind w:left="224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20" w:type="dxa"/>
            <w:vAlign w:val="bottom"/>
          </w:tcPr>
          <w:p>
            <w:pPr>
              <w:spacing w:after="0"/>
              <w:rPr>
                <w:sz w:val="21"/>
                <w:szCs w:val="21"/>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19"/>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J. Gould</w:t>
            </w:r>
          </w:p>
        </w:tc>
        <w:tc>
          <w:tcPr>
            <w:tcW w:w="50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Interim President and Chief Executive Officer, 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9, 2023</w:t>
            </w:r>
          </w:p>
        </w:tc>
      </w:tr>
      <w:tr>
        <w:trPr>
          <w:trHeight w:val="228"/>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Robert J. Gould, Ph.D.</w:t>
            </w:r>
          </w:p>
        </w:tc>
        <w:tc>
          <w:tcPr>
            <w:tcW w:w="50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Esther Rajavelu</w:t>
            </w:r>
          </w:p>
        </w:tc>
        <w:tc>
          <w:tcPr>
            <w:tcW w:w="50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9, 2023</w:t>
            </w:r>
          </w:p>
        </w:tc>
      </w:tr>
      <w:tr>
        <w:trPr>
          <w:trHeight w:val="228"/>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Esther Rajavelu</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Gregory Tourangeau</w:t>
            </w:r>
          </w:p>
        </w:tc>
        <w:tc>
          <w:tcPr>
            <w:tcW w:w="50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Controller (Principal Accounting Officer)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9, 2023</w:t>
            </w:r>
          </w:p>
        </w:tc>
      </w:tr>
      <w:tr>
        <w:trPr>
          <w:trHeight w:val="228"/>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Gregory Tourangeau</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Kate Haviland</w:t>
            </w:r>
          </w:p>
        </w:tc>
        <w:tc>
          <w:tcPr>
            <w:tcW w:w="50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Chairman of the Board</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9, 2023</w:t>
            </w:r>
          </w:p>
        </w:tc>
      </w:tr>
      <w:tr>
        <w:trPr>
          <w:trHeight w:val="228"/>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Kate Haviland</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Sonja Banks</w:t>
            </w:r>
          </w:p>
        </w:tc>
        <w:tc>
          <w:tcPr>
            <w:tcW w:w="50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9, 2023</w:t>
            </w:r>
          </w:p>
        </w:tc>
      </w:tr>
      <w:tr>
        <w:trPr>
          <w:trHeight w:val="228"/>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Sonja Banks</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J. Collins</w:t>
            </w:r>
          </w:p>
        </w:tc>
        <w:tc>
          <w:tcPr>
            <w:tcW w:w="50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9, 2023</w:t>
            </w:r>
          </w:p>
        </w:tc>
      </w:tr>
      <w:tr>
        <w:trPr>
          <w:trHeight w:val="228"/>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James J. Collins, Ph.D.</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Katina Dorton</w:t>
            </w:r>
          </w:p>
        </w:tc>
        <w:tc>
          <w:tcPr>
            <w:tcW w:w="50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9, 2023</w:t>
            </w:r>
          </w:p>
        </w:tc>
      </w:tr>
      <w:tr>
        <w:trPr>
          <w:trHeight w:val="228"/>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Katina Dorton</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Alan Ezekowitz</w:t>
            </w:r>
          </w:p>
        </w:tc>
        <w:tc>
          <w:tcPr>
            <w:tcW w:w="50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9, 2023</w:t>
            </w:r>
          </w:p>
        </w:tc>
      </w:tr>
      <w:tr>
        <w:trPr>
          <w:trHeight w:val="228"/>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Alan Ezekowitz, MBChB, D. Phil</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Geraghty</w:t>
            </w:r>
          </w:p>
        </w:tc>
        <w:tc>
          <w:tcPr>
            <w:tcW w:w="50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9, 2023</w:t>
            </w:r>
          </w:p>
        </w:tc>
      </w:tr>
      <w:tr>
        <w:trPr>
          <w:trHeight w:val="228"/>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James Geraghty</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bl>
    <w:p>
      <w:pPr>
        <w:sectPr>
          <w:pgSz w:w="11900" w:h="16838" w:orient="portrait"/>
          <w:cols w:equalWidth="0" w:num="1">
            <w:col w:w="11020"/>
          </w:cols>
          <w:pgMar w:left="440" w:top="266" w:right="439" w:bottom="1440" w:gutter="0" w:footer="0" w:header="0"/>
        </w:sectPr>
      </w:pPr>
    </w:p>
    <w:bookmarkStart w:id="4" w:name="page5"/>
    <w:bookmarkEnd w:id="4"/>
    <w:p>
      <w:pPr>
        <w:ind w:left="10180"/>
        <w:spacing w:after="0"/>
        <w:rPr>
          <w:sz w:val="20"/>
          <w:szCs w:val="20"/>
          <w:color w:val="auto"/>
        </w:rPr>
      </w:pPr>
      <w:r>
        <w:rPr>
          <w:rFonts w:ascii="Times New Roman" w:cs="Times New Roman" w:eastAsia="Times New Roman" w:hAnsi="Times New Roman"/>
          <w:sz w:val="17"/>
          <w:szCs w:val="17"/>
          <w:b w:val="1"/>
          <w:bCs w:val="1"/>
          <w:color w:val="auto"/>
        </w:rPr>
        <w:t>Exhibit 5.1</w:t>
      </w:r>
    </w:p>
    <w:p>
      <w:pPr>
        <w:spacing w:after="0" w:line="268" w:lineRule="exact"/>
        <w:rPr>
          <w:sz w:val="20"/>
          <w:szCs w:val="20"/>
          <w:color w:val="auto"/>
        </w:rPr>
      </w:pPr>
    </w:p>
    <w:p>
      <w:pPr>
        <w:ind w:left="8820"/>
        <w:spacing w:after="0"/>
        <w:rPr>
          <w:sz w:val="20"/>
          <w:szCs w:val="20"/>
          <w:color w:val="auto"/>
        </w:rPr>
      </w:pPr>
      <w:r>
        <w:rPr>
          <w:rFonts w:ascii="Times New Roman" w:cs="Times New Roman" w:eastAsia="Times New Roman" w:hAnsi="Times New Roman"/>
          <w:sz w:val="18"/>
          <w:szCs w:val="18"/>
          <w:color w:val="auto"/>
        </w:rPr>
        <w:t xml:space="preserve">Goodwin Procter </w:t>
      </w:r>
      <w:r>
        <w:rPr>
          <w:rFonts w:ascii="Times New Roman" w:cs="Times New Roman" w:eastAsia="Times New Roman" w:hAnsi="Times New Roman"/>
          <w:sz w:val="14"/>
          <w:szCs w:val="14"/>
          <w:color w:val="auto"/>
        </w:rPr>
        <w:t>LLP</w:t>
      </w:r>
    </w:p>
    <w:p>
      <w:pPr>
        <w:spacing w:after="0" w:line="27" w:lineRule="exact"/>
        <w:rPr>
          <w:sz w:val="20"/>
          <w:szCs w:val="20"/>
          <w:color w:val="auto"/>
        </w:rPr>
      </w:pPr>
    </w:p>
    <w:p>
      <w:pPr>
        <w:ind w:left="8820"/>
        <w:spacing w:after="0"/>
        <w:rPr>
          <w:sz w:val="20"/>
          <w:szCs w:val="20"/>
          <w:color w:val="auto"/>
        </w:rPr>
      </w:pPr>
      <w:r>
        <w:rPr>
          <w:rFonts w:ascii="Times New Roman" w:cs="Times New Roman" w:eastAsia="Times New Roman" w:hAnsi="Times New Roman"/>
          <w:sz w:val="18"/>
          <w:szCs w:val="18"/>
          <w:color w:val="auto"/>
        </w:rPr>
        <w:t>100 Northern Avenue</w:t>
      </w:r>
    </w:p>
    <w:p>
      <w:pPr>
        <w:spacing w:after="0" w:line="9" w:lineRule="exact"/>
        <w:rPr>
          <w:sz w:val="20"/>
          <w:szCs w:val="20"/>
          <w:color w:val="auto"/>
        </w:rPr>
      </w:pPr>
    </w:p>
    <w:p>
      <w:pPr>
        <w:ind w:left="8820"/>
        <w:spacing w:after="0"/>
        <w:rPr>
          <w:sz w:val="20"/>
          <w:szCs w:val="20"/>
          <w:color w:val="auto"/>
        </w:rPr>
      </w:pPr>
      <w:r>
        <w:rPr>
          <w:rFonts w:ascii="Times New Roman" w:cs="Times New Roman" w:eastAsia="Times New Roman" w:hAnsi="Times New Roman"/>
          <w:sz w:val="18"/>
          <w:szCs w:val="18"/>
          <w:color w:val="auto"/>
        </w:rPr>
        <w:t>Boston, MA 02210</w:t>
      </w:r>
    </w:p>
    <w:p>
      <w:pPr>
        <w:spacing w:after="0" w:line="234" w:lineRule="exact"/>
        <w:rPr>
          <w:sz w:val="20"/>
          <w:szCs w:val="20"/>
          <w:color w:val="auto"/>
        </w:rPr>
      </w:pPr>
    </w:p>
    <w:p>
      <w:pPr>
        <w:ind w:left="8820"/>
        <w:spacing w:after="0"/>
        <w:rPr>
          <w:sz w:val="20"/>
          <w:szCs w:val="20"/>
          <w:color w:val="auto"/>
        </w:rPr>
      </w:pPr>
      <w:r>
        <w:rPr>
          <w:rFonts w:ascii="Times New Roman" w:cs="Times New Roman" w:eastAsia="Times New Roman" w:hAnsi="Times New Roman"/>
          <w:sz w:val="18"/>
          <w:szCs w:val="18"/>
          <w:color w:val="auto"/>
        </w:rPr>
        <w:t>goodwinlaw.com</w:t>
      </w:r>
    </w:p>
    <w:p>
      <w:pPr>
        <w:spacing w:after="0" w:line="27" w:lineRule="exact"/>
        <w:rPr>
          <w:sz w:val="20"/>
          <w:szCs w:val="20"/>
          <w:color w:val="auto"/>
        </w:rPr>
      </w:pPr>
    </w:p>
    <w:p>
      <w:pPr>
        <w:ind w:left="8820"/>
        <w:spacing w:after="0"/>
        <w:rPr>
          <w:sz w:val="20"/>
          <w:szCs w:val="20"/>
          <w:color w:val="auto"/>
        </w:rPr>
      </w:pPr>
      <w:r>
        <w:rPr>
          <w:rFonts w:ascii="Times New Roman" w:cs="Times New Roman" w:eastAsia="Times New Roman" w:hAnsi="Times New Roman"/>
          <w:sz w:val="18"/>
          <w:szCs w:val="18"/>
          <w:color w:val="auto"/>
        </w:rPr>
        <w:t>+1 617 570 1000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168910</wp:posOffset>
            </wp:positionV>
            <wp:extent cx="1714500" cy="3771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6">
                      <a:extLst>
                        <a:ext uri="{28A0092B-C50C-407E-A947-70E740481C1C}"/>
                      </a:extLst>
                    </a:blip>
                    <a:srcRect/>
                    <a:stretch>
                      <a:fillRect/>
                    </a:stretch>
                  </pic:blipFill>
                  <pic:spPr bwMode="auto">
                    <a:xfrm>
                      <a:off x="0" y="0"/>
                      <a:ext cx="171450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March 9,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Fulcrum Therapeutics,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26 Landsdowne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Cambridge, Massachusetts 02139</w:t>
      </w:r>
    </w:p>
    <w:p>
      <w:pPr>
        <w:spacing w:after="0" w:line="23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u w:val="single" w:color="auto"/>
          <w:color w:val="auto"/>
        </w:rPr>
        <w:t>Securities Being Registered under Registration Statement on Form S-8</w:t>
      </w:r>
    </w:p>
    <w:p>
      <w:pPr>
        <w:spacing w:after="0" w:line="22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We have acted as counsel to you in connection with your filing of a Registration Statement on Form S-8 (the “Registration Statement”) pursuant to the Securities Act of 1933, as amended (the “Securities Act”), on or about the date hereof relating to an aggregate of 4,428,571 shares (the “Shares”) of Common Stock, $0.001 par value per share (“Common Stock”), of Fulcrum Therapeutics, Inc., a Delaware corporation (the “Company”), that may be issued pursuant to Company’s 2019 Stock Incentive Plan (the “2019 Plan”), Company’s 2019 Employee Stock Purchase Plan (the “ESPP”) and Company’s 2022 Inducement Stock Incentive Plan, as amended (the “Inducement Plan” and together with the 2019 Plan and the ESPP, the “Plans”).</w:t>
      </w:r>
    </w:p>
    <w:p>
      <w:pPr>
        <w:spacing w:after="0" w:line="18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have reviewed such documents and made such examination of law as we have deemed appropriate to give the opinions set forth below. We have relied, without independent verification, on certificates of public officials and, as to matters of fact material to the opinion set forth below, on certificates of officers of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opinion set forth below is limited to the Delaware General Corporation Law.</w:t>
      </w:r>
    </w:p>
    <w:p>
      <w:pPr>
        <w:spacing w:after="0" w:line="225"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For purposes of the opinion set forth below, we have assumed that no event occurs that causes the number of authorized shares of Common Stock available for issuance by the Company to be less than the number of then unissued Shares.</w:t>
      </w:r>
    </w:p>
    <w:p>
      <w:pPr>
        <w:spacing w:after="0" w:line="16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Based on the foregoing, we are of the opinion that the Shares have been duly authorized and, upon issuance and delivery against payment therefor in accordance with the terms of the Plans, will be validly issued, fully paid and nonassessable.</w:t>
      </w:r>
    </w:p>
    <w:p>
      <w:pPr>
        <w:spacing w:after="0" w:line="160" w:lineRule="exact"/>
        <w:rPr>
          <w:sz w:val="20"/>
          <w:szCs w:val="20"/>
          <w:color w:val="auto"/>
        </w:rPr>
      </w:pPr>
    </w:p>
    <w:p>
      <w:pPr>
        <w:ind w:right="240"/>
        <w:spacing w:after="0" w:line="284" w:lineRule="auto"/>
        <w:rPr>
          <w:sz w:val="20"/>
          <w:szCs w:val="20"/>
          <w:color w:val="auto"/>
        </w:rPr>
      </w:pPr>
      <w:r>
        <w:rPr>
          <w:rFonts w:ascii="Times New Roman" w:cs="Times New Roman" w:eastAsia="Times New Roman" w:hAnsi="Times New Roman"/>
          <w:sz w:val="18"/>
          <w:szCs w:val="18"/>
          <w:color w:val="auto"/>
        </w:rPr>
        <w:t xml:space="preserve">This opinion letter and the opinion it contains shall be interpreted in accordance with the Core Opinion Principles as published in 74 </w:t>
      </w:r>
      <w:r>
        <w:rPr>
          <w:rFonts w:ascii="Times New Roman" w:cs="Times New Roman" w:eastAsia="Times New Roman" w:hAnsi="Times New Roman"/>
          <w:sz w:val="18"/>
          <w:szCs w:val="18"/>
          <w:i w:val="1"/>
          <w:iCs w:val="1"/>
          <w:color w:val="auto"/>
        </w:rPr>
        <w:t>Business Lawyer</w:t>
      </w:r>
      <w:r>
        <w:rPr>
          <w:rFonts w:ascii="Times New Roman" w:cs="Times New Roman" w:eastAsia="Times New Roman" w:hAnsi="Times New Roman"/>
          <w:sz w:val="18"/>
          <w:szCs w:val="18"/>
          <w:color w:val="auto"/>
        </w:rPr>
        <w:t xml:space="preserve"> 815 (Summer 2019).</w:t>
      </w:r>
    </w:p>
    <w:p>
      <w:pPr>
        <w:sectPr>
          <w:pgSz w:w="11900" w:h="16838" w:orient="portrait"/>
          <w:cols w:equalWidth="0" w:num="1">
            <w:col w:w="11020"/>
          </w:cols>
          <w:pgMar w:left="440" w:top="117"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Fulcrum Therapeutics,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9,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13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hereby consent to the inclusion of this opinion as Exhibit 5.1 to the Registration Statement. In giving our consent, we do not admit that we are in the category of persons whose consent is required under Section 7 of the Securities Act or the rules and regulations thereunder.</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G</w:t>
      </w:r>
      <w:r>
        <w:rPr>
          <w:rFonts w:ascii="Times New Roman" w:cs="Times New Roman" w:eastAsia="Times New Roman" w:hAnsi="Times New Roman"/>
          <w:sz w:val="14"/>
          <w:szCs w:val="14"/>
          <w:color w:val="auto"/>
        </w:rPr>
        <w:t>OODWIN</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ROCTER</w:t>
      </w:r>
      <w:r>
        <w:rPr>
          <w:rFonts w:ascii="Times New Roman" w:cs="Times New Roman" w:eastAsia="Times New Roman" w:hAnsi="Times New Roman"/>
          <w:sz w:val="18"/>
          <w:szCs w:val="18"/>
          <w:color w:val="auto"/>
        </w:rPr>
        <w:t xml:space="preserve"> LLP</w:t>
      </w:r>
    </w:p>
    <w:p>
      <w:pPr>
        <w:spacing w:after="0" w:line="11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GOODWIN PROCTER LLP</w:t>
      </w:r>
    </w:p>
    <w:p>
      <w:pPr>
        <w:sectPr>
          <w:pgSz w:w="11900" w:h="16838" w:orient="portrait"/>
          <w:cols w:equalWidth="0" w:num="1">
            <w:col w:w="10960"/>
          </w:cols>
          <w:pgMar w:left="440" w:top="270" w:right="49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(Form S-8) pertaining to the 2019 Stock Incentive Plan, the 2019 Employee Stock Purchase Plan, and the 2022 Inducement Stock Incentive Plan, as amended, of Fulcrum Therapeutics, Inc. of our report dated March 9, 2023, with respect to the consolidated financial statements of Fulcrum Therapeutics, Inc. included in its Annual Report (Form 10-K) for the year ended December 31, 2022, filed with the Securities and Exchange Commission.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9, 2023</w:t>
      </w:r>
    </w:p>
    <w:p>
      <w:pPr>
        <w:sectPr>
          <w:pgSz w:w="11900" w:h="16838" w:orient="portrait"/>
          <w:cols w:equalWidth="0" w:num="1">
            <w:col w:w="11020"/>
          </w:cols>
          <w:pgMar w:left="440" w:top="117" w:right="4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t>Form S-8</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Fulcrum Therapeutics, Inc.</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u w:val="single" w:color="auto"/>
          <w:color w:val="auto"/>
        </w:rPr>
        <w:t>Table 1: Newly Registered Securities</w:t>
      </w:r>
    </w:p>
    <w:p>
      <w:pPr>
        <w:spacing w:after="0" w:line="250" w:lineRule="exact"/>
        <w:rPr>
          <w:sz w:val="20"/>
          <w:szCs w:val="20"/>
          <w:color w:val="auto"/>
        </w:rPr>
      </w:pPr>
    </w:p>
    <w:tbl>
      <w:tblPr>
        <w:tblLayout w:type="fixed"/>
        <w:tblInd w:w="1334" w:type="dxa"/>
        <w:tblCellMar>
          <w:top w:w="0" w:type="dxa"/>
          <w:left w:w="0" w:type="dxa"/>
          <w:bottom w:w="0" w:type="dxa"/>
          <w:right w:w="0" w:type="dxa"/>
        </w:tblCellMar>
      </w:tblPr>
      <w:tr>
        <w:trPr>
          <w:trHeight w:val="142"/>
        </w:trPr>
        <w:tc>
          <w:tcPr>
            <w:tcW w:w="780" w:type="dxa"/>
            <w:vAlign w:val="bottom"/>
            <w:tcBorders>
              <w:top w:val="single" w:sz="8" w:color="auto"/>
              <w:left w:val="single" w:sz="8" w:color="auto"/>
              <w:right w:val="single" w:sz="8" w:color="auto"/>
            </w:tcBorders>
          </w:tcPr>
          <w:p>
            <w:pPr>
              <w:spacing w:after="0"/>
              <w:rPr>
                <w:sz w:val="12"/>
                <w:szCs w:val="12"/>
                <w:color w:val="auto"/>
              </w:rPr>
            </w:pPr>
          </w:p>
        </w:tc>
        <w:tc>
          <w:tcPr>
            <w:tcW w:w="1440" w:type="dxa"/>
            <w:vAlign w:val="bottom"/>
            <w:tcBorders>
              <w:top w:val="single" w:sz="8" w:color="auto"/>
              <w:right w:val="single" w:sz="8" w:color="auto"/>
            </w:tcBorders>
          </w:tcPr>
          <w:p>
            <w:pPr>
              <w:spacing w:after="0"/>
              <w:rPr>
                <w:sz w:val="12"/>
                <w:szCs w:val="12"/>
                <w:color w:val="auto"/>
              </w:rPr>
            </w:pPr>
          </w:p>
        </w:tc>
        <w:tc>
          <w:tcPr>
            <w:tcW w:w="940" w:type="dxa"/>
            <w:vAlign w:val="bottom"/>
            <w:tcBorders>
              <w:top w:val="single" w:sz="8" w:color="auto"/>
              <w:right w:val="single" w:sz="8" w:color="auto"/>
            </w:tcBorders>
          </w:tcPr>
          <w:p>
            <w:pPr>
              <w:spacing w:after="0"/>
              <w:rPr>
                <w:sz w:val="12"/>
                <w:szCs w:val="12"/>
                <w:color w:val="auto"/>
              </w:rPr>
            </w:pPr>
          </w:p>
        </w:tc>
        <w:tc>
          <w:tcPr>
            <w:tcW w:w="1160" w:type="dxa"/>
            <w:vAlign w:val="bottom"/>
            <w:tcBorders>
              <w:top w:val="single" w:sz="8" w:color="auto"/>
              <w:right w:val="single" w:sz="8" w:color="auto"/>
            </w:tcBorders>
          </w:tcPr>
          <w:p>
            <w:pPr>
              <w:spacing w:after="0"/>
              <w:rPr>
                <w:sz w:val="12"/>
                <w:szCs w:val="12"/>
                <w:color w:val="auto"/>
              </w:rPr>
            </w:pPr>
          </w:p>
        </w:tc>
        <w:tc>
          <w:tcPr>
            <w:tcW w:w="820" w:type="dxa"/>
            <w:vAlign w:val="bottom"/>
            <w:tcBorders>
              <w:top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6"/>
              </w:rPr>
              <w:t>Proposed</w:t>
            </w:r>
          </w:p>
        </w:tc>
        <w:tc>
          <w:tcPr>
            <w:tcW w:w="134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Maximum</w:t>
            </w:r>
          </w:p>
        </w:tc>
        <w:tc>
          <w:tcPr>
            <w:tcW w:w="1000" w:type="dxa"/>
            <w:vAlign w:val="bottom"/>
            <w:tcBorders>
              <w:top w:val="single" w:sz="8" w:color="auto"/>
              <w:right w:val="single" w:sz="8" w:color="auto"/>
            </w:tcBorders>
          </w:tcPr>
          <w:p>
            <w:pPr>
              <w:spacing w:after="0"/>
              <w:rPr>
                <w:sz w:val="12"/>
                <w:szCs w:val="12"/>
                <w:color w:val="auto"/>
              </w:rPr>
            </w:pPr>
          </w:p>
        </w:tc>
        <w:tc>
          <w:tcPr>
            <w:tcW w:w="90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780" w:type="dxa"/>
            <w:vAlign w:val="bottom"/>
            <w:tcBorders>
              <w:left w:val="single" w:sz="8" w:color="auto"/>
              <w:right w:val="single" w:sz="8" w:color="auto"/>
            </w:tcBorders>
          </w:tcPr>
          <w:p>
            <w:pPr>
              <w:spacing w:after="0"/>
              <w:rPr>
                <w:sz w:val="11"/>
                <w:szCs w:val="11"/>
                <w:color w:val="auto"/>
              </w:rPr>
            </w:pPr>
          </w:p>
        </w:tc>
        <w:tc>
          <w:tcPr>
            <w:tcW w:w="144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6"/>
              </w:rPr>
              <w:t>Maximum</w:t>
            </w:r>
          </w:p>
        </w:tc>
        <w:tc>
          <w:tcPr>
            <w:tcW w:w="1340" w:type="dxa"/>
            <w:vAlign w:val="bottom"/>
            <w:tcBorders>
              <w:right w:val="single" w:sz="8" w:color="auto"/>
            </w:tcBorders>
            <w:vMerge w:val="continue"/>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80" w:type="dxa"/>
            <w:vAlign w:val="bottom"/>
            <w:tcBorders>
              <w:left w:val="single" w:sz="8" w:color="auto"/>
              <w:right w:val="single" w:sz="8" w:color="auto"/>
            </w:tcBorders>
          </w:tcPr>
          <w:p>
            <w:pPr>
              <w:spacing w:after="0"/>
              <w:rPr>
                <w:sz w:val="11"/>
                <w:szCs w:val="11"/>
                <w:color w:val="auto"/>
              </w:rPr>
            </w:pPr>
          </w:p>
        </w:tc>
        <w:tc>
          <w:tcPr>
            <w:tcW w:w="144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Fee</w:t>
            </w:r>
          </w:p>
        </w:tc>
        <w:tc>
          <w:tcPr>
            <w:tcW w:w="116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Offering</w:t>
            </w:r>
          </w:p>
        </w:tc>
        <w:tc>
          <w:tcPr>
            <w:tcW w:w="13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Aggregate</w:t>
            </w:r>
          </w:p>
        </w:tc>
        <w:tc>
          <w:tcPr>
            <w:tcW w:w="10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Amount of</w:t>
            </w:r>
          </w:p>
        </w:tc>
        <w:tc>
          <w:tcPr>
            <w:tcW w:w="0" w:type="dxa"/>
            <w:vAlign w:val="bottom"/>
          </w:tcPr>
          <w:p>
            <w:pPr>
              <w:spacing w:after="0"/>
              <w:rPr>
                <w:sz w:val="1"/>
                <w:szCs w:val="1"/>
                <w:color w:val="auto"/>
              </w:rPr>
            </w:pPr>
          </w:p>
        </w:tc>
      </w:tr>
      <w:tr>
        <w:trPr>
          <w:trHeight w:val="135"/>
        </w:trPr>
        <w:tc>
          <w:tcPr>
            <w:tcW w:w="780" w:type="dxa"/>
            <w:vAlign w:val="bottom"/>
            <w:tcBorders>
              <w:left w:val="single" w:sz="8" w:color="auto"/>
              <w:right w:val="single" w:sz="8" w:color="auto"/>
            </w:tcBorders>
          </w:tcPr>
          <w:p>
            <w:pPr>
              <w:jc w:val="center"/>
              <w:ind w:left="64"/>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Security</w:t>
            </w:r>
          </w:p>
        </w:tc>
        <w:tc>
          <w:tcPr>
            <w:tcW w:w="14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Security Class</w:t>
            </w:r>
          </w:p>
        </w:tc>
        <w:tc>
          <w:tcPr>
            <w:tcW w:w="9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Calculation</w:t>
            </w:r>
          </w:p>
        </w:tc>
        <w:tc>
          <w:tcPr>
            <w:tcW w:w="11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8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Price Per</w:t>
            </w:r>
          </w:p>
        </w:tc>
        <w:tc>
          <w:tcPr>
            <w:tcW w:w="13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Offering</w:t>
            </w:r>
          </w:p>
        </w:tc>
        <w:tc>
          <w:tcPr>
            <w:tcW w:w="10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Fee</w:t>
            </w:r>
          </w:p>
        </w:tc>
        <w:tc>
          <w:tcPr>
            <w:tcW w:w="9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Registration</w:t>
            </w:r>
          </w:p>
        </w:tc>
        <w:tc>
          <w:tcPr>
            <w:tcW w:w="0" w:type="dxa"/>
            <w:vAlign w:val="bottom"/>
          </w:tcPr>
          <w:p>
            <w:pPr>
              <w:spacing w:after="0"/>
              <w:rPr>
                <w:sz w:val="1"/>
                <w:szCs w:val="1"/>
                <w:color w:val="auto"/>
              </w:rPr>
            </w:pPr>
          </w:p>
        </w:tc>
      </w:tr>
      <w:tr>
        <w:trPr>
          <w:trHeight w:val="174"/>
        </w:trPr>
        <w:tc>
          <w:tcPr>
            <w:tcW w:w="780" w:type="dxa"/>
            <w:vAlign w:val="bottom"/>
            <w:tcBorders>
              <w:left w:val="single" w:sz="8" w:color="auto"/>
              <w:bottom w:val="single" w:sz="8" w:color="auto"/>
              <w:right w:val="single" w:sz="8" w:color="auto"/>
            </w:tcBorders>
          </w:tcPr>
          <w:p>
            <w:pPr>
              <w:jc w:val="center"/>
              <w:ind w:left="44"/>
              <w:spacing w:after="0"/>
              <w:rPr>
                <w:sz w:val="20"/>
                <w:szCs w:val="20"/>
                <w:color w:val="auto"/>
              </w:rPr>
            </w:pPr>
            <w:r>
              <w:rPr>
                <w:rFonts w:ascii="Times New Roman" w:cs="Times New Roman" w:eastAsia="Times New Roman" w:hAnsi="Times New Roman"/>
                <w:sz w:val="13"/>
                <w:szCs w:val="13"/>
                <w:b w:val="1"/>
                <w:bCs w:val="1"/>
                <w:color w:val="auto"/>
                <w:w w:val="92"/>
              </w:rPr>
              <w:t>Type</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Title</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Rule</w:t>
            </w: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Registered (1)</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Share</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Price</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Rate</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Fee</w:t>
            </w:r>
          </w:p>
        </w:tc>
        <w:tc>
          <w:tcPr>
            <w:tcW w:w="0" w:type="dxa"/>
            <w:vAlign w:val="bottom"/>
          </w:tcPr>
          <w:p>
            <w:pPr>
              <w:spacing w:after="0"/>
              <w:rPr>
                <w:sz w:val="1"/>
                <w:szCs w:val="1"/>
                <w:color w:val="auto"/>
              </w:rPr>
            </w:pPr>
          </w:p>
        </w:tc>
      </w:tr>
      <w:tr>
        <w:trPr>
          <w:trHeight w:val="206"/>
        </w:trPr>
        <w:tc>
          <w:tcPr>
            <w:tcW w:w="780" w:type="dxa"/>
            <w:vAlign w:val="bottom"/>
            <w:tcBorders>
              <w:left w:val="single" w:sz="8" w:color="auto"/>
              <w:right w:val="single" w:sz="8" w:color="auto"/>
            </w:tcBorders>
          </w:tcPr>
          <w:p>
            <w:pPr>
              <w:jc w:val="center"/>
              <w:ind w:left="64"/>
              <w:spacing w:after="0" w:line="206" w:lineRule="exact"/>
              <w:rPr>
                <w:sz w:val="20"/>
                <w:szCs w:val="20"/>
                <w:color w:val="auto"/>
              </w:rPr>
            </w:pPr>
            <w:r>
              <w:rPr>
                <w:rFonts w:ascii="Times New Roman" w:cs="Times New Roman" w:eastAsia="Times New Roman" w:hAnsi="Times New Roman"/>
                <w:sz w:val="18"/>
                <w:szCs w:val="18"/>
                <w:color w:val="auto"/>
                <w:w w:val="99"/>
              </w:rPr>
              <w:t>Equity</w:t>
            </w:r>
          </w:p>
        </w:tc>
        <w:tc>
          <w:tcPr>
            <w:tcW w:w="1440" w:type="dxa"/>
            <w:vAlign w:val="bottom"/>
            <w:tcBorders>
              <w:right w:val="single" w:sz="8" w:color="auto"/>
            </w:tcBorders>
          </w:tcPr>
          <w:p>
            <w:pPr>
              <w:jc w:val="center"/>
              <w:spacing w:after="0" w:line="206" w:lineRule="exact"/>
              <w:rPr>
                <w:sz w:val="20"/>
                <w:szCs w:val="20"/>
                <w:color w:val="auto"/>
              </w:rPr>
            </w:pPr>
            <w:r>
              <w:rPr>
                <w:rFonts w:ascii="Times New Roman" w:cs="Times New Roman" w:eastAsia="Times New Roman" w:hAnsi="Times New Roman"/>
                <w:sz w:val="18"/>
                <w:szCs w:val="18"/>
                <w:color w:val="auto"/>
                <w:w w:val="99"/>
              </w:rPr>
              <w:t>Common Stock,</w:t>
            </w:r>
          </w:p>
        </w:tc>
        <w:tc>
          <w:tcPr>
            <w:tcW w:w="940" w:type="dxa"/>
            <w:vAlign w:val="bottom"/>
            <w:tcBorders>
              <w:right w:val="single" w:sz="8" w:color="auto"/>
            </w:tcBorders>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left w:val="single" w:sz="8" w:color="auto"/>
              <w:right w:val="single" w:sz="8" w:color="auto"/>
            </w:tcBorders>
          </w:tcPr>
          <w:p>
            <w:pPr>
              <w:spacing w:after="0"/>
              <w:rPr>
                <w:sz w:val="18"/>
                <w:szCs w:val="18"/>
                <w:color w:val="auto"/>
              </w:rPr>
            </w:pP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$0.001 par value</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457(c) and</w:t>
            </w:r>
          </w:p>
        </w:tc>
        <w:tc>
          <w:tcPr>
            <w:tcW w:w="116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780" w:type="dxa"/>
            <w:vAlign w:val="bottom"/>
            <w:tcBorders>
              <w:left w:val="single" w:sz="8" w:color="auto"/>
              <w:bottom w:val="single" w:sz="8" w:color="auto"/>
              <w:right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per share</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457(h)(1)</w:t>
            </w:r>
          </w:p>
        </w:tc>
        <w:tc>
          <w:tcPr>
            <w:tcW w:w="1160" w:type="dxa"/>
            <w:vAlign w:val="bottom"/>
            <w:tcBorders>
              <w:bottom w:val="single" w:sz="8" w:color="auto"/>
              <w:right w:val="single" w:sz="8" w:color="auto"/>
            </w:tcBorders>
          </w:tcPr>
          <w:p>
            <w:pPr>
              <w:jc w:val="right"/>
              <w:ind w:right="4"/>
              <w:spacing w:after="0"/>
              <w:rPr>
                <w:sz w:val="20"/>
                <w:szCs w:val="20"/>
                <w:color w:val="auto"/>
              </w:rPr>
            </w:pPr>
            <w:r>
              <w:rPr>
                <w:rFonts w:ascii="Times New Roman" w:cs="Times New Roman" w:eastAsia="Times New Roman" w:hAnsi="Times New Roman"/>
                <w:sz w:val="18"/>
                <w:szCs w:val="18"/>
                <w:color w:val="auto"/>
              </w:rPr>
              <w:t>4,000,000 (2)</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$5.93 (3)</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$23,720,000.00</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$.00010020</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$2,613.95</w:t>
            </w:r>
          </w:p>
        </w:tc>
        <w:tc>
          <w:tcPr>
            <w:tcW w:w="0" w:type="dxa"/>
            <w:vAlign w:val="bottom"/>
          </w:tcPr>
          <w:p>
            <w:pPr>
              <w:spacing w:after="0"/>
              <w:rPr>
                <w:sz w:val="1"/>
                <w:szCs w:val="1"/>
                <w:color w:val="auto"/>
              </w:rPr>
            </w:pPr>
          </w:p>
        </w:tc>
      </w:tr>
      <w:tr>
        <w:trPr>
          <w:trHeight w:val="211"/>
        </w:trPr>
        <w:tc>
          <w:tcPr>
            <w:tcW w:w="780" w:type="dxa"/>
            <w:vAlign w:val="bottom"/>
            <w:tcBorders>
              <w:left w:val="single" w:sz="8" w:color="auto"/>
              <w:right w:val="single" w:sz="8" w:color="auto"/>
            </w:tcBorders>
          </w:tcPr>
          <w:p>
            <w:pPr>
              <w:jc w:val="center"/>
              <w:ind w:left="64"/>
              <w:spacing w:after="0"/>
              <w:rPr>
                <w:sz w:val="20"/>
                <w:szCs w:val="20"/>
                <w:color w:val="auto"/>
              </w:rPr>
            </w:pPr>
            <w:r>
              <w:rPr>
                <w:rFonts w:ascii="Times New Roman" w:cs="Times New Roman" w:eastAsia="Times New Roman" w:hAnsi="Times New Roman"/>
                <w:sz w:val="18"/>
                <w:szCs w:val="18"/>
                <w:color w:val="auto"/>
                <w:w w:val="99"/>
              </w:rPr>
              <w:t>Equity</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w:t>
            </w:r>
          </w:p>
        </w:tc>
        <w:tc>
          <w:tcPr>
            <w:tcW w:w="94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Borders>
              <w:left w:val="single" w:sz="8" w:color="auto"/>
              <w:right w:val="single" w:sz="8" w:color="auto"/>
            </w:tcBorders>
          </w:tcPr>
          <w:p>
            <w:pPr>
              <w:spacing w:after="0"/>
              <w:rPr>
                <w:sz w:val="18"/>
                <w:szCs w:val="18"/>
                <w:color w:val="auto"/>
              </w:rPr>
            </w:pP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$0.001 par value</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457(c) and</w:t>
            </w:r>
          </w:p>
        </w:tc>
        <w:tc>
          <w:tcPr>
            <w:tcW w:w="116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780" w:type="dxa"/>
            <w:vAlign w:val="bottom"/>
            <w:tcBorders>
              <w:left w:val="single" w:sz="8" w:color="auto"/>
              <w:bottom w:val="single" w:sz="8" w:color="auto"/>
              <w:right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per share</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457(h)(1)</w:t>
            </w:r>
          </w:p>
        </w:tc>
        <w:tc>
          <w:tcPr>
            <w:tcW w:w="1160" w:type="dxa"/>
            <w:vAlign w:val="bottom"/>
            <w:tcBorders>
              <w:bottom w:val="single" w:sz="8" w:color="auto"/>
              <w:right w:val="single" w:sz="8" w:color="auto"/>
            </w:tcBorders>
          </w:tcPr>
          <w:p>
            <w:pPr>
              <w:jc w:val="right"/>
              <w:ind w:right="64"/>
              <w:spacing w:after="0"/>
              <w:rPr>
                <w:sz w:val="20"/>
                <w:szCs w:val="20"/>
                <w:color w:val="auto"/>
              </w:rPr>
            </w:pPr>
            <w:r>
              <w:rPr>
                <w:rFonts w:ascii="Times New Roman" w:cs="Times New Roman" w:eastAsia="Times New Roman" w:hAnsi="Times New Roman"/>
                <w:sz w:val="18"/>
                <w:szCs w:val="18"/>
                <w:color w:val="auto"/>
              </w:rPr>
              <w:t>428,571 (4)</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$5.05 (5)</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$2,164,283.55</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$.00010020</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$238.51</w:t>
            </w:r>
          </w:p>
        </w:tc>
        <w:tc>
          <w:tcPr>
            <w:tcW w:w="0" w:type="dxa"/>
            <w:vAlign w:val="bottom"/>
          </w:tcPr>
          <w:p>
            <w:pPr>
              <w:spacing w:after="0"/>
              <w:rPr>
                <w:sz w:val="1"/>
                <w:szCs w:val="1"/>
                <w:color w:val="auto"/>
              </w:rPr>
            </w:pPr>
          </w:p>
        </w:tc>
      </w:tr>
      <w:tr>
        <w:trPr>
          <w:trHeight w:val="239"/>
        </w:trPr>
        <w:tc>
          <w:tcPr>
            <w:tcW w:w="780" w:type="dxa"/>
            <w:vAlign w:val="bottom"/>
            <w:tcBorders>
              <w:left w:val="single" w:sz="8" w:color="auto"/>
              <w:bottom w:val="single" w:sz="8" w:color="auto"/>
            </w:tcBorders>
          </w:tcPr>
          <w:p>
            <w:pPr>
              <w:spacing w:after="0"/>
              <w:rPr>
                <w:sz w:val="20"/>
                <w:szCs w:val="20"/>
                <w:color w:val="auto"/>
              </w:rPr>
            </w:pPr>
          </w:p>
        </w:tc>
        <w:tc>
          <w:tcPr>
            <w:tcW w:w="2380" w:type="dxa"/>
            <w:vAlign w:val="bottom"/>
            <w:tcBorders>
              <w:bottom w:val="single" w:sz="8" w:color="auto"/>
            </w:tcBorders>
            <w:gridSpan w:val="2"/>
          </w:tcPr>
          <w:p>
            <w:pPr>
              <w:jc w:val="center"/>
              <w:ind w:left="435"/>
              <w:spacing w:after="0"/>
              <w:rPr>
                <w:sz w:val="20"/>
                <w:szCs w:val="20"/>
                <w:color w:val="auto"/>
              </w:rPr>
            </w:pPr>
            <w:r>
              <w:rPr>
                <w:rFonts w:ascii="Times New Roman" w:cs="Times New Roman" w:eastAsia="Times New Roman" w:hAnsi="Times New Roman"/>
                <w:sz w:val="18"/>
                <w:szCs w:val="18"/>
                <w:color w:val="auto"/>
                <w:w w:val="99"/>
              </w:rPr>
              <w:t>Total Offering Amounts</w:t>
            </w:r>
          </w:p>
        </w:tc>
        <w:tc>
          <w:tcPr>
            <w:tcW w:w="116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$25,884,283.55</w:t>
            </w:r>
          </w:p>
        </w:tc>
        <w:tc>
          <w:tcPr>
            <w:tcW w:w="100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$2,852.46</w:t>
            </w:r>
          </w:p>
        </w:tc>
        <w:tc>
          <w:tcPr>
            <w:tcW w:w="0" w:type="dxa"/>
            <w:vAlign w:val="bottom"/>
          </w:tcPr>
          <w:p>
            <w:pPr>
              <w:spacing w:after="0"/>
              <w:rPr>
                <w:sz w:val="1"/>
                <w:szCs w:val="1"/>
                <w:color w:val="auto"/>
              </w:rPr>
            </w:pPr>
          </w:p>
        </w:tc>
      </w:tr>
      <w:tr>
        <w:trPr>
          <w:trHeight w:val="237"/>
        </w:trPr>
        <w:tc>
          <w:tcPr>
            <w:tcW w:w="780" w:type="dxa"/>
            <w:vAlign w:val="bottom"/>
            <w:tcBorders>
              <w:left w:val="single" w:sz="8" w:color="auto"/>
              <w:bottom w:val="single" w:sz="8" w:color="auto"/>
            </w:tcBorders>
          </w:tcPr>
          <w:p>
            <w:pPr>
              <w:spacing w:after="0"/>
              <w:rPr>
                <w:sz w:val="20"/>
                <w:szCs w:val="20"/>
                <w:color w:val="auto"/>
              </w:rPr>
            </w:pPr>
          </w:p>
        </w:tc>
        <w:tc>
          <w:tcPr>
            <w:tcW w:w="2380" w:type="dxa"/>
            <w:vAlign w:val="bottom"/>
            <w:tcBorders>
              <w:bottom w:val="single" w:sz="8" w:color="auto"/>
            </w:tcBorders>
            <w:gridSpan w:val="2"/>
          </w:tcPr>
          <w:p>
            <w:pPr>
              <w:jc w:val="center"/>
              <w:ind w:left="415"/>
              <w:spacing w:after="0"/>
              <w:rPr>
                <w:sz w:val="20"/>
                <w:szCs w:val="20"/>
                <w:color w:val="auto"/>
              </w:rPr>
            </w:pPr>
            <w:r>
              <w:rPr>
                <w:rFonts w:ascii="Times New Roman" w:cs="Times New Roman" w:eastAsia="Times New Roman" w:hAnsi="Times New Roman"/>
                <w:sz w:val="18"/>
                <w:szCs w:val="18"/>
                <w:color w:val="auto"/>
                <w:w w:val="99"/>
              </w:rPr>
              <w:t>Total Fee Offsets</w:t>
            </w:r>
          </w:p>
        </w:tc>
        <w:tc>
          <w:tcPr>
            <w:tcW w:w="116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0" w:type="dxa"/>
            <w:vAlign w:val="bottom"/>
          </w:tcPr>
          <w:p>
            <w:pPr>
              <w:spacing w:after="0"/>
              <w:rPr>
                <w:sz w:val="1"/>
                <w:szCs w:val="1"/>
                <w:color w:val="auto"/>
              </w:rPr>
            </w:pPr>
          </w:p>
        </w:tc>
      </w:tr>
      <w:tr>
        <w:trPr>
          <w:trHeight w:val="237"/>
        </w:trPr>
        <w:tc>
          <w:tcPr>
            <w:tcW w:w="780" w:type="dxa"/>
            <w:vAlign w:val="bottom"/>
            <w:tcBorders>
              <w:left w:val="single" w:sz="8" w:color="auto"/>
              <w:bottom w:val="single" w:sz="8" w:color="auto"/>
            </w:tcBorders>
          </w:tcPr>
          <w:p>
            <w:pPr>
              <w:spacing w:after="0"/>
              <w:rPr>
                <w:sz w:val="20"/>
                <w:szCs w:val="20"/>
                <w:color w:val="auto"/>
              </w:rPr>
            </w:pPr>
          </w:p>
        </w:tc>
        <w:tc>
          <w:tcPr>
            <w:tcW w:w="2380" w:type="dxa"/>
            <w:vAlign w:val="bottom"/>
            <w:tcBorders>
              <w:bottom w:val="single" w:sz="8" w:color="auto"/>
            </w:tcBorders>
            <w:gridSpan w:val="2"/>
          </w:tcPr>
          <w:p>
            <w:pPr>
              <w:jc w:val="center"/>
              <w:ind w:left="415"/>
              <w:spacing w:after="0"/>
              <w:rPr>
                <w:sz w:val="20"/>
                <w:szCs w:val="20"/>
                <w:color w:val="auto"/>
              </w:rPr>
            </w:pPr>
            <w:r>
              <w:rPr>
                <w:rFonts w:ascii="Times New Roman" w:cs="Times New Roman" w:eastAsia="Times New Roman" w:hAnsi="Times New Roman"/>
                <w:sz w:val="18"/>
                <w:szCs w:val="18"/>
                <w:color w:val="auto"/>
              </w:rPr>
              <w:t>Net Fee Due</w:t>
            </w:r>
          </w:p>
        </w:tc>
        <w:tc>
          <w:tcPr>
            <w:tcW w:w="116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$2,852.46</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24" w:right="160" w:hanging="424"/>
        <w:spacing w:after="0" w:line="255"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Rule 416 under the Securities Act of 1933, as amended (the “Act”), this registration statement shall be deemed to cover any additional securities that may from time to time be offered or issued to prevent dilution resulting from stock splits, stock dividends or similar transactions. Pursuant to Rule 416(c) under the Act, this registration statement shall also cover an indeterminate amount of interests to be offered or sold pursuant to the employee benefit plans described herein.</w:t>
      </w:r>
    </w:p>
    <w:p>
      <w:pPr>
        <w:spacing w:after="0" w:line="2" w:lineRule="exact"/>
        <w:rPr>
          <w:rFonts w:ascii="Times New Roman" w:cs="Times New Roman" w:eastAsia="Times New Roman" w:hAnsi="Times New Roman"/>
          <w:sz w:val="18"/>
          <w:szCs w:val="18"/>
          <w:color w:val="auto"/>
        </w:rPr>
      </w:pPr>
    </w:p>
    <w:p>
      <w:pPr>
        <w:ind w:left="424" w:right="160" w:hanging="424"/>
        <w:spacing w:after="0" w:line="250"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2,000,000 shares issuable under the registrant’s 2019 Stock Incentive Plan and (ii) 2,000,000 shares issuable under the registrant’s 2022 Inducement Plan, as amended.</w:t>
      </w:r>
    </w:p>
    <w:p>
      <w:pPr>
        <w:ind w:left="424" w:right="20" w:hanging="424"/>
        <w:spacing w:after="0" w:line="250"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registration fee pursuant to Rule 457(c) and (h)(1) of the Securities Act, and based on $5.93, the average of the high and low sale prices of the registrant’s common stock as reported on the Nasdaq Global Market on March 3, 2023.</w:t>
      </w:r>
    </w:p>
    <w:p>
      <w:pPr>
        <w:ind w:left="424" w:hanging="424"/>
        <w:spacing w:after="0"/>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428,571 shares issuable under the registrant’s 2019 Employee Stock Purchase Plan.</w:t>
      </w:r>
    </w:p>
    <w:p>
      <w:pPr>
        <w:spacing w:after="0" w:line="9" w:lineRule="exact"/>
        <w:rPr>
          <w:rFonts w:ascii="Times New Roman" w:cs="Times New Roman" w:eastAsia="Times New Roman" w:hAnsi="Times New Roman"/>
          <w:sz w:val="18"/>
          <w:szCs w:val="18"/>
          <w:color w:val="auto"/>
        </w:rPr>
      </w:pPr>
    </w:p>
    <w:p>
      <w:pPr>
        <w:jc w:val="both"/>
        <w:ind w:left="424" w:right="180" w:hanging="424"/>
        <w:spacing w:after="0" w:line="290" w:lineRule="auto"/>
        <w:tabs>
          <w:tab w:leader="none" w:pos="424"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Estimated solely for the purpose of calculating the registration fee pursuant to Rule 457(c) and (h)(1) of the Securities Act, and based on 85% of $5.93, the average of the high and low sale prices of the Registrant’s common stock as reported on the Nasdaq Global Market on March 3, 2023.</w:t>
      </w:r>
    </w:p>
    <w:sectPr>
      <w:pgSz w:w="11900" w:h="16838" w:orient="portrait"/>
      <w:cols w:equalWidth="0" w:num="1">
        <w:col w:w="11024"/>
      </w:cols>
      <w:pgMar w:left="436"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3" Type="http://schemas.openxmlformats.org/officeDocument/2006/relationships/image" Target="media/image11.png"/><Relationship Id="rId34" Type="http://schemas.openxmlformats.org/officeDocument/2006/relationships/image" Target="media/image12.png"/><Relationship Id="rId35" Type="http://schemas.openxmlformats.org/officeDocument/2006/relationships/image" Target="media/image13.png"/><Relationship Id="rId36" Type="http://schemas.openxmlformats.org/officeDocument/2006/relationships/image" Target="media/image14.jpeg"/><Relationship Id="rId37" Type="http://schemas.openxmlformats.org/officeDocument/2006/relationships/image" Target="media/image15.png"/><Relationship Id="rId18" Type="http://schemas.openxmlformats.org/officeDocument/2006/relationships/hyperlink" Target="http://www.sec.gov/Archives/edgar/data/1680581/000119312519228520/d788707ds8.htm" TargetMode="External"/><Relationship Id="rId19" Type="http://schemas.openxmlformats.org/officeDocument/2006/relationships/hyperlink" Target="http://www.sec.gov/Archives/edgar/data/1680581/000119312520063092/d892970ds8.htm" TargetMode="External"/><Relationship Id="rId20" Type="http://schemas.openxmlformats.org/officeDocument/2006/relationships/hyperlink" Target="http://www.sec.gov/Archives/edgar/data/1680581/000119312521068461/d336358ds8.htm" TargetMode="External"/><Relationship Id="rId21" Type="http://schemas.openxmlformats.org/officeDocument/2006/relationships/hyperlink" Target="http://www.sec.gov/Archives/edgar/data/1680581/000119312522018556/d292390ds8.htm" TargetMode="External"/><Relationship Id="rId22" Type="http://schemas.openxmlformats.org/officeDocument/2006/relationships/hyperlink" Target="http://www.sec.gov/Archives/edgar/data/1680581/000119312522063643/d280734ds8.htm" TargetMode="External"/><Relationship Id="rId24" Type="http://schemas.openxmlformats.org/officeDocument/2006/relationships/hyperlink" Target="http://www.sec.gov/Archives/edgar/data/1680581/000104746919004324/a2239321zex-3_1.htm" TargetMode="External"/><Relationship Id="rId25" Type="http://schemas.openxmlformats.org/officeDocument/2006/relationships/hyperlink" Target="http://www.sec.gov/Archives/edgar/data/1680581/000104746919004324/a2239321zex-3_2.htm" TargetMode="External"/><Relationship Id="rId26" Type="http://schemas.openxmlformats.org/officeDocument/2006/relationships/hyperlink" Target="http://www.sec.gov/Archives/edgar/data/1680581/000104746919004014/a2239182zex-10_6.htm" TargetMode="External"/><Relationship Id="rId27" Type="http://schemas.openxmlformats.org/officeDocument/2006/relationships/hyperlink" Target="http://www.sec.gov/Archives/edgar/data/1680581/000104746919004014/a2239182zex-10_7.htm" TargetMode="External"/><Relationship Id="rId28" Type="http://schemas.openxmlformats.org/officeDocument/2006/relationships/hyperlink" Target="http://www.sec.gov/Archives/edgar/data/1680581/000095017022002727/fulc-ex10_10.htm" TargetMode="External"/><Relationship Id="rId29" Type="http://schemas.openxmlformats.org/officeDocument/2006/relationships/hyperlink" Target="http://www.sec.gov/Archives/edgar/data/1680581/000104746919004014/a2239182zex-10_8.htm" TargetMode="External"/><Relationship Id="rId30" Type="http://schemas.openxmlformats.org/officeDocument/2006/relationships/hyperlink" Target="http://www.sec.gov/Archives/edgar/data/1680581/000095017022002727/fulc-ex10_12.htm" TargetMode="External"/><Relationship Id="rId31" Type="http://schemas.openxmlformats.org/officeDocument/2006/relationships/hyperlink" Target="http://www.sec.gov/Archives/edgar/data/1680581/000095017023006841/fulc-ex10_13.htm" TargetMode="External"/><Relationship Id="rId32" Type="http://schemas.openxmlformats.org/officeDocument/2006/relationships/hyperlink" Target="http://www.sec.gov/Archives/edgar/data/1680581/000095017022002727/fulc-ex10_13.htm" TargetMode="External"/><Relationship Id="rId33" Type="http://schemas.openxmlformats.org/officeDocument/2006/relationships/hyperlink" Target="http://www.sec.gov/Archives/edgar/data/1680581/000095017022002727/fulc-ex10_1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2023-03-09T07:29:26Z</dcterms:created>
  <dcterms:modified xsi:type="dcterms:W3CDTF">2023-03-09T07:29:26Z</dcterms:modified>
</cp:coreProperties>
</file>