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8-A</w:t>
      </w:r>
    </w:p>
    <w:p>
      <w:pPr>
        <w:spacing w:after="0" w:line="226" w:lineRule="exact"/>
        <w:rPr>
          <w:sz w:val="24"/>
          <w:szCs w:val="24"/>
          <w:color w:val="auto"/>
        </w:rPr>
      </w:pPr>
    </w:p>
    <w:p>
      <w:pPr>
        <w:jc w:val="center"/>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Fulcrum Therapeutics,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Delaware</w:t>
            </w:r>
          </w:p>
        </w:tc>
        <w:tc>
          <w:tcPr>
            <w:tcW w:w="5600" w:type="dxa"/>
            <w:vAlign w:val="bottom"/>
          </w:tcPr>
          <w:p>
            <w:pPr>
              <w:jc w:val="right"/>
              <w:ind w:right="2274"/>
              <w:spacing w:after="0"/>
              <w:rPr>
                <w:sz w:val="20"/>
                <w:szCs w:val="20"/>
                <w:color w:val="auto"/>
              </w:rPr>
            </w:pPr>
            <w:r>
              <w:rPr>
                <w:rFonts w:ascii="Arial" w:cs="Arial" w:eastAsia="Arial" w:hAnsi="Arial"/>
                <w:sz w:val="18"/>
                <w:szCs w:val="18"/>
                <w:b w:val="1"/>
                <w:bCs w:val="1"/>
                <w:color w:val="auto"/>
              </w:rPr>
              <w:t>47-4839948</w:t>
            </w:r>
          </w:p>
        </w:tc>
      </w:tr>
      <w:tr>
        <w:trPr>
          <w:trHeight w:val="21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26 Landsdowne Street</w:t>
            </w:r>
          </w:p>
        </w:tc>
        <w:tc>
          <w:tcPr>
            <w:tcW w:w="5600" w:type="dxa"/>
            <w:vAlign w:val="bottom"/>
          </w:tcPr>
          <w:p>
            <w:pPr>
              <w:spacing w:after="0"/>
              <w:rPr>
                <w:sz w:val="24"/>
                <w:szCs w:val="24"/>
                <w:color w:val="auto"/>
              </w:rPr>
            </w:pPr>
          </w:p>
        </w:tc>
      </w:tr>
      <w:tr>
        <w:trPr>
          <w:trHeight w:val="220"/>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Cambridge, Massachusetts</w:t>
            </w:r>
          </w:p>
        </w:tc>
        <w:tc>
          <w:tcPr>
            <w:tcW w:w="5600" w:type="dxa"/>
            <w:vAlign w:val="bottom"/>
          </w:tcPr>
          <w:p>
            <w:pPr>
              <w:jc w:val="right"/>
              <w:ind w:right="2494"/>
              <w:spacing w:after="0"/>
              <w:rPr>
                <w:sz w:val="20"/>
                <w:szCs w:val="20"/>
                <w:color w:val="auto"/>
              </w:rPr>
            </w:pPr>
            <w:r>
              <w:rPr>
                <w:rFonts w:ascii="Arial" w:cs="Arial" w:eastAsia="Arial" w:hAnsi="Arial"/>
                <w:sz w:val="18"/>
                <w:szCs w:val="18"/>
                <w:b w:val="1"/>
                <w:bCs w:val="1"/>
                <w:color w:val="auto"/>
              </w:rPr>
              <w:t>02139</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32"/>
        </w:trPr>
        <w:tc>
          <w:tcPr>
            <w:tcW w:w="11420" w:type="dxa"/>
            <w:vAlign w:val="bottom"/>
            <w:gridSpan w:val="3"/>
          </w:tcPr>
          <w:p>
            <w:pPr>
              <w:ind w:left="330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42"/>
        </w:trPr>
        <w:tc>
          <w:tcPr>
            <w:tcW w:w="5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7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200" w:type="dxa"/>
            <w:vAlign w:val="bottom"/>
          </w:tcPr>
          <w:p>
            <w:pPr>
              <w:spacing w:after="0"/>
              <w:rPr>
                <w:sz w:val="14"/>
                <w:szCs w:val="1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r>
      <w:tr>
        <w:trPr>
          <w:trHeight w:val="42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Common stock, par value $0.001 per share</w:t>
            </w: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 (c) or (e), check the following box. x</w:t>
      </w:r>
    </w:p>
    <w:p>
      <w:pPr>
        <w:spacing w:after="0" w:line="17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or (e), check the following box.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this form relates to the registration of a class of securities concurrently with a Regulation A offering, check the following box. o</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Act registration statement or Regulation A offering statement file number to which this form relates: </w:t>
      </w:r>
      <w:r>
        <w:rPr>
          <w:rFonts w:ascii="Arial" w:cs="Arial" w:eastAsia="Arial" w:hAnsi="Arial"/>
          <w:sz w:val="18"/>
          <w:szCs w:val="18"/>
          <w:b w:val="1"/>
          <w:bCs w:val="1"/>
          <w:color w:val="auto"/>
        </w:rPr>
        <w:t>333-232260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description under the heading “Description of Capital Stock” relating to the common stock, $0.001 par value per share, of Fulcrum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Therapeutics, Inc. (the “Registrant”) in the prospectus included in the Registrant’s Registration Statement on Form S-1 (File No. 333-232260), as amended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“Registration Statement”), filed under the Securities Act of 1933, as amended (the “Securities Act”), with the Securities and Exchange Commission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“Commission”) is incorporated herein by reference. Any form of prospectus subsequently filed by the Registrant with the Commission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Rule 424(b) under the Securities Act that constitutes part of the Registration Statement shall be deemed to be incorporated herein by reference.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Fulcrum Therapeutics,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Robert J. Gould</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12, 2019</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180"/>
      </w:cols>
      <w:pgMar w:left="240" w:top="33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2019-12-01T00:58:50Z</dcterms:created>
  <dcterms:modified xsi:type="dcterms:W3CDTF">2019-12-01T00:58:50Z</dcterms:modified>
</cp:coreProperties>
</file>