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31,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8"/>
        </w:trPr>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880" w:type="dxa"/>
            <w:vAlign w:val="bottom"/>
          </w:tcPr>
          <w:p>
            <w:pPr>
              <w:jc w:val="center"/>
              <w:ind w:left="367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880" w:type="dxa"/>
            <w:vAlign w:val="bottom"/>
          </w:tcPr>
          <w:p>
            <w:pPr>
              <w:jc w:val="center"/>
              <w:ind w:left="367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4880" w:type="dxa"/>
            <w:vAlign w:val="bottom"/>
          </w:tcPr>
          <w:p>
            <w:pPr>
              <w:spacing w:after="0"/>
              <w:rPr>
                <w:sz w:val="24"/>
                <w:szCs w:val="24"/>
                <w:color w:val="auto"/>
              </w:rPr>
            </w:pPr>
          </w:p>
        </w:tc>
      </w:tr>
      <w:tr>
        <w:trPr>
          <w:trHeight w:val="227"/>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4880" w:type="dxa"/>
            <w:vAlign w:val="bottom"/>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80" w:type="dxa"/>
            <w:vAlign w:val="bottom"/>
          </w:tcPr>
          <w:p>
            <w:pPr>
              <w:jc w:val="center"/>
              <w:ind w:left="367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480" w:type="dxa"/>
            <w:vAlign w:val="bottom"/>
          </w:tcPr>
          <w:p>
            <w:pPr>
              <w:spacing w:after="0"/>
              <w:rPr>
                <w:sz w:val="24"/>
                <w:szCs w:val="24"/>
                <w:color w:val="auto"/>
              </w:rPr>
            </w:pPr>
          </w:p>
        </w:tc>
        <w:tc>
          <w:tcPr>
            <w:tcW w:w="4880" w:type="dxa"/>
            <w:vAlign w:val="bottom"/>
          </w:tcPr>
          <w:p>
            <w:pPr>
              <w:jc w:val="center"/>
              <w:ind w:right="1837"/>
              <w:spacing w:after="0"/>
              <w:rPr>
                <w:sz w:val="20"/>
                <w:szCs w:val="20"/>
                <w:color w:val="auto"/>
              </w:rPr>
            </w:pPr>
            <w:r>
              <w:rPr>
                <w:rFonts w:ascii="Times New Roman" w:cs="Times New Roman" w:eastAsia="Times New Roman" w:hAnsi="Times New Roman"/>
                <w:sz w:val="18"/>
                <w:szCs w:val="18"/>
                <w:b w:val="1"/>
                <w:bCs w:val="1"/>
                <w:color w:val="auto"/>
              </w:rPr>
              <w:t>2022 Inducement Stock Incentive Plan</w:t>
            </w:r>
          </w:p>
        </w:tc>
      </w:tr>
      <w:tr>
        <w:trPr>
          <w:trHeight w:val="190"/>
        </w:trPr>
        <w:tc>
          <w:tcPr>
            <w:tcW w:w="2480" w:type="dxa"/>
            <w:vAlign w:val="bottom"/>
          </w:tcPr>
          <w:p>
            <w:pPr>
              <w:spacing w:after="0"/>
              <w:rPr>
                <w:sz w:val="16"/>
                <w:szCs w:val="16"/>
                <w:color w:val="auto"/>
              </w:rPr>
            </w:pPr>
          </w:p>
        </w:tc>
        <w:tc>
          <w:tcPr>
            <w:tcW w:w="4880" w:type="dxa"/>
            <w:vAlign w:val="bottom"/>
          </w:tcPr>
          <w:p>
            <w:pPr>
              <w:jc w:val="center"/>
              <w:ind w:right="1837"/>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r>
      <w:tr>
        <w:trPr>
          <w:trHeight w:val="393"/>
        </w:trPr>
        <w:tc>
          <w:tcPr>
            <w:tcW w:w="2480" w:type="dxa"/>
            <w:vAlign w:val="bottom"/>
          </w:tcPr>
          <w:p>
            <w:pPr>
              <w:spacing w:after="0"/>
              <w:rPr>
                <w:sz w:val="24"/>
                <w:szCs w:val="24"/>
                <w:color w:val="auto"/>
              </w:rPr>
            </w:pPr>
          </w:p>
        </w:tc>
        <w:tc>
          <w:tcPr>
            <w:tcW w:w="4880" w:type="dxa"/>
            <w:vAlign w:val="bottom"/>
          </w:tcPr>
          <w:p>
            <w:pPr>
              <w:jc w:val="center"/>
              <w:ind w:right="1837"/>
              <w:spacing w:after="0"/>
              <w:rPr>
                <w:sz w:val="20"/>
                <w:szCs w:val="20"/>
                <w:color w:val="auto"/>
              </w:rPr>
            </w:pPr>
            <w:r>
              <w:rPr>
                <w:rFonts w:ascii="Times New Roman" w:cs="Times New Roman" w:eastAsia="Times New Roman" w:hAnsi="Times New Roman"/>
                <w:sz w:val="18"/>
                <w:szCs w:val="18"/>
                <w:b w:val="1"/>
                <w:bCs w:val="1"/>
                <w:color w:val="auto"/>
              </w:rPr>
              <w:t>Alex C. Sapir</w:t>
            </w:r>
          </w:p>
        </w:tc>
      </w:tr>
      <w:tr>
        <w:trPr>
          <w:trHeight w:val="216"/>
        </w:trPr>
        <w:tc>
          <w:tcPr>
            <w:tcW w:w="2480" w:type="dxa"/>
            <w:vAlign w:val="bottom"/>
          </w:tcPr>
          <w:p>
            <w:pPr>
              <w:spacing w:after="0"/>
              <w:rPr>
                <w:sz w:val="18"/>
                <w:szCs w:val="18"/>
                <w:color w:val="auto"/>
              </w:rPr>
            </w:pPr>
          </w:p>
        </w:tc>
        <w:tc>
          <w:tcPr>
            <w:tcW w:w="4880" w:type="dxa"/>
            <w:vAlign w:val="bottom"/>
          </w:tcPr>
          <w:p>
            <w:pPr>
              <w:jc w:val="center"/>
              <w:ind w:right="1837"/>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16"/>
        </w:trPr>
        <w:tc>
          <w:tcPr>
            <w:tcW w:w="2480" w:type="dxa"/>
            <w:vAlign w:val="bottom"/>
          </w:tcPr>
          <w:p>
            <w:pPr>
              <w:spacing w:after="0"/>
              <w:rPr>
                <w:sz w:val="18"/>
                <w:szCs w:val="18"/>
                <w:color w:val="auto"/>
              </w:rPr>
            </w:pPr>
          </w:p>
        </w:tc>
        <w:tc>
          <w:tcPr>
            <w:tcW w:w="4880" w:type="dxa"/>
            <w:vAlign w:val="bottom"/>
          </w:tcPr>
          <w:p>
            <w:pPr>
              <w:jc w:val="center"/>
              <w:ind w:right="1837"/>
              <w:spacing w:after="0"/>
              <w:rPr>
                <w:sz w:val="20"/>
                <w:szCs w:val="20"/>
                <w:color w:val="auto"/>
              </w:rPr>
            </w:pPr>
            <w:r>
              <w:rPr>
                <w:rFonts w:ascii="Times New Roman" w:cs="Times New Roman" w:eastAsia="Times New Roman" w:hAnsi="Times New Roman"/>
                <w:sz w:val="18"/>
                <w:szCs w:val="18"/>
                <w:b w:val="1"/>
                <w:bCs w:val="1"/>
                <w:color w:val="auto"/>
              </w:rPr>
              <w:t>Fulcrum Therapeutics, Inc.</w:t>
            </w:r>
          </w:p>
        </w:tc>
      </w:tr>
      <w:tr>
        <w:trPr>
          <w:trHeight w:val="216"/>
        </w:trPr>
        <w:tc>
          <w:tcPr>
            <w:tcW w:w="2480" w:type="dxa"/>
            <w:vAlign w:val="bottom"/>
          </w:tcPr>
          <w:p>
            <w:pPr>
              <w:spacing w:after="0"/>
              <w:rPr>
                <w:sz w:val="18"/>
                <w:szCs w:val="18"/>
                <w:color w:val="auto"/>
              </w:rPr>
            </w:pPr>
          </w:p>
        </w:tc>
        <w:tc>
          <w:tcPr>
            <w:tcW w:w="4880" w:type="dxa"/>
            <w:vAlign w:val="bottom"/>
          </w:tcPr>
          <w:p>
            <w:pPr>
              <w:jc w:val="center"/>
              <w:ind w:right="1817"/>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r>
      <w:tr>
        <w:trPr>
          <w:trHeight w:val="214"/>
        </w:trPr>
        <w:tc>
          <w:tcPr>
            <w:tcW w:w="2480" w:type="dxa"/>
            <w:vAlign w:val="bottom"/>
          </w:tcPr>
          <w:p>
            <w:pPr>
              <w:spacing w:after="0"/>
              <w:rPr>
                <w:sz w:val="18"/>
                <w:szCs w:val="18"/>
                <w:color w:val="auto"/>
              </w:rPr>
            </w:pPr>
          </w:p>
        </w:tc>
        <w:tc>
          <w:tcPr>
            <w:tcW w:w="4880" w:type="dxa"/>
            <w:vAlign w:val="bottom"/>
          </w:tcPr>
          <w:p>
            <w:pPr>
              <w:jc w:val="center"/>
              <w:ind w:right="1837"/>
              <w:spacing w:after="0"/>
              <w:rPr>
                <w:sz w:val="20"/>
                <w:szCs w:val="20"/>
                <w:color w:val="auto"/>
              </w:rPr>
            </w:pPr>
            <w:r>
              <w:rPr>
                <w:rFonts w:ascii="Times New Roman" w:cs="Times New Roman" w:eastAsia="Times New Roman" w:hAnsi="Times New Roman"/>
                <w:sz w:val="18"/>
                <w:szCs w:val="18"/>
                <w:b w:val="1"/>
                <w:bCs w:val="1"/>
                <w:color w:val="auto"/>
                <w:w w:val="99"/>
              </w:rPr>
              <w:t>Cambridge, Massachusetts 02139</w:t>
            </w:r>
          </w:p>
        </w:tc>
      </w:tr>
      <w:tr>
        <w:trPr>
          <w:trHeight w:val="190"/>
        </w:trPr>
        <w:tc>
          <w:tcPr>
            <w:tcW w:w="2480" w:type="dxa"/>
            <w:vAlign w:val="bottom"/>
          </w:tcPr>
          <w:p>
            <w:pPr>
              <w:spacing w:after="0"/>
              <w:rPr>
                <w:sz w:val="16"/>
                <w:szCs w:val="16"/>
                <w:color w:val="auto"/>
              </w:rPr>
            </w:pPr>
          </w:p>
        </w:tc>
        <w:tc>
          <w:tcPr>
            <w:tcW w:w="4880" w:type="dxa"/>
            <w:vAlign w:val="bottom"/>
          </w:tcPr>
          <w:p>
            <w:pPr>
              <w:jc w:val="center"/>
              <w:ind w:right="1837"/>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651-8851</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82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52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6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Mitchell Bloom, Esq.</w:t>
            </w:r>
          </w:p>
        </w:tc>
        <w:tc>
          <w:tcPr>
            <w:tcW w:w="520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Curtis Oltmans, Esq.</w:t>
            </w:r>
          </w:p>
        </w:tc>
      </w:tr>
      <w:tr>
        <w:trPr>
          <w:trHeight w:val="216"/>
        </w:trPr>
        <w:tc>
          <w:tcPr>
            <w:tcW w:w="26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Marianne Sarrazin, Esq.</w:t>
            </w:r>
          </w:p>
        </w:tc>
        <w:tc>
          <w:tcPr>
            <w:tcW w:w="52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Chief Legal Officer</w:t>
            </w:r>
          </w:p>
        </w:tc>
      </w:tr>
      <w:tr>
        <w:trPr>
          <w:trHeight w:val="216"/>
        </w:trPr>
        <w:tc>
          <w:tcPr>
            <w:tcW w:w="26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52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rPr>
              <w:t>Fulcrum Therapeutics, Inc.</w:t>
            </w:r>
          </w:p>
        </w:tc>
      </w:tr>
      <w:tr>
        <w:trPr>
          <w:trHeight w:val="216"/>
        </w:trPr>
        <w:tc>
          <w:tcPr>
            <w:tcW w:w="26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52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rPr>
              <w:t>26 Landsdowne Street</w:t>
            </w:r>
          </w:p>
        </w:tc>
      </w:tr>
      <w:tr>
        <w:trPr>
          <w:trHeight w:val="216"/>
        </w:trPr>
        <w:tc>
          <w:tcPr>
            <w:tcW w:w="26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52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Cambridge, Massachusetts 02139</w:t>
            </w:r>
          </w:p>
        </w:tc>
      </w:tr>
      <w:tr>
        <w:trPr>
          <w:trHeight w:val="238"/>
        </w:trPr>
        <w:tc>
          <w:tcPr>
            <w:tcW w:w="26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52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(617) 651-8851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 Therapeutics, Inc. (“Fulcrum”) is filing this Registration Statement on Form S-8 for the purpose of registering an additional 1,000,000 shares of its common stock, $0.001 par value per share under Fulcrum’s 2022 Inducement Stock Incentive Plan, as amended (the “Inducement Plan”), pursuant to an amendment to the Inducement Plan, as approved by Fulcrum’s board of directors, effective June 17, 2024. The additional shares are of the same class as other securities for which a registration statement relating to the Inducement Plan has previously been filed and is effective. Accordingly, this registration statement incorporates by reference the contents of the registration statements on Form S-8 (</w:t>
      </w:r>
      <w:hyperlink r:id="rId18">
        <w:r>
          <w:rPr>
            <w:rFonts w:ascii="Times New Roman" w:cs="Times New Roman" w:eastAsia="Times New Roman" w:hAnsi="Times New Roman"/>
            <w:sz w:val="18"/>
            <w:szCs w:val="18"/>
            <w:u w:val="single" w:color="auto"/>
            <w:color w:val="0000EE"/>
          </w:rPr>
          <w:t>File No. 333-263249</w:t>
        </w:r>
      </w:hyperlink>
      <w:r>
        <w:rPr>
          <w:rFonts w:ascii="Times New Roman" w:cs="Times New Roman" w:eastAsia="Times New Roman" w:hAnsi="Times New Roman"/>
          <w:sz w:val="18"/>
          <w:szCs w:val="18"/>
          <w:color w:val="auto"/>
        </w:rPr>
        <w:t>) filed on March 3, 2022, Form S-8 (</w:t>
      </w:r>
      <w:hyperlink r:id="rId19">
        <w:r>
          <w:rPr>
            <w:rFonts w:ascii="Times New Roman" w:cs="Times New Roman" w:eastAsia="Times New Roman" w:hAnsi="Times New Roman"/>
            <w:sz w:val="18"/>
            <w:szCs w:val="18"/>
            <w:u w:val="single" w:color="auto"/>
            <w:color w:val="0000EE"/>
          </w:rPr>
          <w:t>File No. 333-270385</w:t>
        </w:r>
      </w:hyperlink>
      <w:r>
        <w:rPr>
          <w:rFonts w:ascii="Times New Roman" w:cs="Times New Roman" w:eastAsia="Times New Roman" w:hAnsi="Times New Roman"/>
          <w:sz w:val="18"/>
          <w:szCs w:val="18"/>
          <w:color w:val="auto"/>
        </w:rPr>
        <w:t>) filed on March 9, 2023 and Form S-8 (</w:t>
      </w:r>
      <w:hyperlink r:id="rId20">
        <w:r>
          <w:rPr>
            <w:rFonts w:ascii="Times New Roman" w:cs="Times New Roman" w:eastAsia="Times New Roman" w:hAnsi="Times New Roman"/>
            <w:sz w:val="18"/>
            <w:szCs w:val="18"/>
            <w:u w:val="single" w:color="auto"/>
            <w:color w:val="0000EE"/>
          </w:rPr>
          <w:t>File No. 333-277421</w:t>
        </w:r>
      </w:hyperlink>
      <w:r>
        <w:rPr>
          <w:rFonts w:ascii="Times New Roman" w:cs="Times New Roman" w:eastAsia="Times New Roman" w:hAnsi="Times New Roman"/>
          <w:sz w:val="18"/>
          <w:szCs w:val="18"/>
          <w:color w:val="auto"/>
        </w:rPr>
        <w:t>) filed on February 27, 2024, pursuant to General Instruction E, except with respect to Item 8. Exhibits thereof.</w:t>
      </w:r>
    </w:p>
    <w:p>
      <w:pPr>
        <w:sectPr>
          <w:pgSz w:w="11900" w:h="16838" w:orient="portrait"/>
          <w:cols w:equalWidth="0" w:num="1">
            <w:col w:w="11000"/>
          </w:cols>
          <w:pgMar w:left="440" w:top="266" w:right="459" w:bottom="1440" w:gutter="0" w:footer="0" w:header="0"/>
        </w:sectPr>
      </w:pPr>
    </w:p>
    <w:bookmarkStart w:id="2" w:name="page3"/>
    <w:bookmarkEnd w:id="2"/>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8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66" w:lineRule="exact"/>
        <w:rPr>
          <w:sz w:val="20"/>
          <w:szCs w:val="20"/>
          <w:color w:val="auto"/>
        </w:rPr>
      </w:pPr>
    </w:p>
    <w:p>
      <w:pPr>
        <w:ind w:left="884" w:right="180" w:hanging="884"/>
        <w:spacing w:after="0" w:line="282" w:lineRule="auto"/>
        <w:tabs>
          <w:tab w:leader="none" w:pos="97"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23">
        <w:r>
          <w:rPr>
            <w:rFonts w:ascii="Times New Roman" w:cs="Times New Roman" w:eastAsia="Times New Roman" w:hAnsi="Times New Roman"/>
            <w:sz w:val="18"/>
            <w:szCs w:val="18"/>
            <w:u w:val="single" w:color="auto"/>
            <w:color w:val="0000EE"/>
          </w:rPr>
          <w:t>Restated Certificate of Incorporation of the registrant (incorporated by reference to Exhibit 3.1 to the registrant’s Current Report on Form</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8-K filed with the Securities and Exchange Commission on July 22, 2019)</w:t>
        </w:r>
      </w:hyperlink>
    </w:p>
    <w:p>
      <w:pPr>
        <w:spacing w:after="0" w:line="53" w:lineRule="exact"/>
        <w:rPr>
          <w:rFonts w:ascii="Times New Roman" w:cs="Times New Roman" w:eastAsia="Times New Roman" w:hAnsi="Times New Roman"/>
          <w:sz w:val="18"/>
          <w:szCs w:val="18"/>
          <w:u w:val="single" w:color="auto"/>
          <w:color w:val="0000EE"/>
        </w:rPr>
      </w:pPr>
    </w:p>
    <w:p>
      <w:pPr>
        <w:ind w:left="884" w:right="420" w:hanging="884"/>
        <w:spacing w:after="0" w:line="282" w:lineRule="auto"/>
        <w:tabs>
          <w:tab w:leader="none" w:pos="97"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24">
        <w:r>
          <w:rPr>
            <w:rFonts w:ascii="Times New Roman" w:cs="Times New Roman" w:eastAsia="Times New Roman" w:hAnsi="Times New Roman"/>
            <w:sz w:val="18"/>
            <w:szCs w:val="18"/>
            <w:u w:val="single" w:color="auto"/>
            <w:color w:val="0000EE"/>
          </w:rPr>
          <w:t>Certificate of Amendment of the Restated Certificate of Incorporation of the registrant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registrant’s Current Report on Form 8-K filed with the Securities and Exchange Commission on June 9, 2023)</w:t>
        </w:r>
      </w:hyperlink>
    </w:p>
    <w:p>
      <w:pPr>
        <w:spacing w:after="0" w:line="53" w:lineRule="exact"/>
        <w:rPr>
          <w:rFonts w:ascii="Times New Roman" w:cs="Times New Roman" w:eastAsia="Times New Roman" w:hAnsi="Times New Roman"/>
          <w:sz w:val="18"/>
          <w:szCs w:val="18"/>
          <w:u w:val="single" w:color="auto"/>
          <w:color w:val="0000EE"/>
        </w:rPr>
      </w:pPr>
    </w:p>
    <w:p>
      <w:pPr>
        <w:ind w:left="884" w:right="240" w:hanging="884"/>
        <w:spacing w:after="0" w:line="282" w:lineRule="auto"/>
        <w:tabs>
          <w:tab w:leader="none" w:pos="97"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25">
        <w:r>
          <w:rPr>
            <w:rFonts w:ascii="Times New Roman" w:cs="Times New Roman" w:eastAsia="Times New Roman" w:hAnsi="Times New Roman"/>
            <w:sz w:val="18"/>
            <w:szCs w:val="18"/>
            <w:u w:val="single" w:color="auto"/>
            <w:color w:val="0000EE"/>
          </w:rPr>
          <w:t>Amended and Restated Bylaws of the registrant (incorporated by reference to Exhibit 3.2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filed with the Securities and Exchange Commission on July 22, 2019)</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Goodwin Procter LLP</w:t>
      </w:r>
    </w:p>
    <w:p>
      <w:pPr>
        <w:spacing w:after="0" w:line="129"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Goodwin Procter LLP (included in Exhibit 5.1)</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w:t>
      </w:r>
    </w:p>
    <w:p>
      <w:pPr>
        <w:spacing w:after="0" w:line="117" w:lineRule="exact"/>
        <w:rPr>
          <w:rFonts w:ascii="Times New Roman" w:cs="Times New Roman" w:eastAsia="Times New Roman" w:hAnsi="Times New Roman"/>
          <w:sz w:val="18"/>
          <w:szCs w:val="18"/>
          <w:color w:val="auto"/>
        </w:rPr>
      </w:pPr>
    </w:p>
    <w:p>
      <w:pPr>
        <w:ind w:left="884" w:right="260"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6">
        <w:r>
          <w:rPr>
            <w:rFonts w:ascii="Times New Roman" w:cs="Times New Roman" w:eastAsia="Times New Roman" w:hAnsi="Times New Roman"/>
            <w:sz w:val="18"/>
            <w:szCs w:val="18"/>
            <w:u w:val="single" w:color="auto"/>
            <w:color w:val="0000EE"/>
          </w:rPr>
          <w:t>2022 Inducement Stock Incentive Plan (incorporated by reference to Exhibit 10.12 to the registrant’s Annual Report on Form 10-K filed</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with the Securities and Exchange Commission on March 3, 2022)</w:t>
        </w:r>
      </w:hyperlink>
    </w:p>
    <w:p>
      <w:pPr>
        <w:spacing w:after="0" w:line="54" w:lineRule="exact"/>
        <w:rPr>
          <w:sz w:val="20"/>
          <w:szCs w:val="20"/>
          <w:color w:val="auto"/>
        </w:rPr>
      </w:pPr>
    </w:p>
    <w:p>
      <w:pPr>
        <w:ind w:left="884"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27">
        <w:r>
          <w:rPr>
            <w:rFonts w:ascii="Times New Roman" w:cs="Times New Roman" w:eastAsia="Times New Roman" w:hAnsi="Times New Roman"/>
            <w:sz w:val="18"/>
            <w:szCs w:val="18"/>
            <w:u w:val="single" w:color="auto"/>
            <w:color w:val="0000EE"/>
          </w:rPr>
          <w:t>First Amendment to 2022 Inducement Stock Incentive Plan (incorporated by reference to Exhibit 10.13 to the registrant’s Annual Report on</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Form 10-K filed with the Securities and Exchange Commission on March 8, 2023)</w:t>
        </w:r>
      </w:hyperlink>
    </w:p>
    <w:p>
      <w:pPr>
        <w:spacing w:after="0" w:line="54" w:lineRule="exact"/>
        <w:rPr>
          <w:sz w:val="20"/>
          <w:szCs w:val="20"/>
          <w:color w:val="auto"/>
        </w:rPr>
      </w:pPr>
    </w:p>
    <w:p>
      <w:pPr>
        <w:ind w:left="884" w:right="20"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r>
        <w:rPr>
          <w:sz w:val="20"/>
          <w:szCs w:val="20"/>
          <w:color w:val="auto"/>
        </w:rPr>
        <w:tab/>
      </w:r>
      <w:hyperlink r:id="rId28">
        <w:r>
          <w:rPr>
            <w:rFonts w:ascii="Times New Roman" w:cs="Times New Roman" w:eastAsia="Times New Roman" w:hAnsi="Times New Roman"/>
            <w:sz w:val="18"/>
            <w:szCs w:val="18"/>
            <w:u w:val="single" w:color="auto"/>
            <w:color w:val="0000EE"/>
          </w:rPr>
          <w:t>Second Amendment to 2022 Inducement Stock Incentive Plan (incorporated by reference to Exhibit 10.12 to the registrant’s Annual Report</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onForm 10-K filed with the Securities and Exchange Commission on February 27, 2024)</w:t>
        </w:r>
      </w:hyperlink>
    </w:p>
    <w:p>
      <w:pPr>
        <w:spacing w:after="0" w:line="378" w:lineRule="exact"/>
        <w:rPr>
          <w:sz w:val="20"/>
          <w:szCs w:val="20"/>
          <w:color w:val="auto"/>
        </w:rPr>
      </w:pPr>
    </w:p>
    <w:p>
      <w:pPr>
        <w:ind w:left="884" w:right="80"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99.4</w:t>
      </w:r>
      <w:r>
        <w:rPr>
          <w:sz w:val="20"/>
          <w:szCs w:val="20"/>
          <w:color w:val="auto"/>
        </w:rPr>
        <w:tab/>
      </w:r>
      <w:hyperlink r:id="rId29">
        <w:r>
          <w:rPr>
            <w:rFonts w:ascii="Times New Roman" w:cs="Times New Roman" w:eastAsia="Times New Roman" w:hAnsi="Times New Roman"/>
            <w:sz w:val="18"/>
            <w:szCs w:val="18"/>
            <w:u w:val="single" w:color="auto"/>
            <w:color w:val="0000EE"/>
          </w:rPr>
          <w:t>Third Amendment to 2022 Inducement Stock Incentive Plan (incorporated by reference to Exhibit 10.2 to the registrant’s Quarterly Report</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onForm 10-Q filed with the Securities and Exchange Commission on July 31, 2024)</w:t>
        </w:r>
      </w:hyperlink>
    </w:p>
    <w:p>
      <w:pPr>
        <w:spacing w:after="0" w:line="54" w:lineRule="exact"/>
        <w:rPr>
          <w:sz w:val="20"/>
          <w:szCs w:val="20"/>
          <w:color w:val="auto"/>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99.5</w:t>
      </w:r>
      <w:r>
        <w:rPr>
          <w:sz w:val="20"/>
          <w:szCs w:val="20"/>
          <w:color w:val="auto"/>
        </w:rPr>
        <w:tab/>
      </w:r>
      <w:hyperlink r:id="rId30">
        <w:r>
          <w:rPr>
            <w:rFonts w:ascii="Times New Roman" w:cs="Times New Roman" w:eastAsia="Times New Roman" w:hAnsi="Times New Roman"/>
            <w:sz w:val="17"/>
            <w:szCs w:val="17"/>
            <w:u w:val="single" w:color="auto"/>
            <w:color w:val="0000EE"/>
          </w:rPr>
          <w:t>Form of Non-Statutory Stock Option Agreement under the 2022 Inducement Stock Incentive Plan (incorporated by reference to Exhibit</w:t>
        </w:r>
      </w:hyperlink>
    </w:p>
    <w:p>
      <w:pPr>
        <w:spacing w:after="0" w:line="27" w:lineRule="exact"/>
        <w:rPr>
          <w:sz w:val="20"/>
          <w:szCs w:val="20"/>
          <w:color w:val="auto"/>
        </w:rPr>
      </w:pPr>
    </w:p>
    <w:p>
      <w:pPr>
        <w:ind w:left="884"/>
        <w:spacing w:after="0"/>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10.13 to the registrant’s Annual Report on Form 10-K filed with the Securities and Exchange Commission on March 3, 2022)</w:t>
        </w:r>
      </w:hyperlink>
    </w:p>
    <w:p>
      <w:pPr>
        <w:spacing w:after="0" w:line="99" w:lineRule="exact"/>
        <w:rPr>
          <w:sz w:val="20"/>
          <w:szCs w:val="20"/>
          <w:color w:val="auto"/>
        </w:rPr>
      </w:pPr>
    </w:p>
    <w:p>
      <w:pPr>
        <w:ind w:left="884" w:right="140"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99.6</w:t>
      </w:r>
      <w:r>
        <w:rPr>
          <w:sz w:val="20"/>
          <w:szCs w:val="20"/>
          <w:color w:val="auto"/>
        </w:rPr>
        <w:tab/>
      </w:r>
      <w:hyperlink r:id="rId31">
        <w:r>
          <w:rPr>
            <w:rFonts w:ascii="Times New Roman" w:cs="Times New Roman" w:eastAsia="Times New Roman" w:hAnsi="Times New Roman"/>
            <w:sz w:val="18"/>
            <w:szCs w:val="18"/>
            <w:u w:val="single" w:color="auto"/>
            <w:color w:val="0000EE"/>
          </w:rPr>
          <w:t>Form of Restricted Stock Unit Agreement under the 2022 Inducement Stock Incentive Plan (incorporated by reference to Exhibit 10.14 to</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the registrant’s Annual Report on Form 10-K filed with the Securities and Exchange Commission on March 3, 2022)</w:t>
        </w:r>
      </w:hyperlink>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944"/>
          </w:cols>
          <w:pgMar w:left="436" w:top="266"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of July, 2024.</w:t>
      </w:r>
    </w:p>
    <w:p>
      <w:pPr>
        <w:spacing w:after="0" w:line="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Alex C. Sapir and Alan Musso,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C. Sapir</w:t>
            </w:r>
          </w:p>
        </w:tc>
        <w:tc>
          <w:tcPr>
            <w:tcW w:w="120" w:type="dxa"/>
            <w:vAlign w:val="bottom"/>
          </w:tcPr>
          <w:p>
            <w:pPr>
              <w:spacing w:after="0"/>
              <w:rPr>
                <w:sz w:val="24"/>
                <w:szCs w:val="24"/>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President and Chief Executive Officer,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Alex C. Sapir</w:t>
            </w:r>
          </w:p>
        </w:tc>
        <w:tc>
          <w:tcPr>
            <w:tcW w:w="120" w:type="dxa"/>
            <w:vAlign w:val="bottom"/>
          </w:tcPr>
          <w:p>
            <w:pPr>
              <w:spacing w:after="0"/>
              <w:rPr>
                <w:sz w:val="19"/>
                <w:szCs w:val="19"/>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Musso</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Alan Musso</w:t>
            </w:r>
          </w:p>
        </w:tc>
        <w:tc>
          <w:tcPr>
            <w:tcW w:w="120" w:type="dxa"/>
            <w:vAlign w:val="bottom"/>
          </w:tcPr>
          <w:p>
            <w:pPr>
              <w:spacing w:after="0"/>
              <w:rPr>
                <w:sz w:val="19"/>
                <w:szCs w:val="19"/>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Tourangeau</w:t>
            </w:r>
          </w:p>
        </w:tc>
        <w:tc>
          <w:tcPr>
            <w:tcW w:w="120" w:type="dxa"/>
            <w:vAlign w:val="bottom"/>
          </w:tcPr>
          <w:p>
            <w:pPr>
              <w:spacing w:after="0"/>
              <w:rPr>
                <w:sz w:val="24"/>
                <w:szCs w:val="24"/>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Vice President, Finance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Gregory Tourangeau</w:t>
            </w:r>
          </w:p>
        </w:tc>
        <w:tc>
          <w:tcPr>
            <w:tcW w:w="120" w:type="dxa"/>
            <w:vAlign w:val="bottom"/>
          </w:tcPr>
          <w:p>
            <w:pPr>
              <w:spacing w:after="0"/>
              <w:rPr>
                <w:sz w:val="19"/>
                <w:szCs w:val="19"/>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Kate Haviland</w:t>
            </w:r>
          </w:p>
        </w:tc>
        <w:tc>
          <w:tcPr>
            <w:tcW w:w="120" w:type="dxa"/>
            <w:vAlign w:val="bottom"/>
          </w:tcPr>
          <w:p>
            <w:pPr>
              <w:spacing w:after="0"/>
              <w:rPr>
                <w:sz w:val="24"/>
                <w:szCs w:val="24"/>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Chairman of the Board</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Kate Haviland</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Gould</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Robert J. Gould</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Sonja L. Banks</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Sonja L. Banks</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J. Collins</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James J. Collins</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Katina Dorton</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Katina Dorton</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Ezekowitz</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Alan Ezekowitz</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Geraghty</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James Geraghty</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Colin Hill</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Colin Hill</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color w:val="auto"/>
        </w:rPr>
        <w:t xml:space="preserve">Goodwin Procter </w:t>
      </w:r>
      <w:r>
        <w:rPr>
          <w:rFonts w:ascii="Times New Roman" w:cs="Times New Roman" w:eastAsia="Times New Roman" w:hAnsi="Times New Roman"/>
          <w:sz w:val="11"/>
          <w:szCs w:val="11"/>
          <w:color w:val="auto"/>
        </w:rPr>
        <w:t>LLP</w:t>
      </w:r>
    </w:p>
    <w:p>
      <w:pPr>
        <w:ind w:left="9580"/>
        <w:spacing w:after="0" w:line="226" w:lineRule="auto"/>
        <w:rPr>
          <w:sz w:val="20"/>
          <w:szCs w:val="20"/>
          <w:color w:val="auto"/>
        </w:rPr>
      </w:pPr>
      <w:r>
        <w:rPr>
          <w:rFonts w:ascii="Times New Roman" w:cs="Times New Roman" w:eastAsia="Times New Roman" w:hAnsi="Times New Roman"/>
          <w:sz w:val="14"/>
          <w:szCs w:val="14"/>
          <w:color w:val="auto"/>
        </w:rPr>
        <w:t>Three Embarcadero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71450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1714500" cy="386080"/>
                    </a:xfrm>
                    <a:prstGeom prst="rect">
                      <a:avLst/>
                    </a:prstGeom>
                    <a:noFill/>
                  </pic:spPr>
                </pic:pic>
              </a:graphicData>
            </a:graphic>
          </wp:anchor>
        </w:drawing>
      </w:r>
    </w:p>
    <w:p>
      <w:pPr>
        <w:ind w:left="9580"/>
        <w:spacing w:after="0" w:line="222" w:lineRule="auto"/>
        <w:rPr>
          <w:sz w:val="20"/>
          <w:szCs w:val="20"/>
          <w:color w:val="auto"/>
        </w:rPr>
      </w:pPr>
      <w:r>
        <w:rPr>
          <w:rFonts w:ascii="Times New Roman" w:cs="Times New Roman" w:eastAsia="Times New Roman" w:hAnsi="Times New Roman"/>
          <w:sz w:val="14"/>
          <w:szCs w:val="14"/>
          <w:color w:val="auto"/>
        </w:rPr>
        <w:t>Center, Suite 2800</w:t>
      </w:r>
    </w:p>
    <w:p>
      <w:pPr>
        <w:ind w:left="9580"/>
        <w:spacing w:after="0" w:line="221" w:lineRule="auto"/>
        <w:rPr>
          <w:sz w:val="20"/>
          <w:szCs w:val="20"/>
          <w:color w:val="auto"/>
        </w:rPr>
      </w:pPr>
      <w:r>
        <w:rPr>
          <w:rFonts w:ascii="Times New Roman" w:cs="Times New Roman" w:eastAsia="Times New Roman" w:hAnsi="Times New Roman"/>
          <w:sz w:val="14"/>
          <w:szCs w:val="14"/>
          <w:color w:val="auto"/>
        </w:rPr>
        <w:t>San Francisco, CA</w:t>
      </w:r>
    </w:p>
    <w:p>
      <w:pPr>
        <w:ind w:left="9580"/>
        <w:spacing w:after="0"/>
        <w:rPr>
          <w:sz w:val="20"/>
          <w:szCs w:val="20"/>
          <w:color w:val="auto"/>
        </w:rPr>
      </w:pPr>
      <w:r>
        <w:rPr>
          <w:rFonts w:ascii="Times New Roman" w:cs="Times New Roman" w:eastAsia="Times New Roman" w:hAnsi="Times New Roman"/>
          <w:sz w:val="14"/>
          <w:szCs w:val="14"/>
          <w:color w:val="auto"/>
        </w:rPr>
        <w:t>94111</w:t>
      </w:r>
    </w:p>
    <w:p>
      <w:pPr>
        <w:spacing w:after="0" w:line="93"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color w:val="auto"/>
        </w:rPr>
        <w:t>goodwinlaw.com</w:t>
      </w:r>
    </w:p>
    <w:p>
      <w:pPr>
        <w:spacing w:after="0" w:line="4"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color w:val="auto"/>
        </w:rPr>
        <w:t>+1 415 733 6000</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acted as your counsel in connection with your filing of a Registration Statement on Form S-8 (the “Registration Statement”) pursuant to the Securities Act of 1933, as amended (the “Securities Act”), on or about the date hereof relating to an aggregate of 1,000,000 shares (the “Shares”) of common stock, par value $0.001 per share (“Common Stock”), of Fulcrum Therapeutics, Inc., a Delaware corporation (the “Company”), that may be issued pursuant to the Company’s 2022 Inducement Stock Incentive Plan, as amended (the “Inducement Plan”).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against payment therefor in accordance with the terms of the Inducement Plan,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ROCTER</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2022 Inducement Stock Incentive Plan, as amended (the “Inducement Plan”) of Fulcrum Therapeutics, Inc. of our report dated February 27, 2024, with respect to the consolidated financial statements of Fulcrum Therapeutics, Inc. included in its Annual Report (Form 10-K) for the year ended December 31,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2024</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7" w:lineRule="exact"/>
        <w:rPr>
          <w:sz w:val="20"/>
          <w:szCs w:val="20"/>
          <w:color w:val="auto"/>
        </w:rPr>
      </w:pPr>
    </w:p>
    <w:tbl>
      <w:tblPr>
        <w:tblLayout w:type="fixed"/>
        <w:tblInd w:w="1334" w:type="dxa"/>
        <w:tblCellMar>
          <w:top w:w="0" w:type="dxa"/>
          <w:left w:w="0" w:type="dxa"/>
          <w:bottom w:w="0" w:type="dxa"/>
          <w:right w:w="0" w:type="dxa"/>
        </w:tblCellMar>
      </w:tblPr>
      <w:tr>
        <w:trPr>
          <w:trHeight w:val="124"/>
        </w:trPr>
        <w:tc>
          <w:tcPr>
            <w:tcW w:w="1520" w:type="dxa"/>
            <w:vAlign w:val="bottom"/>
            <w:tcBorders>
              <w:top w:val="single" w:sz="8" w:color="auto"/>
              <w:left w:val="single" w:sz="8" w:color="auto"/>
            </w:tcBorders>
          </w:tcPr>
          <w:p>
            <w:pPr>
              <w:spacing w:after="0"/>
              <w:rPr>
                <w:sz w:val="10"/>
                <w:szCs w:val="10"/>
                <w:color w:val="auto"/>
              </w:rPr>
            </w:pPr>
          </w:p>
        </w:tc>
        <w:tc>
          <w:tcPr>
            <w:tcW w:w="600" w:type="dxa"/>
            <w:vAlign w:val="bottom"/>
            <w:tcBorders>
              <w:top w:val="single" w:sz="8" w:color="auto"/>
              <w:right w:val="single" w:sz="8" w:color="auto"/>
            </w:tcBorders>
          </w:tcPr>
          <w:p>
            <w:pPr>
              <w:spacing w:after="0"/>
              <w:rPr>
                <w:sz w:val="10"/>
                <w:szCs w:val="10"/>
                <w:color w:val="auto"/>
              </w:rPr>
            </w:pPr>
          </w:p>
        </w:tc>
        <w:tc>
          <w:tcPr>
            <w:tcW w:w="860" w:type="dxa"/>
            <w:vAlign w:val="bottom"/>
            <w:tcBorders>
              <w:top w:val="single" w:sz="8" w:color="auto"/>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92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color w:val="auto"/>
                <w:w w:val="99"/>
              </w:rPr>
              <w:t>Proposed</w:t>
            </w:r>
          </w:p>
        </w:tc>
        <w:tc>
          <w:tcPr>
            <w:tcW w:w="1000" w:type="dxa"/>
            <w:vAlign w:val="bottom"/>
            <w:tcBorders>
              <w:top w:val="single" w:sz="8" w:color="auto"/>
              <w:right w:val="single" w:sz="8" w:color="auto"/>
            </w:tcBorders>
          </w:tcPr>
          <w:p>
            <w:pPr>
              <w:spacing w:after="0"/>
              <w:rPr>
                <w:sz w:val="10"/>
                <w:szCs w:val="10"/>
                <w:color w:val="auto"/>
              </w:rPr>
            </w:pPr>
          </w:p>
        </w:tc>
        <w:tc>
          <w:tcPr>
            <w:tcW w:w="1080" w:type="dxa"/>
            <w:vAlign w:val="bottom"/>
            <w:tcBorders>
              <w:top w:val="single" w:sz="8" w:color="auto"/>
              <w:right w:val="single" w:sz="8" w:color="auto"/>
            </w:tcBorders>
          </w:tcPr>
          <w:p>
            <w:pPr>
              <w:spacing w:after="0"/>
              <w:rPr>
                <w:sz w:val="10"/>
                <w:szCs w:val="10"/>
                <w:color w:val="auto"/>
              </w:rPr>
            </w:pPr>
          </w:p>
        </w:tc>
        <w:tc>
          <w:tcPr>
            <w:tcW w:w="9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Security</w:t>
            </w:r>
          </w:p>
        </w:tc>
        <w:tc>
          <w:tcPr>
            <w:tcW w:w="80" w:type="dxa"/>
            <w:vAlign w:val="bottom"/>
          </w:tcPr>
          <w:p>
            <w:pPr>
              <w:spacing w:after="0"/>
              <w:rPr>
                <w:sz w:val="10"/>
                <w:szCs w:val="10"/>
                <w:color w:val="auto"/>
              </w:rPr>
            </w:pP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Calculation</w:t>
            </w:r>
          </w:p>
        </w:tc>
        <w:tc>
          <w:tcPr>
            <w:tcW w:w="92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Price Per</w:t>
            </w:r>
          </w:p>
        </w:tc>
        <w:tc>
          <w:tcPr>
            <w:tcW w:w="10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Aggregate</w:t>
            </w:r>
          </w:p>
        </w:tc>
        <w:tc>
          <w:tcPr>
            <w:tcW w:w="108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1520" w:type="dxa"/>
            <w:vAlign w:val="bottom"/>
            <w:tcBorders>
              <w:left w:val="single" w:sz="8" w:color="auto"/>
              <w:bottom w:val="single" w:sz="8" w:color="auto"/>
            </w:tcBorders>
          </w:tcPr>
          <w:p>
            <w:pPr>
              <w:jc w:val="center"/>
              <w:ind w:left="664"/>
              <w:spacing w:after="0"/>
              <w:rPr>
                <w:sz w:val="20"/>
                <w:szCs w:val="20"/>
                <w:color w:val="auto"/>
              </w:rPr>
            </w:pPr>
            <w:r>
              <w:rPr>
                <w:rFonts w:ascii="Times New Roman" w:cs="Times New Roman" w:eastAsia="Times New Roman" w:hAnsi="Times New Roman"/>
                <w:sz w:val="13"/>
                <w:szCs w:val="13"/>
                <w:color w:val="auto"/>
                <w:w w:val="95"/>
              </w:rPr>
              <w:t>Security Type</w:t>
            </w:r>
          </w:p>
        </w:tc>
        <w:tc>
          <w:tcPr>
            <w:tcW w:w="60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xml:space="preserve">Registered </w:t>
            </w:r>
            <w:r>
              <w:rPr>
                <w:rFonts w:ascii="Times New Roman" w:cs="Times New Roman" w:eastAsia="Times New Roman" w:hAnsi="Times New Roman"/>
                <w:sz w:val="13"/>
                <w:szCs w:val="13"/>
                <w:color w:val="auto"/>
                <w:w w:val="95"/>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6"/>
        </w:trPr>
        <w:tc>
          <w:tcPr>
            <w:tcW w:w="1520" w:type="dxa"/>
            <w:vAlign w:val="bottom"/>
            <w:tcBorders>
              <w:left w:val="single" w:sz="8" w:color="auto"/>
            </w:tcBorders>
          </w:tcPr>
          <w:p>
            <w:pPr>
              <w:jc w:val="center"/>
              <w:ind w:left="68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6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8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$0.001</w:t>
            </w: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w:t>
            </w: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920" w:type="dxa"/>
            <w:vAlign w:val="bottom"/>
            <w:tcBorders>
              <w:right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1,000,000</w:t>
            </w:r>
          </w:p>
        </w:tc>
        <w:tc>
          <w:tcPr>
            <w:tcW w:w="66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$8.68</w:t>
            </w:r>
          </w:p>
        </w:tc>
        <w:tc>
          <w:tcPr>
            <w:tcW w:w="10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2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457(h)(1)</w:t>
            </w:r>
          </w:p>
        </w:tc>
        <w:tc>
          <w:tcPr>
            <w:tcW w:w="920" w:type="dxa"/>
            <w:vAlign w:val="bottom"/>
            <w:tcBorders>
              <w:bottom w:val="single" w:sz="8" w:color="auto"/>
              <w:right w:val="single" w:sz="8" w:color="auto"/>
            </w:tcBorders>
          </w:tcPr>
          <w:p>
            <w:pPr>
              <w:jc w:val="right"/>
              <w:ind w:right="264"/>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auto"/>
              <w:right w:val="single" w:sz="8" w:color="auto"/>
            </w:tcBorders>
          </w:tcPr>
          <w:p>
            <w:pPr>
              <w:jc w:val="right"/>
              <w:ind w:right="149"/>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$8,680,000</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$1,281.17</w:t>
            </w:r>
          </w:p>
        </w:tc>
        <w:tc>
          <w:tcPr>
            <w:tcW w:w="0" w:type="dxa"/>
            <w:vAlign w:val="bottom"/>
          </w:tcPr>
          <w:p>
            <w:pPr>
              <w:spacing w:after="0"/>
              <w:rPr>
                <w:sz w:val="1"/>
                <w:szCs w:val="1"/>
                <w:color w:val="auto"/>
              </w:rPr>
            </w:pPr>
          </w:p>
        </w:tc>
      </w:tr>
      <w:tr>
        <w:trPr>
          <w:trHeight w:val="239"/>
        </w:trPr>
        <w:tc>
          <w:tcPr>
            <w:tcW w:w="1520" w:type="dxa"/>
            <w:vAlign w:val="bottom"/>
            <w:tcBorders>
              <w:left w:val="single" w:sz="8" w:color="auto"/>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404"/>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$8,680,000</w:t>
            </w: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$1,281.17</w:t>
            </w: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8"/>
              </w:rPr>
              <w:t>Net Fee Due</w:t>
            </w: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$1,281.17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6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“Act”), this registration statement shall be deemed to cover any additional securities that may from time to time be offered or issued to prevent dilution resulting from stock splits, stock dividends or similar transactions. Pursuant to Rule 416(c) under the Act, this registration statement shall also cover an indeterminate amount of interests to be offered or sold pursuant to the employee benefit plan described herein.</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1,000,000 shares issuable under the registrant’s 2022 Inducement Stock Incentive Plan, as amended.</w:t>
      </w:r>
    </w:p>
    <w:p>
      <w:pPr>
        <w:spacing w:after="0" w:line="9" w:lineRule="exact"/>
        <w:rPr>
          <w:rFonts w:ascii="Times New Roman" w:cs="Times New Roman" w:eastAsia="Times New Roman" w:hAnsi="Times New Roman"/>
          <w:sz w:val="18"/>
          <w:szCs w:val="18"/>
          <w:color w:val="auto"/>
        </w:rPr>
      </w:pPr>
    </w:p>
    <w:p>
      <w:pPr>
        <w:ind w:left="424" w:right="180" w:hanging="424"/>
        <w:spacing w:after="0" w:line="26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(h)(1) of the Act, and based on $8.68, the average of the high and low sale prices of the registrant’s common stock as reported on The Nasdaq Global Market on July 25,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jpeg"/><Relationship Id="rId18" Type="http://schemas.openxmlformats.org/officeDocument/2006/relationships/hyperlink" Target="http://www.sec.gov/Archives/edgar/data/1680581/000119312522063643/d280734ds8.htm" TargetMode="External"/><Relationship Id="rId19" Type="http://schemas.openxmlformats.org/officeDocument/2006/relationships/hyperlink" Target="http://www.sec.gov/Archives/edgar/data/1680581/000119312523065374/d474974ds8.htm" TargetMode="External"/><Relationship Id="rId20" Type="http://schemas.openxmlformats.org/officeDocument/2006/relationships/hyperlink" Target="http://www.sec.gov/Archives/edgar/data/1680581/000119312524048113/d788628ds8.htm" TargetMode="External"/><Relationship Id="rId23" Type="http://schemas.openxmlformats.org/officeDocument/2006/relationships/hyperlink" Target="http://www.sec.gov/Archives/edgar/data/1680581/000104746919004324/a2239321zex-3_1.htm" TargetMode="External"/><Relationship Id="rId24" Type="http://schemas.openxmlformats.org/officeDocument/2006/relationships/hyperlink" Target="http://www.sec.gov/Archives/edgar/data/1680581/000119312523164435/d463131dex31.htm" TargetMode="External"/><Relationship Id="rId25" Type="http://schemas.openxmlformats.org/officeDocument/2006/relationships/hyperlink" Target="http://www.sec.gov/Archives/edgar/data/1680581/000104746919004324/a2239321zex-3_2.htm" TargetMode="External"/><Relationship Id="rId26" Type="http://schemas.openxmlformats.org/officeDocument/2006/relationships/hyperlink" Target="http://www.sec.gov/Archives/edgar/data/1680581/000095017022002727/fulc-ex10_12.htm" TargetMode="External"/><Relationship Id="rId27" Type="http://schemas.openxmlformats.org/officeDocument/2006/relationships/hyperlink" Target="http://www.sec.gov/Archives/edgar/data/1680581/000095017023006841/fulc-ex10_13.htm" TargetMode="External"/><Relationship Id="rId28" Type="http://schemas.openxmlformats.org/officeDocument/2006/relationships/hyperlink" Target="http://www.sec.gov/Archives/edgar/data/1680581/000095017024021074/fulc-ex10_12.htm" TargetMode="External"/><Relationship Id="rId29" Type="http://schemas.openxmlformats.org/officeDocument/2006/relationships/hyperlink" Target="http://www.sec.gov/Archives/edgar/data/1680581/000095017024088238/fulc-ex10_2.htm" TargetMode="External"/><Relationship Id="rId30" Type="http://schemas.openxmlformats.org/officeDocument/2006/relationships/hyperlink" Target="http://www.sec.gov/Archives/edgar/data/1680581/000095017022002727/fulc-ex10_13.htm" TargetMode="External"/><Relationship Id="rId31" Type="http://schemas.openxmlformats.org/officeDocument/2006/relationships/hyperlink" Target="http://www.sec.gov/Archives/edgar/data/1680581/000095017022002727/fulc-ex10_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2024-07-31T07:00:01Z</dcterms:created>
  <dcterms:modified xsi:type="dcterms:W3CDTF">2024-07-31T07:00:01Z</dcterms:modified>
</cp:coreProperties>
</file>