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LEVIN MARK J</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THIRD ROCK VENTURES, LLC,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29 NEWBURY STREET, 3RD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Fulcrum Therapeutics, Inc.</w:t>
              </w:r>
            </w:hyperlink>
            <w:r>
              <w:rPr/>
              <w:t xml:space="preserve"> [ </w:t>
            </w:r>
            <w:r>
              <w:rPr>
                <w:rFonts w:ascii="Times;serif" w:hAnsi="Times;serif"/>
                <w:color w:val="0000FF"/>
                <w:sz w:val="24"/>
                <w:highlight w:val="white"/>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09/22/2021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55"/>
        <w:gridCol w:w="899"/>
        <w:gridCol w:w="771"/>
        <w:gridCol w:w="597"/>
        <w:gridCol w:w="340"/>
        <w:gridCol w:w="1133"/>
        <w:gridCol w:w="432"/>
        <w:gridCol w:w="594"/>
        <w:gridCol w:w="1293"/>
        <w:gridCol w:w="968"/>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3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59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8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1,000,000</w:t>
            </w:r>
          </w:p>
        </w:tc>
        <w:tc>
          <w:tcPr>
            <w:tcW w:w="43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59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2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4,962,202</w:t>
            </w:r>
            <w:r>
              <w:rPr>
                <w:rFonts w:ascii="Times;serif" w:hAnsi="Times;serif"/>
                <w:color w:val="008000"/>
                <w:position w:val="7"/>
                <w:sz w:val="16"/>
                <w:sz w:val="20"/>
                <w:highlight w:val="white"/>
              </w:rPr>
              <w:t>(1)</w:t>
            </w:r>
            <w:r>
              <w:rPr/>
              <w:t xml:space="preserve"> </w:t>
            </w:r>
          </w:p>
        </w:tc>
        <w:tc>
          <w:tcPr>
            <w:tcW w:w="96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(2)</w:t>
            </w:r>
            <w:r>
              <w:rPr/>
              <w:t xml:space="preserve"> </w:t>
            </w:r>
          </w:p>
        </w:tc>
      </w:tr>
      <w:tr>
        <w:trPr/>
        <w:tc>
          <w:tcPr>
            <w:tcW w:w="21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89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3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0</w:t>
            </w:r>
            <w:r>
              <w:rPr>
                <w:rFonts w:ascii="Times;serif" w:hAnsi="Times;serif"/>
                <w:color w:val="008000"/>
                <w:position w:val="7"/>
                <w:sz w:val="16"/>
                <w:sz w:val="20"/>
                <w:highlight w:val="white"/>
              </w:rPr>
              <w:t>(3)</w:t>
            </w:r>
            <w:r>
              <w:rPr/>
              <w:t xml:space="preserve"> </w:t>
            </w:r>
          </w:p>
        </w:tc>
        <w:tc>
          <w:tcPr>
            <w:tcW w:w="96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r>
        <w:trPr/>
        <w:tc>
          <w:tcPr>
            <w:tcW w:w="21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89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3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37,665</w:t>
            </w:r>
          </w:p>
        </w:tc>
        <w:tc>
          <w:tcPr>
            <w:tcW w:w="96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D</w:t>
            </w:r>
            <w:r>
              <w:rPr>
                <w:rFonts w:ascii="Times;serif" w:hAnsi="Times;serif"/>
                <w:color w:val="008000"/>
                <w:position w:val="7"/>
                <w:sz w:val="16"/>
                <w:sz w:val="20"/>
                <w:highlight w:val="white"/>
              </w:rPr>
              <w:t>(4)</w:t>
            </w:r>
            <w:r>
              <w:rPr/>
              <w:t xml:space="preserve"> </w:t>
            </w:r>
          </w:p>
        </w:tc>
        <w:tc>
          <w:tcPr>
            <w:tcW w:w="102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15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89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3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4,184</w:t>
            </w:r>
          </w:p>
        </w:tc>
        <w:tc>
          <w:tcPr>
            <w:tcW w:w="96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(5)</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Pursuant to a 10b5-1 trading plan adopted on March 30, 2021 by Third Rock Ventures III, L.P. ("TRV III"), TRV III distributed for no consideration, 1,000,000 shares of Common Stock of the Issuer (the "Shares") on September 22, 2021, to its limited partners and to Third Rock Ventures GP III, L.P. ("TRV GP III"), the general partner of TRV III, representing each such partner's pro rata interest in such Shares. On the same date, TRV GP III distributed, for no consideration, the Shares it received in the distribution by TRV III to its partners, representing each such partner's pro rata interest in such Shares. All of the aforementioned distributions were made in accordance with the exemptions afforded by Rules 16a-13 and 16a-9 of the Securities Exchange Act of 1934, as amended.</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Reporting Person is a partner of TRV GP III, which is the general partner of TRV III. The Reporting Person disclaims beneficial ownership over the shares held by TRV III, except to the extent of his pecuniary interest therein, if any, and this report shall not be deemed an admission that he is the beneficial owner of such shares.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Third Rock Ventures IV, L.P. ("TRV IV") directly holds 2,343,154 shares. The general partner of TRV IV is Third Rock Ventures GP IV, L.P. ("TRV GP IV"). The general partner of TRV GP IV is TRV GP IV, LLC ("TRV GP IV LLC"). The Reporting Person disclaims beneficial ownership of the shares except to the extent of its pecuniary interest therein, if any, and this report shall not be deemed an admission that it is the beneficial owner of such shares. TRV III and TRV IV disclaim the existence of a Section 13(d) "group" as between any TRV III related parties and any TRV IV related parties and this report shall not be deemed an admission that any of such parties is or may be part of such a group with any of the other parties.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shares are directly held by the Reporting Person. Includes Shares received in the distributions described in footnote (1) above.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The shares are directly held by the Levin Family 2014 Irrevocable Trust. Includes Shares received in the distributions described in footnote (1) above.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Mark Levin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80428" TargetMode="External"/><Relationship Id="rId4" Type="http://schemas.openxmlformats.org/officeDocument/2006/relationships/hyperlink" Target="http://www.sec.gov/cgi-bin/browse-edgar?action=getcompany&amp;CIK=000168058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915</Words>
  <CharactersWithSpaces>5548</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