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28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28574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Gould Robert J</w:t>
              </w:r>
            </w:hyperlink>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gridSpan w:val="7"/>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Fulcrum Therapeutics,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FULC</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280" w:type="dxa"/>
            <w:vAlign w:val="bottom"/>
          </w:tcPr>
          <w:p>
            <w:pPr>
              <w:spacing w:after="0"/>
              <w:rPr>
                <w:sz w:val="15"/>
                <w:szCs w:val="15"/>
                <w:color w:val="auto"/>
              </w:rPr>
            </w:pPr>
          </w:p>
        </w:tc>
        <w:tc>
          <w:tcPr>
            <w:tcW w:w="166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gridSpan w:val="3"/>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680" w:type="dxa"/>
            <w:vAlign w:val="bottom"/>
            <w:tcBorders>
              <w:top w:val="single" w:sz="8" w:color="0000EE"/>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160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04/07/2022</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 LANDSDOWNE STREET</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80" w:type="dxa"/>
            <w:vAlign w:val="bottom"/>
            <w:gridSpan w:val="7"/>
            <w:vMerge w:val="continue"/>
          </w:tcPr>
          <w:p>
            <w:pPr>
              <w:spacing w:after="0"/>
              <w:rPr>
                <w:sz w:val="6"/>
                <w:szCs w:val="6"/>
                <w:color w:val="auto"/>
              </w:rPr>
            </w:pPr>
          </w:p>
        </w:tc>
        <w:tc>
          <w:tcPr>
            <w:tcW w:w="28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vMerge w:val="restart"/>
          </w:tcPr>
          <w:p>
            <w:pPr>
              <w:spacing w:after="0"/>
              <w:rPr>
                <w:sz w:val="6"/>
                <w:szCs w:val="6"/>
                <w:color w:val="auto"/>
              </w:rPr>
            </w:pPr>
          </w:p>
        </w:tc>
        <w:tc>
          <w:tcPr>
            <w:tcW w:w="46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0" w:type="dxa"/>
            <w:vAlign w:val="bottom"/>
            <w:gridSpan w:val="10"/>
          </w:tcPr>
          <w:p>
            <w:pPr>
              <w:ind w:left="26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40"/>
              <w:spacing w:after="0" w:line="143"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7"/>
          </w:tcPr>
          <w:p>
            <w:pPr>
              <w:jc w:val="center"/>
              <w:ind w:left="69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5"/>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ind w:left="720"/>
              <w:spacing w:after="0"/>
              <w:rPr>
                <w:sz w:val="20"/>
                <w:szCs w:val="20"/>
                <w:color w:val="auto"/>
              </w:rPr>
            </w:pPr>
            <w:r>
              <w:rPr>
                <w:rFonts w:ascii="Times New Roman" w:cs="Times New Roman" w:eastAsia="Times New Roman" w:hAnsi="Times New Roman"/>
                <w:sz w:val="17"/>
                <w:szCs w:val="17"/>
                <w:color w:val="0000FF"/>
              </w:rPr>
              <w:t>04/07/2022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5,631</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7.84</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512,261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ind w:left="720"/>
              <w:spacing w:after="0"/>
              <w:rPr>
                <w:sz w:val="20"/>
                <w:szCs w:val="20"/>
                <w:color w:val="auto"/>
              </w:rPr>
            </w:pPr>
            <w:r>
              <w:rPr>
                <w:rFonts w:ascii="Times New Roman" w:cs="Times New Roman" w:eastAsia="Times New Roman" w:hAnsi="Times New Roman"/>
                <w:sz w:val="17"/>
                <w:szCs w:val="17"/>
                <w:color w:val="0000FF"/>
              </w:rPr>
              <w:t>04/07/2022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5,631</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24.015</w:t>
            </w:r>
            <w:r>
              <w:rPr>
                <w:rFonts w:ascii="Times New Roman" w:cs="Times New Roman" w:eastAsia="Times New Roman" w:hAnsi="Times New Roman"/>
                <w:sz w:val="21"/>
                <w:szCs w:val="21"/>
                <w:color w:val="008000"/>
                <w:w w:val="9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506,630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7"/>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4"/>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7.84</w:t>
            </w:r>
          </w:p>
        </w:tc>
        <w:tc>
          <w:tcPr>
            <w:tcW w:w="10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04/07/2022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5,631</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01/21/2029</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5,631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99"/>
              </w:rPr>
              <w:t>224,580</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September 15, 2021.</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$24.00 to $24.09,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January 22, 2019 and is scheduled to vest in equal quarterly installments from January 1, 2019 through December 31, 2022.</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Curt Oltmans, as attorney-</w:t>
            </w:r>
          </w:p>
        </w:tc>
        <w:tc>
          <w:tcPr>
            <w:tcW w:w="10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04/11/2022</w:t>
            </w:r>
          </w:p>
        </w:tc>
        <w:tc>
          <w:tcPr>
            <w:tcW w:w="0" w:type="dxa"/>
            <w:vAlign w:val="bottom"/>
          </w:tcPr>
          <w:p>
            <w:pPr>
              <w:spacing w:after="0"/>
              <w:rPr>
                <w:sz w:val="1"/>
                <w:szCs w:val="1"/>
                <w:color w:val="auto"/>
              </w:rPr>
            </w:pPr>
          </w:p>
        </w:tc>
      </w:tr>
      <w:tr>
        <w:trPr>
          <w:trHeight w:val="84"/>
        </w:trPr>
        <w:tc>
          <w:tcPr>
            <w:tcW w:w="18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in-fact for Robert J. Gould</w:t>
            </w:r>
          </w:p>
        </w:tc>
        <w:tc>
          <w:tcPr>
            <w:tcW w:w="3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80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7034"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2022-04-11T16:03:15Z</dcterms:created>
  <dcterms:modified xsi:type="dcterms:W3CDTF">2022-04-11T16:03:15Z</dcterms:modified>
</cp:coreProperties>
</file>