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424(b)(5)</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333-277419</w:t>
      </w:r>
    </w:p>
    <w:p>
      <w:pPr>
        <w:spacing w:after="0" w:line="126" w:lineRule="exact"/>
        <w:rPr>
          <w:sz w:val="24"/>
          <w:szCs w:val="24"/>
          <w:color w:val="auto"/>
        </w:rPr>
      </w:pPr>
    </w:p>
    <w:p>
      <w:pPr>
        <w:ind w:left="120" w:right="40"/>
        <w:spacing w:after="0" w:line="280" w:lineRule="auto"/>
        <w:rPr>
          <w:sz w:val="20"/>
          <w:szCs w:val="20"/>
          <w:color w:val="auto"/>
        </w:rPr>
      </w:pPr>
      <w:r>
        <w:rPr>
          <w:rFonts w:ascii="Arial" w:cs="Arial" w:eastAsia="Arial" w:hAnsi="Arial"/>
          <w:sz w:val="17"/>
          <w:szCs w:val="17"/>
          <w:b w:val="1"/>
          <w:bCs w:val="1"/>
          <w:color w:val="8B3F4E"/>
        </w:rPr>
        <w:t>The information in this preliminary prospectus supplement is not complete and may be changed. A registration statement has been filed with the Securities and Exchange Commission and is effective. This prospectus supplement is not an offer to sell these securities and it is not soliciting an offer to buy these securities in any jurisdiction where the offer or sale is not permitted.</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8B3F4E"/>
        </w:rPr>
        <w:t>SUBJECT TO COMPLETION, DATED DECEMBER 8, 2025</w:t>
      </w:r>
    </w:p>
    <w:p>
      <w:pPr>
        <w:spacing w:after="0" w:line="135"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PRELIMINARY PROSPECTUS SUPPLEMENT</w:t>
      </w:r>
    </w:p>
    <w:p>
      <w:pPr>
        <w:spacing w:after="0" w:line="6"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(To Prospectus dated April 25, 2024)</w:t>
      </w:r>
    </w:p>
    <w:p>
      <w:pPr>
        <w:spacing w:after="0" w:line="112" w:lineRule="exact"/>
        <w:rPr>
          <w:sz w:val="24"/>
          <w:szCs w:val="24"/>
          <w:color w:val="auto"/>
        </w:rPr>
      </w:pPr>
    </w:p>
    <w:p>
      <w:pPr>
        <w:ind w:left="120"/>
        <w:spacing w:after="0"/>
        <w:rPr>
          <w:sz w:val="20"/>
          <w:szCs w:val="20"/>
          <w:color w:val="auto"/>
        </w:rPr>
      </w:pPr>
      <w:r>
        <w:rPr>
          <w:rFonts w:ascii="Arial" w:cs="Arial" w:eastAsia="Arial" w:hAnsi="Arial"/>
          <w:sz w:val="32"/>
          <w:szCs w:val="32"/>
          <w:b w:val="1"/>
          <w:bCs w:val="1"/>
          <w:i w:val="1"/>
          <w:iCs w:val="1"/>
          <w:color w:val="auto"/>
        </w:rPr>
        <w:t>$150,000,000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133731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31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120"/>
        <w:spacing w:after="0"/>
        <w:rPr>
          <w:sz w:val="20"/>
          <w:szCs w:val="20"/>
          <w:color w:val="auto"/>
        </w:rPr>
      </w:pPr>
      <w:r>
        <w:rPr>
          <w:rFonts w:ascii="Arial" w:cs="Arial" w:eastAsia="Arial" w:hAnsi="Arial"/>
          <w:sz w:val="43"/>
          <w:szCs w:val="43"/>
          <w:b w:val="1"/>
          <w:bCs w:val="1"/>
          <w:color w:val="auto"/>
        </w:rPr>
        <w:t>Fulcrum Therapeutics, Inc.</w:t>
      </w:r>
    </w:p>
    <w:p>
      <w:pPr>
        <w:spacing w:after="0" w:line="157" w:lineRule="exact"/>
        <w:rPr>
          <w:sz w:val="24"/>
          <w:szCs w:val="24"/>
          <w:color w:val="auto"/>
        </w:rPr>
      </w:pPr>
    </w:p>
    <w:p>
      <w:pPr>
        <w:ind w:left="120"/>
        <w:spacing w:after="0"/>
        <w:rPr>
          <w:sz w:val="20"/>
          <w:szCs w:val="20"/>
          <w:color w:val="auto"/>
        </w:rPr>
      </w:pPr>
      <w:r>
        <w:rPr>
          <w:rFonts w:ascii="Arial" w:cs="Arial" w:eastAsia="Arial" w:hAnsi="Arial"/>
          <w:sz w:val="32"/>
          <w:szCs w:val="32"/>
          <w:b w:val="1"/>
          <w:bCs w:val="1"/>
          <w:i w:val="1"/>
          <w:iCs w:val="1"/>
          <w:color w:val="auto"/>
        </w:rPr>
        <w:t>Common Stock</w:t>
      </w:r>
    </w:p>
    <w:p>
      <w:pPr>
        <w:spacing w:after="0" w:line="16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We are offering $150.0 million of shares of our common stock pursuant to this prospectus supplement and accompanying prospectus.</w:t>
      </w:r>
    </w:p>
    <w:p>
      <w:pPr>
        <w:spacing w:after="0" w:line="144" w:lineRule="exact"/>
        <w:rPr>
          <w:sz w:val="24"/>
          <w:szCs w:val="24"/>
          <w:color w:val="auto"/>
        </w:rPr>
      </w:pPr>
    </w:p>
    <w:p>
      <w:pPr>
        <w:ind w:left="120" w:right="160"/>
        <w:spacing w:after="0" w:line="271" w:lineRule="auto"/>
        <w:rPr>
          <w:sz w:val="20"/>
          <w:szCs w:val="20"/>
          <w:color w:val="auto"/>
        </w:rPr>
      </w:pPr>
      <w:r>
        <w:rPr>
          <w:rFonts w:ascii="Arial" w:cs="Arial" w:eastAsia="Arial" w:hAnsi="Arial"/>
          <w:sz w:val="18"/>
          <w:szCs w:val="18"/>
          <w:color w:val="auto"/>
        </w:rPr>
        <w:t>Our common stock is traded on The Nasdaq Global Market under the symbol “FULC.” On December 8, 2025, the last reported sale price per share of our common stock was $12.99.</w:t>
      </w:r>
    </w:p>
    <w:p>
      <w:pPr>
        <w:spacing w:after="0" w:line="73" w:lineRule="exact"/>
        <w:rPr>
          <w:sz w:val="24"/>
          <w:szCs w:val="24"/>
          <w:color w:val="auto"/>
        </w:rPr>
      </w:pPr>
    </w:p>
    <w:p>
      <w:pPr>
        <w:ind w:left="120" w:right="60"/>
        <w:spacing w:after="0" w:line="244" w:lineRule="auto"/>
        <w:rPr>
          <w:sz w:val="20"/>
          <w:szCs w:val="20"/>
          <w:color w:val="auto"/>
        </w:rPr>
      </w:pPr>
      <w:r>
        <w:rPr>
          <w:rFonts w:ascii="Arial" w:cs="Arial" w:eastAsia="Arial" w:hAnsi="Arial"/>
          <w:sz w:val="18"/>
          <w:szCs w:val="18"/>
          <w:b w:val="1"/>
          <w:bCs w:val="1"/>
          <w:color w:val="auto"/>
        </w:rPr>
        <w:t>Investing in our common stock involves a high degree of risk. You should carefully consider the risks and uncertainties described under the heading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on page S-9 of this prospectus supplement and in the accompanying prospectus, as well as those contained in the other documents that are incorporated by reference into this prospectus supplement, the accompanying prospectus and any related free writing prospectus. You should carefully read this entire prospectus supplement and the accompanying prospectus, including any information incorporated by reference hereto and thereto, before deciding whether to purchase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3"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68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2"/>
          </w:tcPr>
          <w:p>
            <w:pPr>
              <w:ind w:left="2260"/>
              <w:spacing w:after="0"/>
              <w:rPr>
                <w:sz w:val="20"/>
                <w:szCs w:val="20"/>
                <w:color w:val="auto"/>
              </w:rPr>
            </w:pPr>
            <w:r>
              <w:rPr>
                <w:rFonts w:ascii="Arial" w:cs="Arial" w:eastAsia="Arial" w:hAnsi="Arial"/>
                <w:sz w:val="16"/>
                <w:szCs w:val="16"/>
                <w:b w:val="1"/>
                <w:bCs w:val="1"/>
                <w:color w:val="auto"/>
              </w:rPr>
              <w:t>Per Share</w:t>
            </w: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Total</w:t>
            </w:r>
          </w:p>
        </w:tc>
      </w:tr>
      <w:tr>
        <w:trPr>
          <w:trHeight w:val="34"/>
        </w:trPr>
        <w:tc>
          <w:tcPr>
            <w:tcW w:w="68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400" w:type="dxa"/>
            <w:vAlign w:val="bottom"/>
            <w:shd w:val="clear" w:color="auto" w:fill="CCEEFF"/>
          </w:tcPr>
          <w:p>
            <w:pPr>
              <w:ind w:left="226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       </w:t>
            </w:r>
          </w:p>
        </w:tc>
        <w:tc>
          <w:tcPr>
            <w:tcW w:w="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xml:space="preserve">$       </w:t>
            </w:r>
          </w:p>
        </w:tc>
      </w:tr>
      <w:tr>
        <w:trPr>
          <w:trHeight w:val="310"/>
        </w:trPr>
        <w:tc>
          <w:tcPr>
            <w:tcW w:w="684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6"/>
                <w:szCs w:val="26"/>
                <w:color w:val="auto"/>
                <w:vertAlign w:val="superscript"/>
              </w:rPr>
              <w:t>(1)</w:t>
            </w:r>
          </w:p>
        </w:tc>
        <w:tc>
          <w:tcPr>
            <w:tcW w:w="2400" w:type="dxa"/>
            <w:vAlign w:val="bottom"/>
          </w:tcPr>
          <w:p>
            <w:pPr>
              <w:ind w:left="2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96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Fulcrum Therapeutics, Inc., before expenses</w:t>
            </w:r>
          </w:p>
        </w:tc>
        <w:tc>
          <w:tcPr>
            <w:tcW w:w="2400" w:type="dxa"/>
            <w:vAlign w:val="bottom"/>
            <w:shd w:val="clear" w:color="auto" w:fill="CCEEFF"/>
          </w:tcPr>
          <w:p>
            <w:pPr>
              <w:ind w:left="226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32"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beginning on page S-13 of this prospectus supplement for additional information regarding underwriting compensation.</w:t>
      </w:r>
    </w:p>
    <w:p>
      <w:pPr>
        <w:spacing w:after="0" w:line="155" w:lineRule="exact"/>
        <w:rPr>
          <w:sz w:val="24"/>
          <w:szCs w:val="24"/>
          <w:color w:val="auto"/>
        </w:rPr>
      </w:pPr>
    </w:p>
    <w:p>
      <w:pPr>
        <w:ind w:left="120" w:right="200"/>
        <w:spacing w:after="0" w:line="247" w:lineRule="auto"/>
        <w:rPr>
          <w:sz w:val="20"/>
          <w:szCs w:val="20"/>
          <w:color w:val="auto"/>
        </w:rPr>
      </w:pPr>
      <w:r>
        <w:rPr>
          <w:rFonts w:ascii="Arial" w:cs="Arial" w:eastAsia="Arial" w:hAnsi="Arial"/>
          <w:sz w:val="18"/>
          <w:szCs w:val="18"/>
          <w:color w:val="auto"/>
        </w:rPr>
        <w:t>The underwriters may also exercise their option to purchase up to an additional $22,500,000 of shares of common stock from us, at the public offering price, less the underwriting discounts and commissions, for 30 days after the date of this prospectus supplement. If the underwriters exercise the option in full, the total underwriting discounts and commissions payable by us will be $        million, and the total proceeds to us, before expenses, will be $        million. See “Underwriting” for more information.</w:t>
      </w:r>
    </w:p>
    <w:p>
      <w:pPr>
        <w:spacing w:after="0" w:line="106" w:lineRule="exact"/>
        <w:rPr>
          <w:sz w:val="24"/>
          <w:szCs w:val="24"/>
          <w:color w:val="auto"/>
        </w:rPr>
      </w:pPr>
    </w:p>
    <w:p>
      <w:pPr>
        <w:ind w:left="120" w:right="20"/>
        <w:spacing w:after="0" w:line="257"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7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The shares of common stock will be ready for delivery on or about          , 2025.</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22"/>
          <w:szCs w:val="22"/>
          <w:i w:val="1"/>
          <w:iCs w:val="1"/>
          <w:color w:val="auto"/>
        </w:rPr>
        <w:t>Book-Running Managers</w:t>
      </w:r>
    </w:p>
    <w:p>
      <w:pPr>
        <w:spacing w:after="0" w:line="131" w:lineRule="exact"/>
        <w:rPr>
          <w:sz w:val="24"/>
          <w:szCs w:val="24"/>
          <w:color w:val="auto"/>
        </w:rPr>
      </w:pPr>
    </w:p>
    <w:p>
      <w:pPr>
        <w:ind w:left="120"/>
        <w:spacing w:after="0"/>
        <w:tabs>
          <w:tab w:leader="none" w:pos="3420" w:val="left"/>
          <w:tab w:leader="none" w:pos="1018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9"/>
          <w:szCs w:val="29"/>
          <w:b w:val="1"/>
          <w:bCs w:val="1"/>
          <w:color w:val="auto"/>
        </w:rPr>
        <w:t>Cantor</w:t>
      </w:r>
    </w:p>
    <w:p>
      <w:pPr>
        <w:spacing w:after="0" w:line="153" w:lineRule="exact"/>
        <w:rPr>
          <w:sz w:val="24"/>
          <w:szCs w:val="24"/>
          <w:color w:val="auto"/>
        </w:rPr>
      </w:pPr>
    </w:p>
    <w:p>
      <w:pPr>
        <w:ind w:left="2000"/>
        <w:spacing w:after="0"/>
        <w:rPr>
          <w:sz w:val="20"/>
          <w:szCs w:val="20"/>
          <w:color w:val="auto"/>
        </w:rPr>
      </w:pPr>
      <w:r>
        <w:rPr>
          <w:rFonts w:ascii="Arial" w:cs="Arial" w:eastAsia="Arial" w:hAnsi="Arial"/>
          <w:sz w:val="29"/>
          <w:szCs w:val="29"/>
          <w:b w:val="1"/>
          <w:bCs w:val="1"/>
          <w:color w:val="auto"/>
        </w:rPr>
        <w:t>   Oppenheimer &amp; Co.                     Truist Securities</w:t>
      </w:r>
    </w:p>
    <w:p>
      <w:pPr>
        <w:spacing w:after="0" w:line="150"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Prospectus Supplement dated         ,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TABLE OF CONTENTS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PROSPECTUS SUPPLEMENT</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8"/>
        </w:trPr>
        <w:tc>
          <w:tcPr>
            <w:tcW w:w="36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ABOUT THIS PROSPECTUS SUPPLEMENT</w:t>
            </w:r>
          </w:p>
        </w:tc>
        <w:tc>
          <w:tcPr>
            <w:tcW w:w="5580" w:type="dxa"/>
            <w:vAlign w:val="bottom"/>
            <w:gridSpan w:val="4"/>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50"/>
        </w:trPr>
        <w:tc>
          <w:tcPr>
            <w:tcW w:w="9220" w:type="dxa"/>
            <w:vAlign w:val="bottom"/>
            <w:gridSpan w:val="21"/>
          </w:tcPr>
          <w:p>
            <w:pPr>
              <w:spacing w:after="0"/>
              <w:rPr>
                <w:sz w:val="20"/>
                <w:szCs w:val="20"/>
                <w:color w:val="auto"/>
              </w:rPr>
            </w:pPr>
            <w:r>
              <w:rPr>
                <w:rFonts w:ascii="Arial" w:cs="Arial" w:eastAsia="Arial" w:hAnsi="Arial"/>
                <w:sz w:val="18"/>
                <w:szCs w:val="18"/>
                <w:color w:val="0000EE"/>
              </w:rPr>
              <w:t>CAUTIONARY NOTE REGARDING FORWARD-LOOKING STATEMENTS AND INDUSTRY DATA</w:t>
            </w:r>
          </w:p>
        </w:tc>
        <w:tc>
          <w:tcPr>
            <w:tcW w:w="1740" w:type="dxa"/>
            <w:vAlign w:val="bottom"/>
          </w:tcPr>
          <w:p>
            <w:pPr>
              <w:jc w:val="right"/>
              <w:spacing w:after="0"/>
              <w:rPr>
                <w:sz w:val="20"/>
                <w:szCs w:val="20"/>
                <w:color w:val="auto"/>
              </w:rPr>
            </w:pPr>
            <w:r>
              <w:rPr>
                <w:rFonts w:ascii="Arial" w:cs="Arial" w:eastAsia="Arial" w:hAnsi="Arial"/>
                <w:sz w:val="18"/>
                <w:szCs w:val="18"/>
                <w:color w:val="auto"/>
              </w:rPr>
              <w:t>S-2</w:t>
            </w:r>
          </w:p>
        </w:tc>
      </w:tr>
      <w:tr>
        <w:trPr>
          <w:trHeight w:val="250"/>
        </w:trPr>
        <w:tc>
          <w:tcPr>
            <w:tcW w:w="348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9"/>
              </w:rPr>
              <w:t>PROSPECTUS SUPPLEMENT SUMMARY</w:t>
            </w:r>
          </w:p>
        </w:tc>
        <w:tc>
          <w:tcPr>
            <w:tcW w:w="4360" w:type="dxa"/>
            <w:vAlign w:val="bottom"/>
            <w:tcBorders>
              <w:top w:val="single" w:sz="8" w:color="0000EE"/>
            </w:tcBorders>
            <w:gridSpan w:val="5"/>
          </w:tcPr>
          <w:p>
            <w:pPr>
              <w:spacing w:after="0"/>
              <w:rPr>
                <w:sz w:val="21"/>
                <w:szCs w:val="21"/>
                <w:color w:val="auto"/>
              </w:rPr>
            </w:pPr>
          </w:p>
        </w:tc>
        <w:tc>
          <w:tcPr>
            <w:tcW w:w="13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250"/>
        </w:trPr>
        <w:tc>
          <w:tcPr>
            <w:tcW w:w="13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8"/>
              </w:rPr>
              <w:t>THE OFFERING</w:t>
            </w:r>
          </w:p>
        </w:tc>
        <w:tc>
          <w:tcPr>
            <w:tcW w:w="7880" w:type="dxa"/>
            <w:vAlign w:val="bottom"/>
            <w:gridSpan w:val="17"/>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S-7</w:t>
            </w:r>
          </w:p>
        </w:tc>
      </w:tr>
      <w:tr>
        <w:trPr>
          <w:trHeight w:val="250"/>
        </w:trPr>
        <w:tc>
          <w:tcPr>
            <w:tcW w:w="13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7900" w:type="dxa"/>
            <w:vAlign w:val="bottom"/>
            <w:gridSpan w:val="18"/>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S-9</w:t>
            </w:r>
          </w:p>
        </w:tc>
      </w:tr>
      <w:tr>
        <w:trPr>
          <w:trHeight w:val="250"/>
        </w:trPr>
        <w:tc>
          <w:tcPr>
            <w:tcW w:w="9220" w:type="dxa"/>
            <w:vAlign w:val="bottom"/>
            <w:gridSpan w:val="21"/>
          </w:tcPr>
          <w:p>
            <w:pPr>
              <w:spacing w:after="0"/>
              <w:rPr>
                <w:sz w:val="20"/>
                <w:szCs w:val="20"/>
                <w:color w:val="auto"/>
              </w:rPr>
            </w:pPr>
            <w:r>
              <w:rPr>
                <w:rFonts w:ascii="Arial" w:cs="Arial" w:eastAsia="Arial" w:hAnsi="Arial"/>
                <w:sz w:val="18"/>
                <w:szCs w:val="18"/>
                <w:color w:val="0000EE"/>
              </w:rPr>
              <w:t>USE OF PROCEEDS</w:t>
            </w:r>
          </w:p>
        </w:tc>
        <w:tc>
          <w:tcPr>
            <w:tcW w:w="174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250"/>
        </w:trPr>
        <w:tc>
          <w:tcPr>
            <w:tcW w:w="8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9"/>
              </w:rPr>
              <w:t>DILUTION</w:t>
            </w:r>
          </w:p>
        </w:tc>
        <w:tc>
          <w:tcPr>
            <w:tcW w:w="860" w:type="dxa"/>
            <w:vAlign w:val="bottom"/>
            <w:tcBorders>
              <w:top w:val="single" w:sz="8" w:color="0000EE"/>
            </w:tcBorders>
            <w:gridSpan w:val="5"/>
          </w:tcPr>
          <w:p>
            <w:pPr>
              <w:spacing w:after="0"/>
              <w:rPr>
                <w:sz w:val="21"/>
                <w:szCs w:val="21"/>
                <w:color w:val="auto"/>
              </w:rPr>
            </w:pPr>
          </w:p>
        </w:tc>
        <w:tc>
          <w:tcPr>
            <w:tcW w:w="7500" w:type="dxa"/>
            <w:vAlign w:val="bottom"/>
            <w:gridSpan w:val="14"/>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S-12</w:t>
            </w:r>
          </w:p>
        </w:tc>
      </w:tr>
      <w:tr>
        <w:trPr>
          <w:trHeight w:val="250"/>
        </w:trPr>
        <w:tc>
          <w:tcPr>
            <w:tcW w:w="14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8"/>
              </w:rPr>
              <w:t>UNDERWRITING</w:t>
            </w:r>
          </w:p>
        </w:tc>
        <w:tc>
          <w:tcPr>
            <w:tcW w:w="7800" w:type="dxa"/>
            <w:vAlign w:val="bottom"/>
            <w:gridSpan w:val="16"/>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S-13</w:t>
            </w:r>
          </w:p>
        </w:tc>
      </w:tr>
      <w:tr>
        <w:trPr>
          <w:trHeight w:val="250"/>
        </w:trPr>
        <w:tc>
          <w:tcPr>
            <w:tcW w:w="14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7"/>
              </w:rPr>
              <w:t>LEGAL MATTERS</w:t>
            </w:r>
          </w:p>
        </w:tc>
        <w:tc>
          <w:tcPr>
            <w:tcW w:w="7740" w:type="dxa"/>
            <w:vAlign w:val="bottom"/>
            <w:gridSpan w:val="15"/>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S-24</w:t>
            </w:r>
          </w:p>
        </w:tc>
      </w:tr>
      <w:tr>
        <w:trPr>
          <w:trHeight w:val="250"/>
        </w:trPr>
        <w:tc>
          <w:tcPr>
            <w:tcW w:w="8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EXPERTS</w:t>
            </w:r>
          </w:p>
        </w:tc>
        <w:tc>
          <w:tcPr>
            <w:tcW w:w="8380" w:type="dxa"/>
            <w:vAlign w:val="bottom"/>
            <w:gridSpan w:val="20"/>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S-24</w:t>
            </w:r>
          </w:p>
        </w:tc>
      </w:tr>
      <w:tr>
        <w:trPr>
          <w:trHeight w:val="250"/>
        </w:trPr>
        <w:tc>
          <w:tcPr>
            <w:tcW w:w="39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WHERE YOU CAN FIND MORE INFORMATION</w:t>
            </w:r>
          </w:p>
        </w:tc>
        <w:tc>
          <w:tcPr>
            <w:tcW w:w="5320" w:type="dxa"/>
            <w:vAlign w:val="bottom"/>
            <w:gridSpan w:val="3"/>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S-24</w:t>
            </w:r>
          </w:p>
        </w:tc>
      </w:tr>
      <w:tr>
        <w:trPr>
          <w:trHeight w:val="250"/>
        </w:trPr>
        <w:tc>
          <w:tcPr>
            <w:tcW w:w="9220" w:type="dxa"/>
            <w:vAlign w:val="bottom"/>
            <w:gridSpan w:val="21"/>
          </w:tcPr>
          <w:p>
            <w:pPr>
              <w:spacing w:after="0"/>
              <w:rPr>
                <w:sz w:val="20"/>
                <w:szCs w:val="20"/>
                <w:color w:val="auto"/>
              </w:rPr>
            </w:pPr>
            <w:r>
              <w:rPr>
                <w:rFonts w:ascii="Arial" w:cs="Arial" w:eastAsia="Arial" w:hAnsi="Arial"/>
                <w:sz w:val="18"/>
                <w:szCs w:val="18"/>
                <w:color w:val="0000EE"/>
              </w:rPr>
              <w:t>INCORPORATION OF CERTAIN DOCUMENTS BY REFERENCE</w:t>
            </w:r>
          </w:p>
        </w:tc>
        <w:tc>
          <w:tcPr>
            <w:tcW w:w="174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518"/>
        </w:trPr>
        <w:tc>
          <w:tcPr>
            <w:tcW w:w="5280" w:type="dxa"/>
            <w:vAlign w:val="bottom"/>
            <w:tcBorders>
              <w:top w:val="single" w:sz="8" w:color="0000EE"/>
            </w:tcBorders>
            <w:gridSpan w:val="19"/>
          </w:tcPr>
          <w:p>
            <w:pPr>
              <w:spacing w:after="0"/>
              <w:rPr>
                <w:sz w:val="20"/>
                <w:szCs w:val="20"/>
                <w:color w:val="auto"/>
              </w:rPr>
            </w:pPr>
            <w:r>
              <w:rPr>
                <w:rFonts w:ascii="Arial" w:cs="Arial" w:eastAsia="Arial" w:hAnsi="Arial"/>
                <w:sz w:val="29"/>
                <w:szCs w:val="29"/>
                <w:b w:val="1"/>
                <w:bCs w:val="1"/>
                <w:color w:val="auto"/>
              </w:rPr>
              <w:t>PROSPECTUS</w:t>
            </w:r>
          </w:p>
        </w:tc>
        <w:tc>
          <w:tcPr>
            <w:tcW w:w="3940" w:type="dxa"/>
            <w:vAlign w:val="bottom"/>
            <w:gridSpan w:val="2"/>
          </w:tcPr>
          <w:p>
            <w:pPr>
              <w:spacing w:after="0"/>
              <w:rPr>
                <w:sz w:val="24"/>
                <w:szCs w:val="24"/>
                <w:color w:val="auto"/>
              </w:rPr>
            </w:pPr>
          </w:p>
        </w:tc>
        <w:tc>
          <w:tcPr>
            <w:tcW w:w="1740" w:type="dxa"/>
            <w:vAlign w:val="bottom"/>
          </w:tcPr>
          <w:p>
            <w:pPr>
              <w:spacing w:after="0"/>
              <w:rPr>
                <w:sz w:val="24"/>
                <w:szCs w:val="24"/>
                <w:color w:val="auto"/>
              </w:rPr>
            </w:pPr>
          </w:p>
        </w:tc>
      </w:tr>
      <w:tr>
        <w:trPr>
          <w:trHeight w:val="299"/>
        </w:trPr>
        <w:tc>
          <w:tcPr>
            <w:tcW w:w="9220" w:type="dxa"/>
            <w:vAlign w:val="bottom"/>
            <w:gridSpan w:val="21"/>
          </w:tcPr>
          <w:p>
            <w:pPr>
              <w:spacing w:after="0"/>
              <w:rPr>
                <w:sz w:val="20"/>
                <w:szCs w:val="20"/>
                <w:color w:val="auto"/>
              </w:rPr>
            </w:pPr>
            <w:r>
              <w:rPr>
                <w:rFonts w:ascii="Arial" w:cs="Arial" w:eastAsia="Arial" w:hAnsi="Arial"/>
                <w:sz w:val="18"/>
                <w:szCs w:val="18"/>
                <w:color w:val="0000EE"/>
              </w:rPr>
              <w:t>ABOUT THIS PROSPECTUS</w:t>
            </w: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0"/>
        </w:trPr>
        <w:tc>
          <w:tcPr>
            <w:tcW w:w="13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1040" w:type="dxa"/>
            <w:vAlign w:val="bottom"/>
            <w:tcBorders>
              <w:top w:val="single" w:sz="8" w:color="0000EE"/>
            </w:tcBorders>
            <w:gridSpan w:val="7"/>
          </w:tcPr>
          <w:p>
            <w:pPr>
              <w:spacing w:after="0"/>
              <w:rPr>
                <w:sz w:val="24"/>
                <w:szCs w:val="24"/>
                <w:color w:val="auto"/>
              </w:rPr>
            </w:pPr>
          </w:p>
        </w:tc>
        <w:tc>
          <w:tcPr>
            <w:tcW w:w="6860" w:type="dxa"/>
            <w:vAlign w:val="bottom"/>
            <w:gridSpan w:val="11"/>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1"/>
        </w:trPr>
        <w:tc>
          <w:tcPr>
            <w:tcW w:w="39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WHERE YOU CAN FIND MORE INFORMATION</w:t>
            </w:r>
          </w:p>
        </w:tc>
        <w:tc>
          <w:tcPr>
            <w:tcW w:w="5320" w:type="dxa"/>
            <w:vAlign w:val="bottom"/>
            <w:gridSpan w:val="3"/>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0"/>
        </w:trPr>
        <w:tc>
          <w:tcPr>
            <w:tcW w:w="9220" w:type="dxa"/>
            <w:vAlign w:val="bottom"/>
            <w:gridSpan w:val="21"/>
          </w:tcPr>
          <w:p>
            <w:pPr>
              <w:spacing w:after="0"/>
              <w:rPr>
                <w:sz w:val="20"/>
                <w:szCs w:val="20"/>
                <w:color w:val="auto"/>
              </w:rPr>
            </w:pPr>
            <w:r>
              <w:rPr>
                <w:rFonts w:ascii="Arial" w:cs="Arial" w:eastAsia="Arial" w:hAnsi="Arial"/>
                <w:sz w:val="18"/>
                <w:szCs w:val="18"/>
                <w:color w:val="0000EE"/>
              </w:rPr>
              <w:t>INCORPORATION OF CERTAIN DOCUMENTS BY REFERENCE</w:t>
            </w: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4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90"/>
        </w:trPr>
        <w:tc>
          <w:tcPr>
            <w:tcW w:w="9220" w:type="dxa"/>
            <w:vAlign w:val="bottom"/>
            <w:gridSpan w:val="21"/>
          </w:tcPr>
          <w:p>
            <w:pPr>
              <w:spacing w:after="0"/>
              <w:rPr>
                <w:sz w:val="20"/>
                <w:szCs w:val="20"/>
                <w:color w:val="auto"/>
              </w:rPr>
            </w:pPr>
            <w:r>
              <w:rPr>
                <w:rFonts w:ascii="Arial" w:cs="Arial" w:eastAsia="Arial" w:hAnsi="Arial"/>
                <w:sz w:val="18"/>
                <w:szCs w:val="18"/>
                <w:color w:val="0000EE"/>
              </w:rPr>
              <w:t>CAUTIONARY NOTE REGARDING FORWARD-LOOKING STATEMENTS AND INDUSTRY DATA</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0"/>
        </w:trPr>
        <w:tc>
          <w:tcPr>
            <w:tcW w:w="784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rPr>
              <w:t>ABOUT FULCRUM THERAPEUTICS, INC.</w:t>
            </w:r>
          </w:p>
        </w:tc>
        <w:tc>
          <w:tcPr>
            <w:tcW w:w="13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1"/>
        </w:trPr>
        <w:tc>
          <w:tcPr>
            <w:tcW w:w="34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USE OF PROCEEDS</w:t>
            </w:r>
          </w:p>
        </w:tc>
        <w:tc>
          <w:tcPr>
            <w:tcW w:w="5780" w:type="dxa"/>
            <w:vAlign w:val="bottom"/>
            <w:gridSpan w:val="7"/>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4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90"/>
        </w:trPr>
        <w:tc>
          <w:tcPr>
            <w:tcW w:w="9220" w:type="dxa"/>
            <w:vAlign w:val="bottom"/>
            <w:gridSpan w:val="21"/>
          </w:tcPr>
          <w:p>
            <w:pPr>
              <w:spacing w:after="0"/>
              <w:rPr>
                <w:sz w:val="20"/>
                <w:szCs w:val="20"/>
                <w:color w:val="auto"/>
              </w:rPr>
            </w:pPr>
            <w:r>
              <w:rPr>
                <w:rFonts w:ascii="Arial" w:cs="Arial" w:eastAsia="Arial" w:hAnsi="Arial"/>
                <w:sz w:val="18"/>
                <w:szCs w:val="18"/>
                <w:color w:val="0000EE"/>
              </w:rPr>
              <w:t>DESCRIPTION OF DEBT SECURITIES</w:t>
            </w:r>
          </w:p>
        </w:tc>
        <w:tc>
          <w:tcPr>
            <w:tcW w:w="1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0"/>
        </w:trPr>
        <w:tc>
          <w:tcPr>
            <w:tcW w:w="298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8"/>
              </w:rPr>
              <w:t>DESCRIPTION OF CAPITAL STOCK</w:t>
            </w:r>
          </w:p>
        </w:tc>
        <w:tc>
          <w:tcPr>
            <w:tcW w:w="200" w:type="dxa"/>
            <w:vAlign w:val="bottom"/>
            <w:tcBorders>
              <w:top w:val="single" w:sz="8" w:color="0000EE"/>
            </w:tcBorders>
          </w:tcPr>
          <w:p>
            <w:pPr>
              <w:spacing w:after="0"/>
              <w:rPr>
                <w:sz w:val="24"/>
                <w:szCs w:val="24"/>
                <w:color w:val="auto"/>
              </w:rPr>
            </w:pPr>
          </w:p>
        </w:tc>
        <w:tc>
          <w:tcPr>
            <w:tcW w:w="6040" w:type="dxa"/>
            <w:vAlign w:val="bottom"/>
            <w:gridSpan w:val="8"/>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0"/>
        </w:trPr>
        <w:tc>
          <w:tcPr>
            <w:tcW w:w="9220" w:type="dxa"/>
            <w:vAlign w:val="bottom"/>
            <w:gridSpan w:val="21"/>
          </w:tcPr>
          <w:p>
            <w:pPr>
              <w:spacing w:after="0"/>
              <w:rPr>
                <w:sz w:val="20"/>
                <w:szCs w:val="20"/>
                <w:color w:val="auto"/>
              </w:rPr>
            </w:pPr>
            <w:r>
              <w:rPr>
                <w:rFonts w:ascii="Arial" w:cs="Arial" w:eastAsia="Arial" w:hAnsi="Arial"/>
                <w:sz w:val="18"/>
                <w:szCs w:val="18"/>
                <w:color w:val="0000EE"/>
              </w:rPr>
              <w:t>DESCRIPTION OF DEPOSITARY SHARES</w:t>
            </w: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0"/>
        </w:trPr>
        <w:tc>
          <w:tcPr>
            <w:tcW w:w="21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9"/>
              </w:rPr>
              <w:t>DESCRIPTION OF UNITS</w:t>
            </w:r>
          </w:p>
        </w:tc>
        <w:tc>
          <w:tcPr>
            <w:tcW w:w="1380" w:type="dxa"/>
            <w:vAlign w:val="bottom"/>
            <w:tcBorders>
              <w:top w:val="single" w:sz="8" w:color="0000EE"/>
            </w:tcBorders>
            <w:gridSpan w:val="7"/>
          </w:tcPr>
          <w:p>
            <w:pPr>
              <w:spacing w:after="0"/>
              <w:rPr>
                <w:sz w:val="24"/>
                <w:szCs w:val="24"/>
                <w:color w:val="auto"/>
              </w:rPr>
            </w:pPr>
          </w:p>
        </w:tc>
        <w:tc>
          <w:tcPr>
            <w:tcW w:w="5720" w:type="dxa"/>
            <w:vAlign w:val="bottom"/>
            <w:gridSpan w:val="5"/>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0"/>
        </w:trPr>
        <w:tc>
          <w:tcPr>
            <w:tcW w:w="26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8"/>
              </w:rPr>
              <w:t>DESCRIPTION OF WARRANTS</w:t>
            </w:r>
          </w:p>
        </w:tc>
        <w:tc>
          <w:tcPr>
            <w:tcW w:w="6620" w:type="dxa"/>
            <w:vAlign w:val="bottom"/>
            <w:gridSpan w:val="10"/>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0"/>
        </w:trPr>
        <w:tc>
          <w:tcPr>
            <w:tcW w:w="20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FORMS OF SECURITIES</w:t>
            </w:r>
          </w:p>
        </w:tc>
        <w:tc>
          <w:tcPr>
            <w:tcW w:w="7140" w:type="dxa"/>
            <w:vAlign w:val="bottom"/>
            <w:gridSpan w:val="13"/>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1"/>
        </w:trPr>
        <w:tc>
          <w:tcPr>
            <w:tcW w:w="9220" w:type="dxa"/>
            <w:vAlign w:val="bottom"/>
            <w:gridSpan w:val="21"/>
          </w:tcPr>
          <w:p>
            <w:pPr>
              <w:spacing w:after="0"/>
              <w:rPr>
                <w:sz w:val="20"/>
                <w:szCs w:val="20"/>
                <w:color w:val="auto"/>
              </w:rPr>
            </w:pPr>
            <w:r>
              <w:rPr>
                <w:rFonts w:ascii="Arial" w:cs="Arial" w:eastAsia="Arial" w:hAnsi="Arial"/>
                <w:sz w:val="18"/>
                <w:szCs w:val="18"/>
                <w:color w:val="0000EE"/>
              </w:rPr>
              <w:t>PLAN OF DISTRIBUTION</w:t>
            </w:r>
          </w:p>
        </w:tc>
        <w:tc>
          <w:tcPr>
            <w:tcW w:w="1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0"/>
        </w:trPr>
        <w:tc>
          <w:tcPr>
            <w:tcW w:w="14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7"/>
              </w:rPr>
              <w:t>LEGAL MATTERS</w:t>
            </w:r>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13"/>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0"/>
        </w:trPr>
        <w:tc>
          <w:tcPr>
            <w:tcW w:w="9220" w:type="dxa"/>
            <w:vAlign w:val="bottom"/>
            <w:gridSpan w:val="21"/>
          </w:tcPr>
          <w:p>
            <w:pPr>
              <w:spacing w:after="0"/>
              <w:rPr>
                <w:sz w:val="20"/>
                <w:szCs w:val="20"/>
                <w:color w:val="auto"/>
              </w:rPr>
            </w:pPr>
            <w:r>
              <w:rPr>
                <w:rFonts w:ascii="Arial" w:cs="Arial" w:eastAsia="Arial" w:hAnsi="Arial"/>
                <w:sz w:val="18"/>
                <w:szCs w:val="18"/>
                <w:color w:val="0000EE"/>
              </w:rPr>
              <w:t>EXPERTS</w:t>
            </w:r>
          </w:p>
        </w:tc>
        <w:tc>
          <w:tcPr>
            <w:tcW w:w="1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5"/>
        </w:trPr>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40" w:type="dxa"/>
            <w:vAlign w:val="bottom"/>
            <w:gridSpan w:val="2"/>
          </w:tcPr>
          <w:p>
            <w:pPr>
              <w:ind w:left="120"/>
              <w:spacing w:after="0"/>
              <w:rPr>
                <w:sz w:val="20"/>
                <w:szCs w:val="20"/>
                <w:color w:val="auto"/>
              </w:rPr>
            </w:pPr>
            <w:r>
              <w:rPr>
                <w:rFonts w:ascii="Arial" w:cs="Arial" w:eastAsia="Arial" w:hAnsi="Arial"/>
                <w:sz w:val="18"/>
                <w:szCs w:val="18"/>
                <w:color w:val="auto"/>
              </w:rPr>
              <w:t>S-i</w:t>
            </w:r>
          </w:p>
        </w:tc>
        <w:tc>
          <w:tcPr>
            <w:tcW w:w="17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ABOUT THIS PROSPECTUS SUPPLEMENT</w:t>
      </w:r>
    </w:p>
    <w:p>
      <w:pPr>
        <w:spacing w:after="0" w:line="15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This document is part of a registration statement that we filed with the Securities and Exchange Commission, or the SEC, utilizing a “shelf” registration process and consists of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12" w:lineRule="exact"/>
        <w:rPr>
          <w:sz w:val="20"/>
          <w:szCs w:val="20"/>
          <w:color w:val="auto"/>
        </w:rPr>
      </w:pPr>
    </w:p>
    <w:p>
      <w:pPr>
        <w:ind w:left="120" w:right="260"/>
        <w:spacing w:after="0" w:line="242"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Neither we nor the underwriters have authorized anyone to provide any information other than that contained or incorporated by reference into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9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1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Unless the context otherwise indicates, references in this prospectus supplement to “Fulcrum” “we,” “our,” “us” and “the Company” refer, collectively, to Fulcrum Therapeutics, Inc., a Delaware corporation and its consolidated subsidiary.</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right="680"/>
        <w:spacing w:after="0" w:line="288" w:lineRule="auto"/>
        <w:rPr>
          <w:sz w:val="20"/>
          <w:szCs w:val="20"/>
          <w:color w:val="auto"/>
        </w:rPr>
      </w:pPr>
      <w:r>
        <w:rPr>
          <w:rFonts w:ascii="Arial" w:cs="Arial" w:eastAsia="Arial" w:hAnsi="Arial"/>
          <w:sz w:val="29"/>
          <w:szCs w:val="29"/>
          <w:b w:val="1"/>
          <w:bCs w:val="1"/>
          <w:color w:val="auto"/>
        </w:rPr>
        <w:t>CAUTIONARY NOTE REGARDING FORWARD-LOOKING STATEMENTS AND INDUSTRY DATA</w:t>
      </w:r>
    </w:p>
    <w:p>
      <w:pPr>
        <w:spacing w:after="0" w:line="2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This prospectus supplement, the accompanying base prospectus and the documents incorporated by reference in each of this prospectus supplement and the accompanying base prospectus include “forward-looking statements” within the meaning of Section 27A of the Securities Act of 1933, as amended, or the Securities Act, and Section 21E of the Securities Exchange Act of 1934, as amended, or the Exchange Act. All statements, other than statements of historical fact, contained or incorporated by reference in this prospectus supplement and the accompanying base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16"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color w:val="auto"/>
        </w:rPr>
        <w:t>The forward-looking statements in this prospectus supplement, the accompanying prospectus and the information incorporated by reference herein and therein include, among other things, statements about:</w:t>
      </w:r>
    </w:p>
    <w:p>
      <w:pPr>
        <w:spacing w:after="0" w:line="86" w:lineRule="exact"/>
        <w:rPr>
          <w:sz w:val="20"/>
          <w:szCs w:val="20"/>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ongoing clinical trial of pociredir, including the timing of data announcements and status of enrollment;</w:t>
      </w:r>
    </w:p>
    <w:p>
      <w:pPr>
        <w:spacing w:after="0" w:line="144"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pociredir and any other product candidates;</w:t>
      </w:r>
    </w:p>
    <w:p>
      <w:pPr>
        <w:spacing w:after="0" w:line="86" w:lineRule="exact"/>
        <w:rPr>
          <w:rFonts w:ascii="Arial" w:cs="Arial" w:eastAsia="Arial" w:hAnsi="Arial"/>
          <w:sz w:val="18"/>
          <w:szCs w:val="18"/>
          <w:color w:val="auto"/>
        </w:rPr>
      </w:pPr>
    </w:p>
    <w:p>
      <w:pPr>
        <w:ind w:left="340" w:right="700" w:hanging="224"/>
        <w:spacing w:after="0" w:line="27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86" w:lineRule="exact"/>
        <w:rPr>
          <w:rFonts w:ascii="Arial" w:cs="Arial" w:eastAsia="Arial" w:hAnsi="Arial"/>
          <w:sz w:val="18"/>
          <w:szCs w:val="18"/>
          <w:color w:val="auto"/>
        </w:rPr>
      </w:pPr>
    </w:p>
    <w:p>
      <w:pPr>
        <w:ind w:left="340" w:hanging="224"/>
        <w:spacing w:after="0" w:line="24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(including planned investigational new drug application filings) and our research and development programs, including novel therapeutic agents for the potential treatment of bone marrow failure syndromes, such as Diamond-Blackfan anemia, or DBA, 5q deletion syndrome, Shwachman-Diamond syndrome, and Fanconi anemia, and other discovery programs;</w:t>
      </w:r>
    </w:p>
    <w:p>
      <w:pPr>
        <w:spacing w:after="0" w:line="106" w:lineRule="exact"/>
        <w:rPr>
          <w:rFonts w:ascii="Arial" w:cs="Arial" w:eastAsia="Arial" w:hAnsi="Arial"/>
          <w:sz w:val="18"/>
          <w:szCs w:val="18"/>
          <w:color w:val="auto"/>
        </w:rPr>
      </w:pPr>
    </w:p>
    <w:p>
      <w:pPr>
        <w:ind w:left="340" w:right="1000" w:hanging="224"/>
        <w:spacing w:after="0" w:line="27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pociredir and any other product candidates, including in combination with other drugs and therapies;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 if approved;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progress and results of our exclusive global license agreement with CAMP4 Therapeutics Corp.;</w:t>
      </w:r>
    </w:p>
    <w:p>
      <w:pPr>
        <w:spacing w:after="0" w:line="144" w:lineRule="exact"/>
        <w:rPr>
          <w:rFonts w:ascii="Arial" w:cs="Arial" w:eastAsia="Arial" w:hAnsi="Arial"/>
          <w:sz w:val="18"/>
          <w:szCs w:val="18"/>
          <w:color w:val="auto"/>
        </w:rPr>
      </w:pPr>
    </w:p>
    <w:p>
      <w:pPr>
        <w:ind w:left="340" w:right="120" w:hanging="224"/>
        <w:spacing w:after="0" w:line="27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in-license, acquire or develop additional products, product candidates or technologies with significant commercial potential that are consistent with our commercial objectives;</w:t>
      </w:r>
    </w:p>
    <w:p>
      <w:pPr>
        <w:spacing w:after="0" w:line="86" w:lineRule="exact"/>
        <w:rPr>
          <w:rFonts w:ascii="Arial" w:cs="Arial" w:eastAsia="Arial" w:hAnsi="Arial"/>
          <w:sz w:val="18"/>
          <w:szCs w:val="18"/>
          <w:color w:val="auto"/>
        </w:rPr>
      </w:pPr>
    </w:p>
    <w:p>
      <w:pPr>
        <w:ind w:left="340" w:right="800" w:hanging="224"/>
        <w:spacing w:after="0" w:line="27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expenses, future revenue, timing of any future revenue, capital requirements and needs for additional financing;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right="540" w:hanging="224"/>
        <w:spacing w:after="0" w:line="27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including uncertainty resulting from recent changes in the administration, shifts in government policy and the evolving regulatory environment;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and license agreements or obtain additional funding;</w:t>
      </w:r>
    </w:p>
    <w:p>
      <w:pPr>
        <w:spacing w:after="0" w:line="144" w:lineRule="exact"/>
        <w:rPr>
          <w:rFonts w:ascii="Arial" w:cs="Arial" w:eastAsia="Arial" w:hAnsi="Arial"/>
          <w:sz w:val="18"/>
          <w:szCs w:val="18"/>
          <w:color w:val="auto"/>
        </w:rPr>
      </w:pPr>
    </w:p>
    <w:p>
      <w:pPr>
        <w:ind w:left="340" w:right="520" w:hanging="224"/>
        <w:spacing w:after="0" w:line="27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pandemics or other geopolitical events or prolonged government shutdowns on our business and operations, including our clinical trials and development plans, as well as our future financial results;</w:t>
      </w:r>
    </w:p>
    <w:p>
      <w:pPr>
        <w:spacing w:after="0" w:line="86" w:lineRule="exact"/>
        <w:rPr>
          <w:rFonts w:ascii="Arial" w:cs="Arial" w:eastAsia="Arial" w:hAnsi="Arial"/>
          <w:sz w:val="18"/>
          <w:szCs w:val="18"/>
          <w:color w:val="auto"/>
        </w:rPr>
      </w:pPr>
    </w:p>
    <w:p>
      <w:pPr>
        <w:ind w:left="340" w:right="200" w:hanging="224"/>
        <w:spacing w:after="0" w:line="27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 smaller reporting company as defined under the federal securities laws;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completion of, and use of proceeds from, this offering.</w:t>
      </w:r>
    </w:p>
    <w:p>
      <w:pPr>
        <w:spacing w:after="0" w:line="131" w:lineRule="exact"/>
        <w:rPr>
          <w:sz w:val="20"/>
          <w:szCs w:val="20"/>
          <w:color w:val="auto"/>
        </w:rPr>
      </w:pPr>
    </w:p>
    <w:p>
      <w:pPr>
        <w:jc w:val="both"/>
        <w:ind w:left="120" w:right="140"/>
        <w:spacing w:after="0" w:line="275" w:lineRule="auto"/>
        <w:rPr>
          <w:sz w:val="20"/>
          <w:szCs w:val="20"/>
          <w:color w:val="auto"/>
        </w:rPr>
      </w:pPr>
      <w:r>
        <w:rPr>
          <w:rFonts w:ascii="Arial" w:cs="Arial" w:eastAsia="Arial" w:hAnsi="Arial"/>
          <w:sz w:val="17"/>
          <w:szCs w:val="17"/>
          <w:color w:val="auto"/>
        </w:rPr>
        <w:t>We may not actually achieve the plans, intentions or expectations disclosed in our forward- 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w:t>
      </w:r>
    </w:p>
    <w:p>
      <w:pPr>
        <w:spacing w:after="0" w:line="84" w:lineRule="exact"/>
        <w:rPr>
          <w:sz w:val="20"/>
          <w:szCs w:val="20"/>
          <w:color w:val="auto"/>
        </w:rPr>
      </w:pPr>
    </w:p>
    <w:p>
      <w:pPr>
        <w:ind w:left="120" w:right="80"/>
        <w:spacing w:after="0" w:line="266" w:lineRule="auto"/>
        <w:rPr>
          <w:sz w:val="20"/>
          <w:szCs w:val="20"/>
          <w:color w:val="auto"/>
        </w:rPr>
      </w:pPr>
      <w:r>
        <w:rPr>
          <w:rFonts w:ascii="Arial" w:cs="Arial" w:eastAsia="Arial" w:hAnsi="Arial"/>
          <w:sz w:val="17"/>
          <w:szCs w:val="17"/>
          <w:color w:val="auto"/>
        </w:rPr>
        <w:t>You should also carefully review the “Risk Factors” in this prospectus supplement, along with the risk factors and cautionary statements described in the other documents incorporated by we file from time to time with the SEC, specifically our most recent Annual Report on Form 10-K, our Quarterly Reports on Form 10-Q and our Current Reports on Form 8-K. Our forward-looking statements do not reflect the potential impact of any future acquisitions, mergers, dispositions, collaborations, joint ventures or investments we may make or enter into.</w:t>
      </w:r>
    </w:p>
    <w:p>
      <w:pPr>
        <w:spacing w:after="0" w:line="92"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You should read this prospectus supplement, the accompanying base prospectus,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 The forward-looking statements contained in this prospectus supplement and the accompanying base prospectus and incorporated by reference herein are made as of the date hereof, and we do not assume any obligation to update any forward-looking statements except as required by applicable law.</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56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PROSPECTUS SUPPLEMENT SUMMARY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this prospectus supplement, the accompanying base prospectus and in the documents we incorporate by reference. This summary is not complete and does not contain all of the information that you should consider before making an investment decision. You should read this entire prospectus carefully, especially the risks of investing in our common stock discussed under “Risk Factors” beginning on page S-9 of this prospectus supplement and page 2 of the accompanying base prospectus, along with our consolidated financial statements and notes to those consolidated financial statements and the other documents incorporated by reference in this prospectus supplement, along with any free writing prospectus that we have authorized for use in connection with this offering.</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Company Overview</w:t>
      </w:r>
    </w:p>
    <w:p>
      <w:pPr>
        <w:spacing w:after="0" w:line="135" w:lineRule="exact"/>
        <w:rPr>
          <w:sz w:val="20"/>
          <w:szCs w:val="20"/>
          <w:color w:val="auto"/>
        </w:rPr>
      </w:pPr>
    </w:p>
    <w:p>
      <w:pPr>
        <w:jc w:val="both"/>
        <w:ind w:left="300" w:right="500"/>
        <w:spacing w:after="0" w:line="253" w:lineRule="auto"/>
        <w:rPr>
          <w:sz w:val="20"/>
          <w:szCs w:val="20"/>
          <w:color w:val="auto"/>
        </w:rPr>
      </w:pPr>
      <w:r>
        <w:rPr>
          <w:rFonts w:ascii="Arial" w:cs="Arial" w:eastAsia="Arial" w:hAnsi="Arial"/>
          <w:sz w:val="18"/>
          <w:szCs w:val="18"/>
          <w:color w:val="auto"/>
        </w:rPr>
        <w:t>We are a clinical-stage biopharmaceutical company focused on developing small molecules to improve the lives of patients with genetically defined rare diseases in areas of high unmet medical need. Our clinical-stage product candidate, pociredir, is being developed for the potential treatment of sickle cell disease, or SCD.</w:t>
      </w:r>
    </w:p>
    <w:p>
      <w:pPr>
        <w:spacing w:after="0" w:line="101" w:lineRule="exact"/>
        <w:rPr>
          <w:sz w:val="20"/>
          <w:szCs w:val="20"/>
          <w:color w:val="auto"/>
        </w:rPr>
      </w:pPr>
    </w:p>
    <w:p>
      <w:pPr>
        <w:ind w:left="300" w:right="140"/>
        <w:spacing w:after="0"/>
        <w:rPr>
          <w:sz w:val="20"/>
          <w:szCs w:val="20"/>
          <w:color w:val="auto"/>
        </w:rPr>
      </w:pPr>
      <w:r>
        <w:rPr>
          <w:rFonts w:ascii="Arial" w:cs="Arial" w:eastAsia="Arial" w:hAnsi="Arial"/>
          <w:sz w:val="18"/>
          <w:szCs w:val="18"/>
          <w:color w:val="auto"/>
        </w:rPr>
        <w:t>In addition, we developed a discovery approach that we employ to systematically identify and validate cellular drug targets that can potentially modulate gene expression to treat known root causes of genetically defined rare diseases. Our discovery approach led to the identification of pociredir for SCD, as well as other drug candidates. We continue to advance our program for the potential treatment of bone marrow failure syndromes, such as DBA, 5q deletion syndrome, Shwachman-Diamond syndrome, and Fanconi anemia, and we plan to submit an investigational new drug application, or IND, during the first half of 2026. We also presented preclinical data for FTX-6274, an oral embryonic ectoderm development, or EED, inhibitor candidate, at the European Society for Medical Oncology (ESMO) Congress 2025, demonstrating robust efficacy in castration resistant prostate cancer models.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Recent Developments</w:t>
      </w:r>
    </w:p>
    <w:p>
      <w:pPr>
        <w:spacing w:after="0" w:line="148" w:lineRule="exact"/>
        <w:rPr>
          <w:sz w:val="20"/>
          <w:szCs w:val="20"/>
          <w:color w:val="auto"/>
        </w:rPr>
      </w:pPr>
    </w:p>
    <w:p>
      <w:pPr>
        <w:ind w:left="300" w:right="20"/>
        <w:spacing w:after="0" w:line="253" w:lineRule="auto"/>
        <w:rPr>
          <w:sz w:val="20"/>
          <w:szCs w:val="20"/>
          <w:color w:val="auto"/>
        </w:rPr>
      </w:pPr>
      <w:r>
        <w:rPr>
          <w:rFonts w:ascii="Arial" w:cs="Arial" w:eastAsia="Arial" w:hAnsi="Arial"/>
          <w:sz w:val="18"/>
          <w:szCs w:val="18"/>
          <w:color w:val="auto"/>
        </w:rPr>
        <w:t>On December 6, 2025, we announced initial results from the ongoing 20 mg dose cohort (n=12) of the Phase 1b PIONEER trial of pociredir in SCD in connection with a presentation at the 67th American Society of Hematology Annual Meeting on such date. Results are as follows:</w:t>
      </w:r>
    </w:p>
    <w:p>
      <w:pPr>
        <w:spacing w:after="0" w:line="101" w:lineRule="exact"/>
        <w:rPr>
          <w:sz w:val="20"/>
          <w:szCs w:val="20"/>
          <w:color w:val="auto"/>
        </w:rPr>
      </w:pPr>
    </w:p>
    <w:p>
      <w:pPr>
        <w:ind w:left="1120" w:right="20" w:hanging="407"/>
        <w:spacing w:after="0" w:line="265"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Mean absolute fetal hemoglobin, or HbF, increased by 9.9% at 6 weeks of treatment with pociredir (vs. 5.6% at Week 6 and 8.6% at Week 12 in the 12 mg cohort), increasing from a baseline of 7.1% to 16.9%. As of the November 11, 2025 data cutoff, 7 of 12 patients (58%) achieved absolute HbF levels </w:t>
      </w:r>
      <w:r>
        <w:rPr>
          <w:rFonts w:ascii="Times New Roman" w:cs="Times New Roman" w:eastAsia="Times New Roman" w:hAnsi="Times New Roman"/>
          <w:sz w:val="17"/>
          <w:szCs w:val="17"/>
          <w:color w:val="auto"/>
        </w:rPr>
        <w:t>≥</w:t>
      </w:r>
      <w:r>
        <w:rPr>
          <w:rFonts w:ascii="Arial" w:cs="Arial" w:eastAsia="Arial" w:hAnsi="Arial"/>
          <w:sz w:val="17"/>
          <w:szCs w:val="17"/>
          <w:color w:val="auto"/>
        </w:rPr>
        <w:t>20% at Week 6, and all patients demonstrated a robust HbF increase. HbF levels of 20% are associated with ~90% of patients experiencing zero vaso-occlusive crises, or VOCs, per year, based on real-world data we presented at the 20th Annual Sickle Cell &amp; Thalassemia Conference in October 2025.</w:t>
      </w:r>
    </w:p>
    <w:p>
      <w:pPr>
        <w:spacing w:after="0" w:line="94" w:lineRule="exact"/>
        <w:rPr>
          <w:rFonts w:ascii="Arial" w:cs="Arial" w:eastAsia="Arial" w:hAnsi="Arial"/>
          <w:sz w:val="17"/>
          <w:szCs w:val="17"/>
          <w:color w:val="auto"/>
        </w:rPr>
      </w:pPr>
    </w:p>
    <w:p>
      <w:pPr>
        <w:ind w:left="1120" w:right="120" w:hanging="407"/>
        <w:spacing w:after="0" w:line="24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clear dose-response was observed, with a &gt;3.75-fold mean induction of HbF at Week 12 among patients who reached the Week 12 visit as of the November 11, 2025 data cutoff (n=6), compared to a 2.4-fold mean induction at Week 12 in the 12 mg cohort. The average baseline for these six patients is 5.0% as compared to 7.1% for the full cohort. Fold induction accounts for differences in baseline HbF levels and enables a normalized comparison of dose-response.</w:t>
      </w:r>
    </w:p>
    <w:p>
      <w:pPr>
        <w:spacing w:after="0" w:line="106" w:lineRule="exact"/>
        <w:rPr>
          <w:rFonts w:ascii="Arial" w:cs="Arial" w:eastAsia="Arial" w:hAnsi="Arial"/>
          <w:sz w:val="18"/>
          <w:szCs w:val="18"/>
          <w:color w:val="auto"/>
        </w:rPr>
      </w:pPr>
    </w:p>
    <w:p>
      <w:pPr>
        <w:ind w:left="1120" w:right="380" w:hanging="407"/>
        <w:spacing w:after="0" w:line="271"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proportion of F-cells (HbF-containing red blood cells) increased from a mean of 31% at baseline to 58% at Week 6 (n=9), indicating early progression toward pan-cellular HbF induction (evenly distributed</w:t>
      </w: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93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40" w:right="220"/>
        <w:spacing w:after="0" w:line="253" w:lineRule="auto"/>
        <w:rPr>
          <w:sz w:val="20"/>
          <w:szCs w:val="20"/>
          <w:color w:val="auto"/>
        </w:rPr>
      </w:pPr>
      <w:r>
        <w:rPr>
          <w:rFonts w:ascii="Arial" w:cs="Arial" w:eastAsia="Arial" w:hAnsi="Arial"/>
          <w:sz w:val="18"/>
          <w:szCs w:val="18"/>
          <w:color w:val="auto"/>
        </w:rPr>
        <w:t>across red blood cells). F-cells are resistant to sickling and hemolysis because of HbF-mediated inhibition of sickle hemoglobin (HbS) polymerization. Consequently, higher proportions of F-cells are associated with improved red blood cell health.</w:t>
      </w:r>
    </w:p>
    <w:p>
      <w:pPr>
        <w:spacing w:after="0" w:line="101" w:lineRule="exact"/>
        <w:rPr>
          <w:sz w:val="20"/>
          <w:szCs w:val="20"/>
          <w:color w:val="auto"/>
        </w:rPr>
      </w:pPr>
    </w:p>
    <w:p>
      <w:pPr>
        <w:ind w:left="1120" w:hanging="407"/>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Markers of hemolysis and erythropoiesis improved at Week 6:</w:t>
      </w:r>
    </w:p>
    <w:p>
      <w:pPr>
        <w:spacing w:after="0" w:line="144" w:lineRule="exact"/>
        <w:rPr>
          <w:rFonts w:ascii="Arial" w:cs="Arial" w:eastAsia="Arial" w:hAnsi="Arial"/>
          <w:sz w:val="18"/>
          <w:szCs w:val="18"/>
          <w:color w:val="auto"/>
        </w:rPr>
      </w:pPr>
    </w:p>
    <w:p>
      <w:pPr>
        <w:ind w:left="1640" w:hanging="185"/>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Indirect bilirubin decreased by 37% (vs. 37% at Week 12 in the 12 mg cohort)</w:t>
      </w:r>
    </w:p>
    <w:p>
      <w:pPr>
        <w:spacing w:after="0" w:line="144" w:lineRule="exact"/>
        <w:rPr>
          <w:rFonts w:ascii="Arial" w:cs="Arial" w:eastAsia="Arial" w:hAnsi="Arial"/>
          <w:sz w:val="18"/>
          <w:szCs w:val="18"/>
          <w:color w:val="auto"/>
        </w:rPr>
      </w:pPr>
    </w:p>
    <w:p>
      <w:pPr>
        <w:ind w:left="1640" w:hanging="185"/>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Lactate dehydrogenase decreased by 37% (vs. 28% at Week 12 in the 12 mg cohort)</w:t>
      </w:r>
    </w:p>
    <w:p>
      <w:pPr>
        <w:spacing w:after="0" w:line="144" w:lineRule="exact"/>
        <w:rPr>
          <w:rFonts w:ascii="Arial" w:cs="Arial" w:eastAsia="Arial" w:hAnsi="Arial"/>
          <w:sz w:val="18"/>
          <w:szCs w:val="18"/>
          <w:color w:val="auto"/>
        </w:rPr>
      </w:pPr>
    </w:p>
    <w:p>
      <w:pPr>
        <w:ind w:left="1640" w:hanging="185"/>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Red cell distribution width decreased by 22% (vs. 27% at Week 12 in the 12 mg cohort)</w:t>
      </w:r>
    </w:p>
    <w:p>
      <w:pPr>
        <w:spacing w:after="0" w:line="144" w:lineRule="exact"/>
        <w:rPr>
          <w:rFonts w:ascii="Arial" w:cs="Arial" w:eastAsia="Arial" w:hAnsi="Arial"/>
          <w:sz w:val="18"/>
          <w:szCs w:val="18"/>
          <w:color w:val="auto"/>
        </w:rPr>
      </w:pPr>
    </w:p>
    <w:p>
      <w:pPr>
        <w:ind w:left="1640" w:right="140" w:hanging="185"/>
        <w:spacing w:after="0" w:line="271" w:lineRule="auto"/>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Reticulocyte counts decreased by 33% (vs. 31% at Week 12 in the 12 mg cohort), indicating healthier bone marrow function</w:t>
      </w:r>
    </w:p>
    <w:p>
      <w:pPr>
        <w:spacing w:after="0" w:line="86" w:lineRule="exact"/>
        <w:rPr>
          <w:rFonts w:ascii="Arial" w:cs="Arial" w:eastAsia="Arial" w:hAnsi="Arial"/>
          <w:sz w:val="18"/>
          <w:szCs w:val="18"/>
          <w:color w:val="auto"/>
        </w:rPr>
      </w:pPr>
    </w:p>
    <w:p>
      <w:pPr>
        <w:ind w:left="1120" w:right="380" w:hanging="407"/>
        <w:spacing w:after="0" w:line="253"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Mean hemoglobin increased by 0.8 g/dL at Week 6 (vs. 0.9 g/dL at Week 12 in the 12 mg cohort), increasing from a baseline of 7.3 g/dL to 8.1 g/dL. Combined with reductions in reticulocyte counts, these findings indicate decreased red blood cell destruction and improvements in anemia.</w:t>
      </w:r>
    </w:p>
    <w:p>
      <w:pPr>
        <w:spacing w:after="0" w:line="101" w:lineRule="exact"/>
        <w:rPr>
          <w:rFonts w:ascii="Arial" w:cs="Arial" w:eastAsia="Arial" w:hAnsi="Arial"/>
          <w:sz w:val="18"/>
          <w:szCs w:val="18"/>
          <w:color w:val="auto"/>
        </w:rPr>
      </w:pPr>
    </w:p>
    <w:p>
      <w:pPr>
        <w:ind w:left="1120" w:hanging="407"/>
        <w:spacing w:after="0" w:line="253"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trend of reduced VOC frequency was observed relative to patients’ documented VOC frequency during the 6–12 months prior to enrollment. As of November 11, 2025 data cut off, eight of 12 patients (67%) reported no VOCs during the treatment period.</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Pociredir Safety Update</w:t>
      </w:r>
    </w:p>
    <w:p>
      <w:pPr>
        <w:spacing w:after="0" w:line="148" w:lineRule="exact"/>
        <w:rPr>
          <w:sz w:val="20"/>
          <w:szCs w:val="20"/>
          <w:color w:val="auto"/>
        </w:rPr>
      </w:pPr>
    </w:p>
    <w:p>
      <w:pPr>
        <w:ind w:left="1120" w:right="340" w:hanging="407"/>
        <w:spacing w:after="0" w:line="271"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November 11, 2025 data cutoff, pociredir has been dosed in 148 adults, including 89 subjects in multiple dose cohorts up to 12 weeks.</w:t>
      </w:r>
    </w:p>
    <w:p>
      <w:pPr>
        <w:spacing w:after="0" w:line="86" w:lineRule="exact"/>
        <w:rPr>
          <w:rFonts w:ascii="Arial" w:cs="Arial" w:eastAsia="Arial" w:hAnsi="Arial"/>
          <w:sz w:val="18"/>
          <w:szCs w:val="18"/>
          <w:color w:val="auto"/>
        </w:rPr>
      </w:pPr>
    </w:p>
    <w:p>
      <w:pPr>
        <w:ind w:left="1640" w:hanging="185"/>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103 healthy subjects, including 44 who received pociredir for 10 to 14 days treatment duration</w:t>
      </w:r>
    </w:p>
    <w:p>
      <w:pPr>
        <w:spacing w:after="0" w:line="144" w:lineRule="exact"/>
        <w:rPr>
          <w:rFonts w:ascii="Arial" w:cs="Arial" w:eastAsia="Arial" w:hAnsi="Arial"/>
          <w:sz w:val="18"/>
          <w:szCs w:val="18"/>
          <w:color w:val="auto"/>
        </w:rPr>
      </w:pPr>
    </w:p>
    <w:p>
      <w:pPr>
        <w:ind w:left="1640" w:hanging="185"/>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45 SCD patients who received pociredir for up to 12 weeks treatment duration</w:t>
      </w:r>
    </w:p>
    <w:p>
      <w:pPr>
        <w:spacing w:after="0" w:line="144" w:lineRule="exact"/>
        <w:rPr>
          <w:rFonts w:ascii="Arial" w:cs="Arial" w:eastAsia="Arial" w:hAnsi="Arial"/>
          <w:sz w:val="18"/>
          <w:szCs w:val="18"/>
          <w:color w:val="auto"/>
        </w:rPr>
      </w:pPr>
    </w:p>
    <w:p>
      <w:pPr>
        <w:ind w:left="1120" w:right="80" w:hanging="407"/>
        <w:spacing w:after="0" w:line="24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safety profile observed in the 20 mg dose cohort as of the November 11, 2025 data cutoff, together with follow-up data from the 12 mg dose cohort, remained consistent with previously reported safety data. Pociredir was generally well-tolerated, with no treatment-related serious adverse events and no discontinuations due to treatment-related adverse events as of the November 11, 2025, data cutoff.</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48" w:lineRule="exact"/>
        <w:rPr>
          <w:sz w:val="20"/>
          <w:szCs w:val="20"/>
          <w:color w:val="auto"/>
        </w:rPr>
      </w:pPr>
    </w:p>
    <w:p>
      <w:pPr>
        <w:ind w:left="300" w:right="240"/>
        <w:spacing w:after="0" w:line="259" w:lineRule="auto"/>
        <w:rPr>
          <w:sz w:val="20"/>
          <w:szCs w:val="20"/>
          <w:color w:val="auto"/>
        </w:rPr>
      </w:pPr>
      <w:r>
        <w:rPr>
          <w:rFonts w:ascii="Arial" w:cs="Arial" w:eastAsia="Arial" w:hAnsi="Arial"/>
          <w:sz w:val="17"/>
          <w:szCs w:val="17"/>
          <w:color w:val="auto"/>
        </w:rPr>
        <w:t>We were incorporated under the laws of the State of Delaware on August 18, 2015 under the name Fulcrum Therapeutics, Inc. Our principal executive offices are located at 26 Landsdowne Street, Cambridge, Massachusetts 02139, and our telephone number is</w:t>
      </w:r>
    </w:p>
    <w:p>
      <w:pPr>
        <w:spacing w:after="0" w:line="1" w:lineRule="exact"/>
        <w:rPr>
          <w:sz w:val="20"/>
          <w:szCs w:val="20"/>
          <w:color w:val="auto"/>
        </w:rPr>
      </w:pPr>
    </w:p>
    <w:p>
      <w:pPr>
        <w:ind w:left="300" w:right="160" w:hanging="6"/>
        <w:spacing w:after="0" w:line="242" w:lineRule="auto"/>
        <w:tabs>
          <w:tab w:leader="none" w:pos="770" w:val="left"/>
        </w:tabs>
        <w:numPr>
          <w:ilvl w:val="0"/>
          <w:numId w:val="7"/>
        </w:numPr>
        <w:rPr>
          <w:rFonts w:ascii="Arial" w:cs="Arial" w:eastAsia="Arial" w:hAnsi="Arial"/>
          <w:sz w:val="18"/>
          <w:szCs w:val="18"/>
          <w:color w:val="auto"/>
        </w:rPr>
      </w:pPr>
      <w:r>
        <w:rPr>
          <w:rFonts w:ascii="Arial" w:cs="Arial" w:eastAsia="Arial" w:hAnsi="Arial"/>
          <w:sz w:val="18"/>
          <w:szCs w:val="18"/>
          <w:color w:val="auto"/>
        </w:rPr>
        <w:t>651-8851. Our website address is http://www.fulcrumtx.com. The information contained on, or that can be accessed through, our website is not a part of this prospectus supplement. We have included our website address in this prospectus supplement solely as an inactive textual reference.</w:t>
      </w:r>
    </w:p>
    <w:p>
      <w:pPr>
        <w:spacing w:after="0" w:line="112" w:lineRule="exact"/>
        <w:rPr>
          <w:sz w:val="20"/>
          <w:szCs w:val="20"/>
          <w:color w:val="auto"/>
        </w:rPr>
      </w:pPr>
    </w:p>
    <w:p>
      <w:pPr>
        <w:ind w:left="300" w:right="120"/>
        <w:spacing w:after="0" w:line="225" w:lineRule="auto"/>
        <w:rPr>
          <w:sz w:val="20"/>
          <w:szCs w:val="20"/>
          <w:color w:val="auto"/>
        </w:rPr>
      </w:pPr>
      <w:r>
        <w:rPr>
          <w:rFonts w:ascii="Arial" w:cs="Arial" w:eastAsia="Arial" w:hAnsi="Arial"/>
          <w:sz w:val="18"/>
          <w:szCs w:val="18"/>
          <w:color w:val="auto"/>
        </w:rPr>
        <w:t xml:space="preserve">We own or have rights to, or have applied for, trademarks, service marks and trade names that we use in connection with the operation of our business, including our corporate name, logos and website names. Other trademarks, service marks and trade names appearing in this prospectus supplement and the accompanying base prospectus are the property of their respective owners. Solely for convenience, some of the trademarks, service marks and trade names referred to in this prospectus supplement and the accompanying base prospectus are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124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31242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 Smaller Reporting Company</w:t>
      </w:r>
    </w:p>
    <w:p>
      <w:pPr>
        <w:spacing w:after="0" w:line="135" w:lineRule="exact"/>
        <w:rPr>
          <w:sz w:val="20"/>
          <w:szCs w:val="20"/>
          <w:color w:val="auto"/>
        </w:rPr>
      </w:pPr>
    </w:p>
    <w:p>
      <w:pPr>
        <w:ind w:left="300"/>
        <w:spacing w:after="0" w:line="242" w:lineRule="auto"/>
        <w:rPr>
          <w:sz w:val="20"/>
          <w:szCs w:val="20"/>
          <w:color w:val="auto"/>
        </w:rPr>
      </w:pPr>
      <w:r>
        <w:rPr>
          <w:rFonts w:ascii="Arial" w:cs="Arial" w:eastAsia="Arial" w:hAnsi="Arial"/>
          <w:sz w:val="18"/>
          <w:szCs w:val="18"/>
          <w:color w:val="auto"/>
        </w:rPr>
        <w:t>We are a “smaller reporting company,” meaning that the market value of our stock held by non-affiliates is less than $700 million as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as of our most recently completed second fiscal quarter or (ii) our annual revenue was less than $100 million during the most recently completed fiscal year and the market value of our stock held by non-affiliates is less than $700 million as of our most recently completed second fiscal quarter.</w:t>
      </w:r>
    </w:p>
    <w:p>
      <w:pPr>
        <w:spacing w:after="0" w:line="111" w:lineRule="exact"/>
        <w:rPr>
          <w:sz w:val="20"/>
          <w:szCs w:val="20"/>
          <w:color w:val="auto"/>
        </w:rPr>
      </w:pPr>
    </w:p>
    <w:p>
      <w:pPr>
        <w:ind w:left="300" w:right="100"/>
        <w:spacing w:after="0" w:line="271" w:lineRule="auto"/>
        <w:rPr>
          <w:sz w:val="20"/>
          <w:szCs w:val="20"/>
          <w:color w:val="auto"/>
        </w:rPr>
      </w:pPr>
      <w:r>
        <w:rPr>
          <w:rFonts w:ascii="Arial" w:cs="Arial" w:eastAsia="Arial" w:hAnsi="Arial"/>
          <w:sz w:val="18"/>
          <w:szCs w:val="18"/>
          <w:color w:val="auto"/>
        </w:rPr>
        <w:t>As long as we remain a smaller reporting company, we may continue to rely on exemptions from certain disclosure requirements that are applicable to public companies that are not smaller reporting companies. These scaled disclosure requirements include:</w:t>
      </w:r>
    </w:p>
    <w:p>
      <w:pPr>
        <w:spacing w:after="0" w:line="86" w:lineRule="exact"/>
        <w:rPr>
          <w:sz w:val="20"/>
          <w:szCs w:val="20"/>
          <w:color w:val="auto"/>
        </w:rPr>
      </w:pPr>
    </w:p>
    <w:p>
      <w:pPr>
        <w:ind w:left="480" w:right="580" w:hanging="186"/>
        <w:spacing w:after="0" w:line="271"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86" w:lineRule="exact"/>
        <w:rPr>
          <w:rFonts w:ascii="Arial" w:cs="Arial" w:eastAsia="Arial" w:hAnsi="Arial"/>
          <w:sz w:val="18"/>
          <w:szCs w:val="18"/>
          <w:color w:val="auto"/>
        </w:rPr>
      </w:pPr>
    </w:p>
    <w:p>
      <w:pPr>
        <w:ind w:left="480" w:right="140" w:hanging="186"/>
        <w:spacing w:after="0" w:line="25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spacing w:after="0" w:line="101" w:lineRule="exact"/>
        <w:rPr>
          <w:rFonts w:ascii="Arial" w:cs="Arial" w:eastAsia="Arial" w:hAnsi="Arial"/>
          <w:sz w:val="18"/>
          <w:szCs w:val="18"/>
          <w:color w:val="auto"/>
        </w:rPr>
      </w:pPr>
    </w:p>
    <w:p>
      <w:pPr>
        <w:ind w:left="480" w:hanging="186"/>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44" w:lineRule="exact"/>
        <w:rPr>
          <w:sz w:val="20"/>
          <w:szCs w:val="20"/>
          <w:color w:val="auto"/>
        </w:rPr>
      </w:pPr>
    </w:p>
    <w:p>
      <w:pPr>
        <w:ind w:left="300" w:right="200"/>
        <w:spacing w:after="0" w:line="253" w:lineRule="auto"/>
        <w:rPr>
          <w:sz w:val="20"/>
          <w:szCs w:val="20"/>
          <w:color w:val="auto"/>
        </w:rPr>
      </w:pPr>
      <w:r>
        <w:rPr>
          <w:rFonts w:ascii="Arial" w:cs="Arial" w:eastAsia="Arial" w:hAnsi="Arial"/>
          <w:sz w:val="18"/>
          <w:szCs w:val="18"/>
          <w:color w:val="auto"/>
        </w:rPr>
        <w:t>We cannot predict whether investors will find our common stock less attractive if we continue to rely on these exemptions. If some investors find our common stock less attractive as a result, there may be a less active trading market for our common stock and our stock price may be more volatile.</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044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04444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THE OFFERING</w:t>
      </w:r>
    </w:p>
    <w:p>
      <w:pPr>
        <w:sectPr>
          <w:pgSz w:w="11900" w:h="16838" w:orient="portrait"/>
          <w:cols w:equalWidth="0" w:num="1">
            <w:col w:w="10900"/>
          </w:cols>
          <w:pgMar w:left="320" w:top="455" w:right="679" w:bottom="1440" w:gutter="0" w:footer="0" w:header="0"/>
        </w:sectPr>
      </w:pPr>
    </w:p>
    <w:p>
      <w:pPr>
        <w:spacing w:after="0" w:line="179" w:lineRule="exact"/>
        <w:rPr>
          <w:sz w:val="20"/>
          <w:szCs w:val="20"/>
          <w:color w:val="auto"/>
        </w:rPr>
      </w:pPr>
    </w:p>
    <w:p>
      <w:pPr>
        <w:ind w:left="380" w:hanging="78"/>
        <w:spacing w:after="0" w:line="281" w:lineRule="auto"/>
        <w:rPr>
          <w:sz w:val="20"/>
          <w:szCs w:val="20"/>
          <w:color w:val="auto"/>
        </w:rPr>
      </w:pPr>
      <w:r>
        <w:rPr>
          <w:rFonts w:ascii="Arial" w:cs="Arial" w:eastAsia="Arial" w:hAnsi="Arial"/>
          <w:sz w:val="18"/>
          <w:szCs w:val="18"/>
          <w:b w:val="1"/>
          <w:bCs w:val="1"/>
          <w:color w:val="auto"/>
        </w:rPr>
        <w:t>Common stock offered by us pursuant to this prospectus supplement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$150,000,000 of </w:t>
      </w:r>
      <w:r>
        <w:rPr>
          <w:rFonts w:ascii="Arial" w:cs="Arial" w:eastAsia="Arial" w:hAnsi="Arial"/>
          <w:sz w:val="17"/>
          <w:szCs w:val="17"/>
          <w:b w:val="1"/>
          <w:bCs w:val="1"/>
          <w:color w:val="auto"/>
        </w:rPr>
        <w:t>shares of common stock</w:t>
      </w:r>
    </w:p>
    <w:p>
      <w:pPr>
        <w:spacing w:after="0" w:line="371" w:lineRule="exact"/>
        <w:rPr>
          <w:sz w:val="20"/>
          <w:szCs w:val="20"/>
          <w:color w:val="auto"/>
        </w:rPr>
      </w:pPr>
    </w:p>
    <w:p>
      <w:pPr>
        <w:sectPr>
          <w:pgSz w:w="11900" w:h="16838" w:orient="portrait"/>
          <w:cols w:equalWidth="0" w:num="2">
            <w:col w:w="4180" w:space="160"/>
            <w:col w:w="6560"/>
          </w:cols>
          <w:pgMar w:left="320" w:top="455" w:right="67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Option to purchase additional shares</w:t>
      </w:r>
    </w:p>
    <w:p>
      <w:pPr>
        <w:spacing w:after="0" w:line="20" w:lineRule="exact"/>
        <w:rPr>
          <w:sz w:val="20"/>
          <w:szCs w:val="20"/>
          <w:color w:val="auto"/>
        </w:rPr>
      </w:pPr>
      <w:r>
        <w:rPr>
          <w:sz w:val="20"/>
          <w:szCs w:val="20"/>
          <w:color w:val="auto"/>
        </w:rPr>
        <w:br w:type="column"/>
      </w:r>
    </w:p>
    <w:p>
      <w:pPr>
        <w:ind w:right="980"/>
        <w:spacing w:after="0" w:line="271" w:lineRule="auto"/>
        <w:rPr>
          <w:sz w:val="20"/>
          <w:szCs w:val="20"/>
          <w:color w:val="auto"/>
        </w:rPr>
      </w:pPr>
      <w:r>
        <w:rPr>
          <w:rFonts w:ascii="Arial" w:cs="Arial" w:eastAsia="Arial" w:hAnsi="Arial"/>
          <w:sz w:val="18"/>
          <w:szCs w:val="18"/>
          <w:color w:val="auto"/>
        </w:rPr>
        <w:t>The underwriters have a 30-day option to purchase up to an additional $22,500,000 of shares of common stock.</w:t>
      </w:r>
    </w:p>
    <w:p>
      <w:pPr>
        <w:spacing w:after="0" w:line="86"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Arial" w:cs="Arial" w:eastAsia="Arial" w:hAnsi="Arial"/>
          <w:sz w:val="18"/>
          <w:szCs w:val="18"/>
          <w:b w:val="1"/>
          <w:bCs w:val="1"/>
          <w:color w:val="auto"/>
        </w:rPr>
        <w:t xml:space="preserve">Common stock to be outstanding immediately </w:t>
      </w:r>
      <w:r>
        <w:rPr>
          <w:rFonts w:ascii="Arial" w:cs="Arial" w:eastAsia="Arial" w:hAnsi="Arial"/>
          <w:sz w:val="18"/>
          <w:szCs w:val="18"/>
          <w:color w:val="auto"/>
        </w:rPr>
        <w:t xml:space="preserve">         shares (         shares if the underwriters exercise their option to purchase</w:t>
      </w:r>
    </w:p>
    <w:p>
      <w:pPr>
        <w:sectPr>
          <w:pgSz w:w="11900" w:h="16838" w:orient="portrait"/>
          <w:cols w:equalWidth="0" w:num="1">
            <w:col w:w="10900"/>
          </w:cols>
          <w:pgMar w:left="320" w:top="455" w:right="679" w:bottom="1440" w:gutter="0" w:footer="0" w:header="0"/>
          <w:type w:val="continuous"/>
        </w:sectPr>
      </w:pPr>
    </w:p>
    <w:p>
      <w:pPr>
        <w:spacing w:after="0" w:line="4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after this offering</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in full).</w:t>
      </w:r>
    </w:p>
    <w:p>
      <w:pPr>
        <w:spacing w:after="0" w:line="125"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ind w:right="180"/>
        <w:spacing w:after="0" w:line="253" w:lineRule="auto"/>
        <w:rPr>
          <w:sz w:val="20"/>
          <w:szCs w:val="20"/>
          <w:color w:val="auto"/>
        </w:rPr>
      </w:pPr>
      <w:r>
        <w:rPr>
          <w:rFonts w:ascii="Arial" w:cs="Arial" w:eastAsia="Arial" w:hAnsi="Arial"/>
          <w:sz w:val="18"/>
          <w:szCs w:val="18"/>
          <w:color w:val="auto"/>
        </w:rPr>
        <w:t>We estimate that the net proceeds to us from this offering will be approximately $      million, or approximately $      million if the underwriters exercise their option to purchase additional shares in full.</w:t>
      </w:r>
    </w:p>
    <w:p>
      <w:pPr>
        <w:spacing w:after="0" w:line="101"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4340" w:right="60"/>
        <w:spacing w:after="0" w:line="255" w:lineRule="auto"/>
        <w:rPr>
          <w:sz w:val="20"/>
          <w:szCs w:val="20"/>
          <w:color w:val="auto"/>
        </w:rPr>
      </w:pPr>
      <w:r>
        <w:rPr>
          <w:rFonts w:ascii="Arial" w:cs="Arial" w:eastAsia="Arial" w:hAnsi="Arial"/>
          <w:sz w:val="17"/>
          <w:szCs w:val="17"/>
          <w:color w:val="auto"/>
        </w:rPr>
        <w:t>We currently intend to use the net proceeds from the sale of securities offered under this prospectus supplement primarily for general corporate purposes, which may include working capital and capital expenditures, research and development expenses, including 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our business. See “Use of Proceeds” in this prospectus supplement for more information.</w:t>
      </w:r>
    </w:p>
    <w:p>
      <w:pPr>
        <w:sectPr>
          <w:pgSz w:w="11900" w:h="16838" w:orient="portrait"/>
          <w:cols w:equalWidth="0" w:num="1">
            <w:col w:w="10900"/>
          </w:cols>
          <w:pgMar w:left="320" w:top="455" w:right="679" w:bottom="1440" w:gutter="0" w:footer="0" w:header="0"/>
          <w:type w:val="continuous"/>
        </w:sectPr>
      </w:pPr>
    </w:p>
    <w:p>
      <w:pPr>
        <w:spacing w:after="0" w:line="10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You should read the “Risk Factors” in this prospectus supplement, the accompanying base prospectus, and the risks set forth under the caption “Item 1A. Risk Factors” included in our Quarterly Report on Form 10-Q for the three months ended September 30, 2025 and the other documents incorporated by reference into this prospectus supplement for a discussion of factors to consider carefully before deciding to purchase shares of our common stock.</w:t>
      </w:r>
    </w:p>
    <w:p>
      <w:pPr>
        <w:spacing w:after="0" w:line="111"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“FULC”</w:t>
      </w:r>
    </w:p>
    <w:p>
      <w:pPr>
        <w:spacing w:after="0" w:line="156"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right="260"/>
        <w:spacing w:after="0" w:line="271" w:lineRule="auto"/>
        <w:rPr>
          <w:sz w:val="20"/>
          <w:szCs w:val="20"/>
          <w:color w:val="auto"/>
        </w:rPr>
      </w:pPr>
      <w:r>
        <w:rPr>
          <w:rFonts w:ascii="Arial" w:cs="Arial" w:eastAsia="Arial" w:hAnsi="Arial"/>
          <w:sz w:val="18"/>
          <w:szCs w:val="18"/>
          <w:color w:val="auto"/>
        </w:rPr>
        <w:t>The number of shares of our common stock shown above to be outstanding immediately after this offering is based on 54,108,438 shares of common stock outstanding as of September 30, 2025 and excludes the following:</w:t>
      </w:r>
    </w:p>
    <w:p>
      <w:pPr>
        <w:spacing w:after="0" w:line="86" w:lineRule="exact"/>
        <w:rPr>
          <w:sz w:val="20"/>
          <w:szCs w:val="20"/>
          <w:color w:val="auto"/>
        </w:rPr>
      </w:pPr>
    </w:p>
    <w:p>
      <w:pPr>
        <w:ind w:left="480" w:right="600" w:hanging="186"/>
        <w:spacing w:after="0" w:line="271"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11,870,785 shares of common stock issuable upon the exercise of stock options outstanding as of September 30, 2025 at a weighted average exercise price of $6.57 per share;</w:t>
      </w: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00"/>
          </w:cols>
          <w:pgMar w:left="320" w:top="455" w:right="6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764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27641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hanging="186"/>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69,486 shares of common stock issuable upon vesting of restricted stock units, or RSUs, outstanding as of September 30, 2025;</w:t>
      </w:r>
    </w:p>
    <w:p>
      <w:pPr>
        <w:spacing w:after="0" w:line="144" w:lineRule="exact"/>
        <w:rPr>
          <w:rFonts w:ascii="Arial" w:cs="Arial" w:eastAsia="Arial" w:hAnsi="Arial"/>
          <w:sz w:val="18"/>
          <w:szCs w:val="18"/>
          <w:color w:val="auto"/>
        </w:rPr>
      </w:pPr>
    </w:p>
    <w:p>
      <w:pPr>
        <w:ind w:left="480" w:hanging="186"/>
        <w:spacing w:after="0" w:line="247"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4,779,386, 1,681,184 and 2,052,030 shares of our common stock available for future issuance as of September 30, 2025 under our 2019 Stock Incentive Plan, or the 2019 Plan, our 2022 Inducement Stock Incentive Plan, or the Inducement Plan, and our 2019 Employee Stock Purchase Plan, or the ESPP, respectively, as well as any automatic increases in the number of shares of common stock reserved under these plans; and</w:t>
      </w:r>
    </w:p>
    <w:p>
      <w:pPr>
        <w:spacing w:after="0" w:line="106" w:lineRule="exact"/>
        <w:rPr>
          <w:rFonts w:ascii="Arial" w:cs="Arial" w:eastAsia="Arial" w:hAnsi="Arial"/>
          <w:sz w:val="18"/>
          <w:szCs w:val="18"/>
          <w:color w:val="auto"/>
        </w:rPr>
      </w:pPr>
    </w:p>
    <w:p>
      <w:pPr>
        <w:ind w:left="480" w:right="40" w:hanging="186"/>
        <w:spacing w:after="0" w:line="271"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8,500,000 shares of common stock issuable upon the exercise of pre-funded warrants outstanding as of September 30, 2025 at an exercise price of $0.001 per share.</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Unless otherwise indicated, all information in this prospectus supplement:</w:t>
      </w:r>
    </w:p>
    <w:p>
      <w:pPr>
        <w:spacing w:after="0" w:line="144" w:lineRule="exact"/>
        <w:rPr>
          <w:sz w:val="20"/>
          <w:szCs w:val="20"/>
          <w:color w:val="auto"/>
        </w:rPr>
      </w:pPr>
    </w:p>
    <w:p>
      <w:pPr>
        <w:ind w:left="480" w:right="140" w:hanging="186"/>
        <w:spacing w:after="0" w:line="271"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no exercise of the outstanding stock options, settlement of the RSUs or exercise of the outstanding pre-funded warrants described above;</w:t>
      </w:r>
    </w:p>
    <w:p>
      <w:pPr>
        <w:spacing w:after="0" w:line="86" w:lineRule="exact"/>
        <w:rPr>
          <w:rFonts w:ascii="Arial" w:cs="Arial" w:eastAsia="Arial" w:hAnsi="Arial"/>
          <w:sz w:val="18"/>
          <w:szCs w:val="18"/>
          <w:color w:val="auto"/>
        </w:rPr>
      </w:pPr>
    </w:p>
    <w:p>
      <w:pPr>
        <w:ind w:left="480" w:hanging="186"/>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our common stock in this offering; and</w:t>
      </w:r>
    </w:p>
    <w:p>
      <w:pPr>
        <w:spacing w:after="0" w:line="144" w:lineRule="exact"/>
        <w:rPr>
          <w:rFonts w:ascii="Arial" w:cs="Arial" w:eastAsia="Arial" w:hAnsi="Arial"/>
          <w:sz w:val="18"/>
          <w:szCs w:val="18"/>
          <w:color w:val="auto"/>
        </w:rPr>
      </w:pPr>
    </w:p>
    <w:p>
      <w:pPr>
        <w:ind w:left="480" w:right="340" w:hanging="186"/>
        <w:spacing w:after="0" w:line="220"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reflect the potential issuance of shares of our common stock that remain available for sale as of the date of this prospectus supplement under our “at-the-market” offering program, pursuant to which we may sell common stock for remaining gross proceeds of up to $100 million from time to time under our Controlled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Sales Agreement with Cantor Fitzgerald &amp; Co. and Stifel, Nicolas &amp; Company, Incorporated.</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RISK FACTORS</w:t>
      </w:r>
    </w:p>
    <w:p>
      <w:pPr>
        <w:spacing w:after="0" w:line="156"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prospectus supplement and the accompanying base prospectus and the risk factors in our most recent Annual Report on Form 10-K, our most recent Quarterly Reports on Form 10-Q, together with other information in this prospectus supplement, the accompanying base prospectus and the information and documents incorporated by reference in this prospectus supplement and the accompanying base prospectus, and in any prospectus supplement or free writing prospectus that we authorize for use in connection with this offering.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This Offering</w:t>
      </w:r>
    </w:p>
    <w:p>
      <w:pPr>
        <w:spacing w:after="0" w:line="137" w:lineRule="exact"/>
        <w:rPr>
          <w:sz w:val="20"/>
          <w:szCs w:val="20"/>
          <w:color w:val="auto"/>
        </w:rPr>
      </w:pPr>
    </w:p>
    <w:p>
      <w:pPr>
        <w:ind w:left="120" w:right="460"/>
        <w:spacing w:after="0" w:line="278" w:lineRule="auto"/>
        <w:rPr>
          <w:sz w:val="20"/>
          <w:szCs w:val="20"/>
          <w:color w:val="auto"/>
        </w:rPr>
      </w:pPr>
      <w:r>
        <w:rPr>
          <w:rFonts w:ascii="Arial" w:cs="Arial" w:eastAsia="Arial" w:hAnsi="Arial"/>
          <w:sz w:val="18"/>
          <w:szCs w:val="18"/>
          <w:b w:val="1"/>
          <w:bCs w:val="1"/>
          <w:i w:val="1"/>
          <w:iCs w:val="1"/>
          <w:color w:val="auto"/>
        </w:rPr>
        <w:t>Sale of a substantial number of shares of our common stock, including by us, could cause the market price of our common stock to drop significantly, even if our business is doing well.</w:t>
      </w:r>
    </w:p>
    <w:p>
      <w:pPr>
        <w:spacing w:after="0" w:line="7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All of our outstanding shares of common stock are, and the shares of common stock sold in this offering will be, freely tradeable without restriction or further registration under the Securities Act, unless owned or purchased by our “affiliates” as that term is defined in Rule 144 under the Securities Act.</w:t>
      </w:r>
    </w:p>
    <w:p>
      <w:pPr>
        <w:spacing w:after="0" w:line="93"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In addition, we have filed or intend to file registration statements registering all shares of common stock that we may issue under our equity compensation plans or pursuant to equity awards made to newly hired employees outside of equity compensation plans. These shares can be freely sold in the public market upon issuance, subject to volume limitations applicable to affiliates.</w:t>
      </w:r>
    </w:p>
    <w:p>
      <w:pPr>
        <w:spacing w:after="0" w:line="252" w:lineRule="exact"/>
        <w:rPr>
          <w:sz w:val="20"/>
          <w:szCs w:val="20"/>
          <w:color w:val="auto"/>
        </w:rPr>
      </w:pPr>
    </w:p>
    <w:p>
      <w:pPr>
        <w:ind w:left="120" w:right="220"/>
        <w:spacing w:after="0" w:line="278" w:lineRule="auto"/>
        <w:rPr>
          <w:sz w:val="20"/>
          <w:szCs w:val="20"/>
          <w:color w:val="auto"/>
        </w:rPr>
      </w:pPr>
      <w:r>
        <w:rPr>
          <w:rFonts w:ascii="Arial" w:cs="Arial" w:eastAsia="Arial" w:hAnsi="Arial"/>
          <w:sz w:val="18"/>
          <w:szCs w:val="18"/>
          <w:b w:val="1"/>
          <w:bCs w:val="1"/>
          <w:i w:val="1"/>
          <w:iCs w:val="1"/>
          <w:color w:val="auto"/>
        </w:rPr>
        <w:t>Our management may invest or spend the proceeds of this offering in ways with which you may not agree or in ways that may not yield a return.</w:t>
      </w:r>
    </w:p>
    <w:p>
      <w:pPr>
        <w:spacing w:after="0" w:line="58"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09" w:lineRule="exact"/>
        <w:rPr>
          <w:sz w:val="20"/>
          <w:szCs w:val="20"/>
          <w:color w:val="auto"/>
        </w:rPr>
      </w:pPr>
    </w:p>
    <w:p>
      <w:pPr>
        <w:jc w:val="both"/>
        <w:ind w:left="120" w:right="200"/>
        <w:spacing w:after="0" w:line="253" w:lineRule="auto"/>
        <w:rPr>
          <w:sz w:val="20"/>
          <w:szCs w:val="20"/>
          <w:color w:val="auto"/>
        </w:rPr>
      </w:pPr>
      <w:r>
        <w:rPr>
          <w:rFonts w:ascii="Arial" w:cs="Arial" w:eastAsia="Arial" w:hAnsi="Arial"/>
          <w:sz w:val="18"/>
          <w:szCs w:val="18"/>
          <w:color w:val="auto"/>
        </w:rPr>
        <w:t>In addition, the issuance from time to time of shares of our common stock in this offering, or our ability to issue these shares of common stock, could result in resales of our common stock by our current stockholders concerned about the potential dilution of their holdings. In turn, these resales could have the effect of depressing the market price for our common stock.</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will experience immediate dilution in the book value per share of the common stock purchased in the offering.</w:t>
      </w:r>
    </w:p>
    <w:p>
      <w:pPr>
        <w:spacing w:after="0" w:line="142" w:lineRule="exact"/>
        <w:rPr>
          <w:sz w:val="20"/>
          <w:szCs w:val="20"/>
          <w:color w:val="auto"/>
        </w:rPr>
      </w:pPr>
    </w:p>
    <w:p>
      <w:pPr>
        <w:jc w:val="both"/>
        <w:ind w:left="120" w:right="60"/>
        <w:spacing w:after="0" w:line="244" w:lineRule="auto"/>
        <w:rPr>
          <w:sz w:val="20"/>
          <w:szCs w:val="20"/>
          <w:color w:val="auto"/>
        </w:rPr>
      </w:pPr>
      <w:r>
        <w:rPr>
          <w:rFonts w:ascii="Arial" w:cs="Arial" w:eastAsia="Arial" w:hAnsi="Arial"/>
          <w:sz w:val="18"/>
          <w:szCs w:val="18"/>
          <w:color w:val="auto"/>
        </w:rPr>
        <w:t>The price of our common stock to be sold in this offering is substantially higher than the net tangible book value per share of our common stock. Therefore, if you purchase shares of our common stock in this offering, you will pay a price per share that substantially exceeds our net tangible book value per share after this offering. After giving effect to the sale of shares of our common stock in the aggregate amount of $      at the public offering price of $      per share of common stock, and after deducting underwriting discounts and commissions and estimated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offering expenses payable by us, our as adjusted net tangible book value as of September 30, 2025 would have been approximately $      million, or approximately $      per share. This represents an immediate increase in as adjusted net tangible book value of approximately $      per share to our existing stockholders and an immediate dilution in as adjusted net tangible book value of approximately $      per share to purchasers of our common stock in this offering. See “Dilution” in this prospectus supplement for more information.</w:t>
      </w:r>
    </w:p>
    <w:p>
      <w:pPr>
        <w:spacing w:after="0" w:line="200" w:lineRule="exact"/>
        <w:rPr>
          <w:sz w:val="20"/>
          <w:szCs w:val="20"/>
          <w:color w:val="auto"/>
        </w:rPr>
      </w:pPr>
    </w:p>
    <w:p>
      <w:pPr>
        <w:spacing w:after="0" w:line="256" w:lineRule="exact"/>
        <w:rPr>
          <w:sz w:val="20"/>
          <w:szCs w:val="20"/>
          <w:color w:val="auto"/>
        </w:rPr>
      </w:pPr>
    </w:p>
    <w:p>
      <w:pPr>
        <w:ind w:left="120" w:right="540"/>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stockholders.</w:t>
      </w:r>
    </w:p>
    <w:p>
      <w:pPr>
        <w:spacing w:after="0" w:line="7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During the period from July 18, 2019 to December 8, 2025, the closing price of our common stock ranged from a high of $30.97 per share to a low of $2.26 per share. The stock market in general and the market for smaller biopharmaceutical companies in particular have experienced extreme volatility that has often been unrelated to the operating performance of particular companies.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4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spacing w:after="0" w:line="248"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Accordingly, stockholders must rely on capital appreciation, if any, for any return on their investment.</w:t>
      </w:r>
    </w:p>
    <w:p>
      <w:pPr>
        <w:spacing w:after="0" w:line="58"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USE OF PROCEEDS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estimate that the net proceeds to us from the issuance and sale of shares of common stock in this offering will be approximately</w:t>
      </w:r>
    </w:p>
    <w:p>
      <w:pPr>
        <w:spacing w:after="0" w:line="14" w:lineRule="exact"/>
        <w:rPr>
          <w:sz w:val="20"/>
          <w:szCs w:val="20"/>
          <w:color w:val="auto"/>
        </w:rPr>
      </w:pPr>
    </w:p>
    <w:p>
      <w:pPr>
        <w:ind w:left="120" w:right="40"/>
        <w:spacing w:after="0" w:line="250" w:lineRule="auto"/>
        <w:rPr>
          <w:sz w:val="20"/>
          <w:szCs w:val="20"/>
          <w:color w:val="auto"/>
        </w:rPr>
      </w:pPr>
      <w:r>
        <w:rPr>
          <w:rFonts w:ascii="Arial" w:cs="Arial" w:eastAsia="Arial" w:hAnsi="Arial"/>
          <w:sz w:val="18"/>
          <w:szCs w:val="18"/>
          <w:color w:val="auto"/>
        </w:rPr>
        <w:t>$      million, or approximately $      million if the underwriters exercise their option to purchase additional shares in full, in each case after deducting underwriting discounts and commissions and estimated offering expenses payable to us.</w:t>
      </w:r>
    </w:p>
    <w:p>
      <w:pPr>
        <w:spacing w:after="0" w:line="10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currently anticipate that we will use the net proceeds from this offering, together with our existing cash, cash equivalents and marketable securities, primarily for general corporate purposes, which may include working capital and capital expenditures, research and development expenses, including 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our business.</w:t>
      </w:r>
    </w:p>
    <w:p>
      <w:pPr>
        <w:spacing w:after="0" w:line="109"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This expected use of net proceeds from this offering represents our intentions based upon our current plans and business conditions, which could change in the future as our plans and business conditions evolve. The amounts and timing of our actual use of the net proceeds may vary significantly depending on numerous factors, including the actual net proceeds from this offering,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98"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color w:val="auto"/>
        </w:rPr>
        <w:t>Pending the use of proceeds described above, we intend to invest the net proceeds in a variety of capital preservation investments, including short-term, investment-grade, interest-bearing instruments and U.S. government securities.</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60"/>
          </w:cols>
          <w:pgMar w:left="320" w:top="455"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DILUTION</w:t>
      </w:r>
    </w:p>
    <w:p>
      <w:pPr>
        <w:spacing w:after="0" w:line="154"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public offering price per share of our common stock you will pay in this offering and the as adjusted net tangible book value per share of our common stock immediately after this offering.</w:t>
      </w:r>
    </w:p>
    <w:p>
      <w:pPr>
        <w:spacing w:after="0" w:line="101"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Our historical net tangible book value as of September 30, 2025 was approximately $ 198.4 million, or $3.67 per share of our common stock. Our historical net tangible book value is the amount of our total tangible assets less our total liabilities. Historical net tangible book value per share represents historical net tangible book value divided by the 54,108,438 shares of our common stock outstanding as of September 30, 2025.</w:t>
      </w:r>
    </w:p>
    <w:p>
      <w:pPr>
        <w:spacing w:after="0" w:line="106"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After giving effect to the issuance and sale of      shares of our common stock that we are offering at the public offering price of $      per share, and after deducting the underwriting discounts and commissions and estimated offering expenses payable by us, our as adjusted net tangible book value at September 30, 2025 would have been approximately $      million, or $      per share. This represents an immediate increase in as adjusted net tangible book value of $      per share to existing stockholders and an immediate dilution of $      per share to investors in this offering. Dilution per share to new investors is determined by subtracting as adjusted net tangible book value per share after this offering from the public offering price per share paid by new investors. The following table illustrates this per share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Historical net tangible book value per share as of September 30, 2025</w:t>
            </w:r>
          </w:p>
        </w:tc>
        <w:tc>
          <w:tcPr>
            <w:tcW w:w="2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Increase in net tangible book value per share attributable to this offering</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As adjusted net tangible book value per share after giving effect to this offering</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9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Dilution per share to new investors purchasing shares in this offering</w:t>
            </w:r>
          </w:p>
        </w:tc>
        <w:tc>
          <w:tcPr>
            <w:tcW w:w="2320" w:type="dxa"/>
            <w:vAlign w:val="bottom"/>
          </w:tcPr>
          <w:p>
            <w:pPr>
              <w:spacing w:after="0"/>
              <w:rPr>
                <w:sz w:val="17"/>
                <w:szCs w:val="17"/>
                <w:color w:val="auto"/>
              </w:rPr>
            </w:pPr>
          </w:p>
        </w:tc>
        <w:tc>
          <w:tcPr>
            <w:tcW w:w="220" w:type="dxa"/>
            <w:vAlign w:val="bottom"/>
          </w:tcPr>
          <w:p>
            <w:pPr>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3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 </w:t>
            </w:r>
          </w:p>
        </w:tc>
      </w:tr>
      <w:tr>
        <w:trPr>
          <w:trHeight w:val="20"/>
        </w:trPr>
        <w:tc>
          <w:tcPr>
            <w:tcW w:w="7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9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16"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If the underwriters exercise their option to purchase additional shares in full, the immediate dilution in as adjusted net tangible book value per share to investors in this offering would be $        per share.</w:t>
      </w:r>
    </w:p>
    <w:p>
      <w:pPr>
        <w:spacing w:after="0" w:line="86"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color w:val="auto"/>
        </w:rPr>
        <w:t>The table and discussion above are based on 54,108,438 shares of our common stock outstanding as of September 30, 2025, and exclude the following:</w:t>
      </w:r>
    </w:p>
    <w:p>
      <w:pPr>
        <w:spacing w:after="0" w:line="86" w:lineRule="exact"/>
        <w:rPr>
          <w:sz w:val="20"/>
          <w:szCs w:val="20"/>
          <w:color w:val="auto"/>
        </w:rPr>
      </w:pPr>
    </w:p>
    <w:p>
      <w:pPr>
        <w:ind w:left="340" w:right="220" w:hanging="224"/>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11,870,785 shares of common stock issuable upon the exercise of stock options outstanding as of September 30, 2025 at a weighted average exercise price of $6.57 per share;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69,486 shares of common stock issuable upon vesting of RSUs outstanding as of September 30, 2025;</w:t>
      </w:r>
    </w:p>
    <w:p>
      <w:pPr>
        <w:spacing w:after="0" w:line="144" w:lineRule="exact"/>
        <w:rPr>
          <w:rFonts w:ascii="Arial" w:cs="Arial" w:eastAsia="Arial" w:hAnsi="Arial"/>
          <w:sz w:val="18"/>
          <w:szCs w:val="18"/>
          <w:color w:val="auto"/>
        </w:rPr>
      </w:pPr>
    </w:p>
    <w:p>
      <w:pPr>
        <w:ind w:left="340" w:right="300" w:hanging="224"/>
        <w:spacing w:after="0" w:line="25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4,779,386, 1,681,184 and 2,052,030 shares of our common stock available for future issuance as of September 30, 2025 under the 2019 Plan, the Inducement Plan and the ESPP, respectively, as well as any automatic increases in the number of shares of common stock reserved under these plans; and</w:t>
      </w:r>
    </w:p>
    <w:p>
      <w:pPr>
        <w:spacing w:after="0" w:line="101" w:lineRule="exact"/>
        <w:rPr>
          <w:rFonts w:ascii="Arial" w:cs="Arial" w:eastAsia="Arial" w:hAnsi="Arial"/>
          <w:sz w:val="18"/>
          <w:szCs w:val="18"/>
          <w:color w:val="auto"/>
        </w:rPr>
      </w:pPr>
    </w:p>
    <w:p>
      <w:pPr>
        <w:ind w:left="340" w:right="420" w:hanging="224"/>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8,500,000 shares of common stock issuable upon the exercise of pre-funded warrants outstanding as of September 30, 2025 at an exercise price of $0.001 per share.</w:t>
      </w:r>
    </w:p>
    <w:p>
      <w:pPr>
        <w:spacing w:after="0" w:line="73" w:lineRule="exact"/>
        <w:rPr>
          <w:sz w:val="20"/>
          <w:szCs w:val="20"/>
          <w:color w:val="auto"/>
        </w:rPr>
      </w:pPr>
    </w:p>
    <w:p>
      <w:pPr>
        <w:ind w:left="120" w:right="120"/>
        <w:spacing w:after="0" w:line="220" w:lineRule="auto"/>
        <w:rPr>
          <w:sz w:val="20"/>
          <w:szCs w:val="20"/>
          <w:color w:val="auto"/>
        </w:rPr>
      </w:pPr>
      <w:r>
        <w:rPr>
          <w:rFonts w:ascii="Arial" w:cs="Arial" w:eastAsia="Arial" w:hAnsi="Arial"/>
          <w:sz w:val="18"/>
          <w:szCs w:val="18"/>
          <w:color w:val="auto"/>
        </w:rPr>
        <w:t>To the extent that outstanding stock options are exercised, outstanding RSUs are settled, outstanding pre-funded warrants are exercised, new stock options are issued, or we issue additional shares of common stock in the future, including pursuant to our Controlled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Agreement with Cantor Fitzgerald &amp; Co. and Stifel, Nicolas &amp; Company, Incorporated, there will be further dilution to investors purchasing shares of common stock in this offering.</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UNDERWRITING</w:t>
      </w:r>
    </w:p>
    <w:p>
      <w:pPr>
        <w:spacing w:after="0" w:line="154"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We are offering the shares of common stock described in this prospectus supplement through a number of underwriters. J.P. Morgan Securities LLC, Leerink Partners LLC and Cantor Fitzgerald &amp; Co. are acting as joint book-running managers of the offering and as representatives of the underwriters. We have entered into an underwriting agreement with the representatives.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3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Number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w:t>
      </w:r>
    </w:p>
    <w:p>
      <w:pPr>
        <w:spacing w:after="0" w:line="25" w:lineRule="exact"/>
        <w:rPr>
          <w:sz w:val="20"/>
          <w:szCs w:val="20"/>
          <w:color w:val="auto"/>
        </w:rPr>
      </w:pPr>
    </w:p>
    <w:p>
      <w:pPr>
        <w:sectPr>
          <w:pgSz w:w="11900" w:h="16838" w:orient="portrait"/>
          <w:cols w:equalWidth="0" w:num="2">
            <w:col w:w="9540" w:space="720"/>
            <w:col w:w="820"/>
          </w:cols>
          <w:pgMar w:left="320" w:top="455" w:right="49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J.P. Morgan Securities LLC</w:t>
      </w:r>
    </w:p>
    <w:p>
      <w:pPr>
        <w:ind w:left="120"/>
        <w:spacing w:after="0" w:line="234" w:lineRule="auto"/>
        <w:rPr>
          <w:sz w:val="20"/>
          <w:szCs w:val="20"/>
          <w:color w:val="auto"/>
        </w:rPr>
      </w:pPr>
      <w:r>
        <w:rPr>
          <w:rFonts w:ascii="Arial" w:cs="Arial" w:eastAsia="Arial" w:hAnsi="Arial"/>
          <w:sz w:val="18"/>
          <w:szCs w:val="18"/>
          <w:color w:val="auto"/>
        </w:rPr>
        <w:t>Leerink Partners LLC</w:t>
      </w:r>
    </w:p>
    <w:p>
      <w:pPr>
        <w:ind w:left="120"/>
        <w:spacing w:after="0" w:line="235" w:lineRule="auto"/>
        <w:rPr>
          <w:sz w:val="20"/>
          <w:szCs w:val="20"/>
          <w:color w:val="auto"/>
        </w:rPr>
      </w:pPr>
      <w:r>
        <w:rPr>
          <w:rFonts w:ascii="Arial" w:cs="Arial" w:eastAsia="Arial" w:hAnsi="Arial"/>
          <w:sz w:val="18"/>
          <w:szCs w:val="18"/>
          <w:color w:val="auto"/>
        </w:rPr>
        <w:t>Cantor Fitzgerald &amp; Co.</w:t>
      </w:r>
    </w:p>
    <w:p>
      <w:pPr>
        <w:ind w:left="120"/>
        <w:spacing w:after="0" w:line="235" w:lineRule="auto"/>
        <w:rPr>
          <w:sz w:val="20"/>
          <w:szCs w:val="20"/>
          <w:color w:val="auto"/>
        </w:rPr>
      </w:pPr>
      <w:r>
        <w:rPr>
          <w:rFonts w:ascii="Arial" w:cs="Arial" w:eastAsia="Arial" w:hAnsi="Arial"/>
          <w:sz w:val="18"/>
          <w:szCs w:val="18"/>
          <w:color w:val="auto"/>
        </w:rPr>
        <w:t>Oppenheimer &amp; Co. Inc.</w:t>
      </w:r>
    </w:p>
    <w:p>
      <w:pPr>
        <w:ind w:left="120"/>
        <w:spacing w:after="0"/>
        <w:rPr>
          <w:sz w:val="20"/>
          <w:szCs w:val="20"/>
          <w:color w:val="auto"/>
        </w:rPr>
      </w:pPr>
      <w:r>
        <w:rPr>
          <w:rFonts w:ascii="Arial" w:cs="Arial" w:eastAsia="Arial" w:hAnsi="Arial"/>
          <w:sz w:val="18"/>
          <w:szCs w:val="18"/>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-1905</wp:posOffset>
            </wp:positionV>
            <wp:extent cx="5143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60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3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securities. The underwriting agreement also provides that if an underwriter defaults, the purchase commitments of non-defaulting underwriters may also be increased or the offering may be terminated.</w:t>
      </w:r>
    </w:p>
    <w:p>
      <w:pPr>
        <w:spacing w:after="0" w:line="101"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The underwriters propose to offer the shares of common stock directly to the public at the public offering price set forth on the cover page of this prospectus supplement and to certain dealers at that price less a concession not in excess of $        per share of common stock. Any such dealers may resell shares to certain other brokers or dealers at a discount of up to $        per share of common stock from the public offering price. After the offering of the shares of common stock to the public, if all of the shares of common stock are not sold at the public offering price, the underwriters may change the offering price and the other selling terms. Sales of any shares of common stock made outside of the United States may be made by affiliates of the underwriters.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 to Purchase Additional Shares</w:t>
      </w:r>
    </w:p>
    <w:p>
      <w:pPr>
        <w:spacing w:after="0" w:line="148"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Commissions and Expenses</w:t>
      </w:r>
    </w:p>
    <w:p>
      <w:pPr>
        <w:spacing w:after="0" w:line="148"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 of common stock. The underwriting fee is $      per share. The following</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80"/>
          </w:cols>
          <w:pgMar w:left="320" w:top="455" w:right="4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With full option</w:t>
            </w:r>
          </w:p>
        </w:tc>
      </w:tr>
      <w:tr>
        <w:trPr>
          <w:trHeight w:val="162"/>
        </w:trPr>
        <w:tc>
          <w:tcPr>
            <w:tcW w:w="8440" w:type="dxa"/>
            <w:vAlign w:val="bottom"/>
          </w:tcPr>
          <w:p>
            <w:pPr>
              <w:spacing w:after="0"/>
              <w:rPr>
                <w:sz w:val="14"/>
                <w:szCs w:val="14"/>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Without option</w:t>
            </w: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 purchase</w:t>
            </w:r>
          </w:p>
        </w:tc>
      </w:t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to purchase</w:t>
            </w:r>
          </w:p>
        </w:tc>
        <w:tc>
          <w:tcPr>
            <w:tcW w:w="12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r>
      <w:tr>
        <w:trPr>
          <w:trHeight w:val="171"/>
        </w:trPr>
        <w:tc>
          <w:tcPr>
            <w:tcW w:w="8440" w:type="dxa"/>
            <w:vAlign w:val="bottom"/>
          </w:tcPr>
          <w:p>
            <w:pPr>
              <w:spacing w:after="0"/>
              <w:rPr>
                <w:sz w:val="14"/>
                <w:szCs w:val="14"/>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shares exercise</w:t>
            </w: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8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 xml:space="preserve">          </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r>
      <w:tr>
        <w:trPr>
          <w:trHeight w:val="239"/>
        </w:trPr>
        <w:tc>
          <w:tcPr>
            <w:tcW w:w="84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60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276"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      .</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Electronic Distribution</w:t>
      </w:r>
    </w:p>
    <w:p>
      <w:pPr>
        <w:spacing w:after="0" w:line="135"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A prospectus supplement and accompanying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 Sales of Similar Securities</w:t>
      </w:r>
    </w:p>
    <w:p>
      <w:pPr>
        <w:spacing w:after="0" w:line="135" w:lineRule="exact"/>
        <w:rPr>
          <w:sz w:val="20"/>
          <w:szCs w:val="20"/>
          <w:color w:val="auto"/>
        </w:rPr>
      </w:pPr>
    </w:p>
    <w:p>
      <w:pPr>
        <w:ind w:left="120" w:right="100"/>
        <w:spacing w:after="0" w:line="255" w:lineRule="auto"/>
        <w:rPr>
          <w:sz w:val="20"/>
          <w:szCs w:val="20"/>
          <w:color w:val="auto"/>
        </w:rPr>
      </w:pPr>
      <w:r>
        <w:rPr>
          <w:rFonts w:ascii="Arial" w:cs="Arial" w:eastAsia="Arial" w:hAnsi="Arial"/>
          <w:sz w:val="17"/>
          <w:szCs w:val="17"/>
          <w:color w:val="auto"/>
        </w:rPr>
        <w:t>We have agreed that we will not (i) offer, sell, contract to sell, pledge, grant any option to purchase, make any short sale or otherwise transfer or dispose of, directly or indirectly, or file with the SEC a registration statement under the Securities Act relating to, any of our securities that are substantially similar to the shares of common stock to be sold in this offering,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(ii) enter into any swap or other agreement that transfers, in whole or in part, any of the economic consequences of ownership of our common stock or any such other securities (regardless of whether any of these transactions are to be settled by delivery of common stock or such other securities, in cash or otherwise), in each case without the prior written consent of the representatives for a period of 60 days after the date of this prospectus supplement, other than the shares of our common stock to be sold in this offering.</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on our actions, as described above, do not apply to certain transactions, including (i) the securities to be sold hereunder,</w:t>
      </w:r>
    </w:p>
    <w:p>
      <w:pPr>
        <w:spacing w:after="0" w:line="14" w:lineRule="exact"/>
        <w:rPr>
          <w:sz w:val="20"/>
          <w:szCs w:val="20"/>
          <w:color w:val="auto"/>
        </w:rPr>
      </w:pPr>
    </w:p>
    <w:p>
      <w:pPr>
        <w:ind w:left="120" w:right="100" w:hanging="4"/>
        <w:spacing w:after="0" w:line="248" w:lineRule="auto"/>
        <w:tabs>
          <w:tab w:leader="none" w:pos="37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issuance of shares of common stock or any securities (including without limitation options, restricted stock or restricted stock units) convertible into, or exercisable for, shares of our common stock pursuant to any employee stock option plan, incentive plan, stock plan, dividend reinvestment plan or otherwise in equity compensation arrangements existing as of the date of this prospectus supplement,</w:t>
      </w:r>
    </w:p>
    <w:p>
      <w:pPr>
        <w:spacing w:after="0" w:line="1" w:lineRule="exact"/>
        <w:rPr>
          <w:rFonts w:ascii="Arial" w:cs="Arial" w:eastAsia="Arial" w:hAnsi="Arial"/>
          <w:sz w:val="17"/>
          <w:szCs w:val="17"/>
          <w:color w:val="auto"/>
        </w:rPr>
      </w:pPr>
    </w:p>
    <w:p>
      <w:pPr>
        <w:ind w:left="120" w:right="20" w:hanging="4"/>
        <w:spacing w:after="0" w:line="239" w:lineRule="auto"/>
        <w:tabs>
          <w:tab w:leader="none" w:pos="4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grant of awards pursuant to employee equity-based compensation plans, incentive plans, stock plans or other arrangements existing as of the date of this prospectus supplement, (iv) the filing of a registration statement on Form S-8 in connection with the registration of shares of common stock issuable under any employee equity-based compensation plan, incentive plan, stock plan, dividend reinvestment plan adopted and approved by our board of directors existing prior to the date of this prospectus supplement, or (v) the issuance of up to 5% of the outstanding shares of common stock immediately after the closing of this offering as in</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connection with the bona fide acquisition, strategic investment, licensing, commercialization, joint venture, technology transfer or development collaboration agreement with an unaffiliated third party; provided that in the case of (ii), (iii) and (v), all recipients of shares of common stock or any security convertible into or exercisable for common stock enter into a lock-up agreement with respect to the remaining portion of the 60-day lock-up period.</w:t>
      </w:r>
    </w:p>
    <w:p>
      <w:pPr>
        <w:spacing w:after="0" w:line="9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directors and executive officers, and certain stockholders (such persons, the “lock-up parties”) have entered into lock-up agreements with the underwriters prior to the commencement of this offering pursuant to which each lock-up party, with limited exceptions, for a period of 30 days after the date of this prospectus supplement, may not (and may not cause any of their direct or indirect affiliates to), without the prior written consent of the representatives, (i) offer, sell, contract to sell, pledge, grant any option, right or warrant to purchase, purchase any option or contract to sell, lend or otherwise transfer or dispose of any shares of our common stock or any options or warrants to purchase shares of our common stock, or any securities convertible into or exercisable or exchangeable for or that represent the right to receive shares of our common stock, including, without limitation, common stock or such other securities which may be deemed to be beneficially owned by such lock-up parties in accordance with the rules and regulations of the SEC (such shares of common stock, options, rights, warrants or other securities, collectively, the “lock-up securities”), including without limitation any such lock-up securities now owned or hereafter acquired by the lock-up parties, (ii) engage in any hedging or other transaction or arrangement (including, without limitation, any short sale or the purchase or sale of, or entry into, any put or call option, or combination thereof, forward, swap or other derivative transaction or instrument, however described or defined) which is designed to or which reasonably could be expected to lead to or result in a sale, loan, pledge or other disposition (whether by the lock-up parties or someone other than the lock-up parties), or transfer any of the economic consequences of ownership, in whole or in part, directly or indirectly, of the lock-up securities, whether any such transaction or arrangement (or instrument provided for thereunder) would be settled by delivery of shares of common stock or other securities, in cash or otherwise (any such sale, loan, pledge or other disposition, or transfer of economic consequences, a “Transfer”), (iii) make any demand for, or exercise any right with respect to, the registration of any lock-up securities, or (iv) publicly disclose the intention to do any of the foregoing. The lock-up parties have further acknowledged that they have not, and have not caused or directed any of their affiliates to be or become, currently a party to any agreement or arrangement that provides for, is designed to or reasonably could be expected to lead to or result in any Transfer during the lock-up period.</w:t>
      </w:r>
    </w:p>
    <w:p>
      <w:pPr>
        <w:spacing w:after="0" w:line="128"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The restrictions described in the immediately preceding paragraph and contained in the lock-up agreements between the underwriters and the lock-up parties do not apply, subject in certain cases to various conditions, to certain transactions, including transfers or dispositions of shares of common stock or any security convertible into or exercisable or exchangeable for common stock (a) as one or more bona fide gifts or charitable contributions, or for bona fide estate planning purposes; (b) upon death by will, testamentary document or intestate succession; (c) to any member of the immediate family of the lock-up party or to any trust for the direct or indirect benefit of the lock-up party or the immediate family of the lock-up party, if the lock-up party is a natural person or, if the lock-up party is a trust, to a trustor or beneficiary of the trust or the estate of a beneficiary of such trust; (d) to a partnership, limited liability company or other entity of which the lock-up party and their immediate family are the legal and beneficial owner of all of the outstanding equity securities or similar interests;</w:t>
      </w:r>
    </w:p>
    <w:p>
      <w:pPr>
        <w:ind w:left="380" w:hanging="264"/>
        <w:spacing w:after="0" w:line="23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 nominee or custodian of a person or entity to whom a disposition or transfer would be permissible under (a), (b), (c) or (d) above;</w:t>
      </w:r>
    </w:p>
    <w:p>
      <w:pPr>
        <w:ind w:left="120" w:right="160" w:hanging="4"/>
        <w:spacing w:after="0" w:line="23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lock-up party is a corporation, partnership, limited liability company or other business entity (A) to another corporation, partnership, limited liability company or other business entity that is an affiliate of the lock-up party, or to any investment fund or other entity which fund or entity is controlled or managed by such lock-up party or affiliates of such lock-up party, or (B) as part of a distribution by the lock-up party to its stockholders, partners, members or other equityholders or to the estate of any such stockholders, partners, members or other equityholders; (g) by operation of law, such as pursuant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to a qualified domestic order, divorce settlement, divorce decree or separation agreement; (h) by an employee to us upon the employee’s death, disability or termination of employment; (i) in connection with the sale of the lock-up party’s shares of common stock acquired from the underwriters in this offering or in open market transactions after the completion of this offering, if the lock-up party is not one of our officers or directors; and (j) to us in connection with the vesting, settlement or exercise of restricted stock units, options, warrants or other rights to purchase shares of our common stock (including, in each case, by way of “net” or “cashless” exercise) that are scheduled to expire or automatically vest during the lock-up period,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incorporated by reference into the registration statement of which this prospectus supplement forms a part; provided, however, that (1) in the case of clauses (a), (b), (c), (d), (e) and</w:t>
      </w:r>
    </w:p>
    <w:p>
      <w:pPr>
        <w:spacing w:after="0" w:line="3" w:lineRule="exact"/>
        <w:rPr>
          <w:sz w:val="20"/>
          <w:szCs w:val="20"/>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above, such transfer or distribution shall not involve a disposition for value, (2) in the case of clauses (a), (b), (c), (d), (e), (f) and</w:t>
      </w:r>
    </w:p>
    <w:p>
      <w:pPr>
        <w:ind w:left="120" w:right="20" w:hanging="4"/>
        <w:spacing w:after="0" w:line="248" w:lineRule="auto"/>
        <w:tabs>
          <w:tab w:leader="none" w:pos="39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above, it shall be a condition to the transfer or distribution that the donee, devisee, transferee or distributee, as the case may be, shall sign and deliver a lock-up agreement, (3) in the case of clauses (d), (e) and (f) above, no filing by any party (including, without limitation, any donor, donee, devisee, transferee or distributee) under the Exchange Act, or other public filing, report or announcement reporting a reduction in beneficial ownership of lock-up securities shall be required or shall be voluntarily made in connection with such transfer or distribution, and (4) in the case of clauses (a), (g), (h), (i) and (j)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(x) the circumstances of such transfer or distribution and</w:t>
      </w:r>
    </w:p>
    <w:p>
      <w:pPr>
        <w:spacing w:after="0" w:line="3" w:lineRule="exact"/>
        <w:rPr>
          <w:rFonts w:ascii="Arial" w:cs="Arial" w:eastAsia="Arial" w:hAnsi="Arial"/>
          <w:sz w:val="17"/>
          <w:szCs w:val="17"/>
          <w:color w:val="auto"/>
        </w:rPr>
      </w:pPr>
    </w:p>
    <w:p>
      <w:pPr>
        <w:ind w:left="120" w:right="380" w:hanging="4"/>
        <w:spacing w:after="0" w:line="25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 transfer or distribution pursuant to clauses (a) and (g) above, that the donee, devisee, transferee or distributee has agreed to be bound by a lock-up agreement.</w:t>
      </w:r>
    </w:p>
    <w:p>
      <w:pPr>
        <w:spacing w:after="0" w:line="91" w:lineRule="exact"/>
        <w:rPr>
          <w:sz w:val="20"/>
          <w:szCs w:val="20"/>
          <w:color w:val="auto"/>
        </w:rPr>
      </w:pPr>
    </w:p>
    <w:p>
      <w:pPr>
        <w:ind w:left="120"/>
        <w:spacing w:after="0" w:line="254" w:lineRule="auto"/>
        <w:rPr>
          <w:sz w:val="20"/>
          <w:szCs w:val="20"/>
          <w:color w:val="auto"/>
        </w:rPr>
      </w:pPr>
      <w:r>
        <w:rPr>
          <w:rFonts w:ascii="Arial" w:cs="Arial" w:eastAsia="Arial" w:hAnsi="Arial"/>
          <w:sz w:val="17"/>
          <w:szCs w:val="17"/>
          <w:color w:val="auto"/>
        </w:rPr>
        <w:t>The lock-up parties may (i) transfer, sell, or dispose of the lock-up securities pursuant to an existing Rule 10b5-1 trading plan adopted prior to the date of the lock-up agreement, which has not been amended following the date of the lock-up agreement, provided that any filing made under the Exchange Act in connection with such a sale shall disclose that the sale was made pursuant to a Rule 10b5-1 trading plan entered into on a date before the date of this prospectus supplement and (ii) enter into a written plan meeting the requirements of</w:t>
      </w:r>
    </w:p>
    <w:p>
      <w:pPr>
        <w:ind w:left="120" w:right="140"/>
        <w:spacing w:after="0" w:line="239" w:lineRule="auto"/>
        <w:rPr>
          <w:sz w:val="20"/>
          <w:szCs w:val="20"/>
          <w:color w:val="auto"/>
        </w:rPr>
      </w:pPr>
      <w:r>
        <w:rPr>
          <w:rFonts w:ascii="Arial" w:cs="Arial" w:eastAsia="Arial" w:hAnsi="Arial"/>
          <w:sz w:val="18"/>
          <w:szCs w:val="18"/>
          <w:color w:val="auto"/>
        </w:rPr>
        <w:t>Rule 10b5-1 under the Exchange Act relating to the transfer, sale or other disposition of the lock-up parties’ lock-up securities, if then permitted by us, provided that (a) none of the securities subject to such plan may be transferred, sold or otherwise disposed of until after the expiration of the lock-up period and (b) to the extent a public announcement or filing under the Exchange Act, if any, is required by or on behalf of the lock-up parties or us regarding the entry of such plan, such announcement or filing shall include a statement to the effect that no transfer of shares of common stock may be made under such plan during the lock-up period.</w:t>
      </w:r>
    </w:p>
    <w:p>
      <w:pPr>
        <w:spacing w:after="0" w:line="112"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lock-up parties may also transfer lock-up securities pursuant to a bona fide third-party tender offer, merger, consolidation or other similar transaction that is approved by our board and made to all holders of our capital stock involving a change of control; provided that in the event that such tender offer, merger, consolidation or other similar transaction is not completed, the lock-up parties’ lock-up securities shall remain subject to the provisions of the lock-up agreement.</w:t>
      </w:r>
    </w:p>
    <w:p>
      <w:pPr>
        <w:spacing w:after="0" w:line="106"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The representatives, in their sole discretion, may release the securities subject to any of the lock-up agreements with the underwriters described above, in whole or in part at any time.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Listing</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Stabilization</w:t>
      </w:r>
    </w:p>
    <w:p>
      <w:pPr>
        <w:spacing w:after="0" w:line="13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13"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Activities and Relationships</w:t>
      </w:r>
    </w:p>
    <w:p>
      <w:pPr>
        <w:spacing w:after="0" w:line="135"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35" w:lineRule="exact"/>
        <w:rPr>
          <w:sz w:val="20"/>
          <w:szCs w:val="20"/>
          <w:color w:val="auto"/>
        </w:rPr>
      </w:pPr>
    </w:p>
    <w:p>
      <w:pPr>
        <w:ind w:left="120" w:right="20"/>
        <w:spacing w:after="0" w:line="266"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in any jurisdiction in which such an offer or a solicitation is unlawful.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48" w:lineRule="exact"/>
        <w:rPr>
          <w:sz w:val="20"/>
          <w:szCs w:val="20"/>
          <w:color w:val="auto"/>
        </w:rPr>
      </w:pPr>
    </w:p>
    <w:p>
      <w:pPr>
        <w:ind w:left="120" w:right="100"/>
        <w:spacing w:after="0" w:line="266" w:lineRule="auto"/>
        <w:rPr>
          <w:sz w:val="20"/>
          <w:szCs w:val="20"/>
          <w:color w:val="auto"/>
        </w:rPr>
      </w:pPr>
      <w:r>
        <w:rPr>
          <w:rFonts w:ascii="Arial" w:cs="Arial" w:eastAsia="Arial" w:hAnsi="Arial"/>
          <w:sz w:val="17"/>
          <w:szCs w:val="17"/>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92" w:lineRule="exact"/>
        <w:rPr>
          <w:sz w:val="20"/>
          <w:szCs w:val="20"/>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44"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31"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provided that no such offer of shares shall require the Company or any of the underwriters to publish a prospectus pursuant to Article 3 of the Prospectus Regulation or supplement a prospectus pursuant to Article 23 of the Prospectus Regulation.</w:t>
      </w:r>
    </w:p>
    <w:p>
      <w:pPr>
        <w:spacing w:after="0" w:line="86"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48" w:lineRule="exact"/>
        <w:rPr>
          <w:sz w:val="20"/>
          <w:szCs w:val="20"/>
          <w:color w:val="auto"/>
        </w:rPr>
      </w:pPr>
    </w:p>
    <w:p>
      <w:pPr>
        <w:ind w:left="120" w:right="120"/>
        <w:spacing w:after="0" w:line="259" w:lineRule="auto"/>
        <w:rPr>
          <w:sz w:val="20"/>
          <w:szCs w:val="20"/>
          <w:color w:val="auto"/>
        </w:rPr>
      </w:pPr>
      <w:r>
        <w:rPr>
          <w:rFonts w:ascii="Arial" w:cs="Arial" w:eastAsia="Arial" w:hAnsi="Arial"/>
          <w:sz w:val="17"/>
          <w:szCs w:val="17"/>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or</w:t>
      </w:r>
    </w:p>
    <w:p>
      <w:pPr>
        <w:ind w:left="360" w:hanging="244"/>
        <w:spacing w:after="0" w:line="236"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to be treated as if it had been approved by the Financial Conduct Authority in accordance with the transitional provision in Regulation</w:t>
      </w:r>
    </w:p>
    <w:p>
      <w:pPr>
        <w:ind w:left="120" w:right="500"/>
        <w:spacing w:after="0" w:line="250" w:lineRule="auto"/>
        <w:rPr>
          <w:rFonts w:ascii="Arial" w:cs="Arial" w:eastAsia="Arial" w:hAnsi="Arial"/>
          <w:sz w:val="18"/>
          <w:szCs w:val="18"/>
          <w:color w:val="auto"/>
        </w:rPr>
      </w:pPr>
      <w:r>
        <w:rPr>
          <w:rFonts w:ascii="Arial" w:cs="Arial" w:eastAsia="Arial" w:hAnsi="Arial"/>
          <w:sz w:val="18"/>
          <w:szCs w:val="18"/>
          <w:color w:val="auto"/>
        </w:rPr>
        <w:t>74 of the Prospectus (Amendment etc.) (EU Exit) Regulations 2019, except that offers of securities may be made to the public in the United Kingdom of any shares at any time under the following exemptions under the UK Prospectus Regulation:</w:t>
      </w:r>
    </w:p>
    <w:p>
      <w:pPr>
        <w:spacing w:after="0" w:line="104" w:lineRule="exact"/>
        <w:rPr>
          <w:sz w:val="20"/>
          <w:szCs w:val="20"/>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44"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31"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color w:val="auto"/>
        </w:rPr>
        <w:t>provided that no such offer of the shares shall require the Company or any of the underwriters to publish a prospectus pursuant to Section 85 of the FSMA or supplement a prospectus pursuant to Article 23 of the UK Prospectus Regulation.</w:t>
      </w:r>
    </w:p>
    <w:p>
      <w:pPr>
        <w:spacing w:after="0" w:line="86"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in any form and by any means of sufficient information on the terms</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88"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In addition, this prospectus supplement and the accompanying prospectus are only being distributed to, and is only directed at, and any investment or investment activity to which this prospectus supplement and the accompanying prospectus relate is available only to, and will be engaged in only with, persons who are outside the United Kingdom or persons in the United Kingdom (i) having professional experience in matters relating to investments who fall within the definition of “investment professionals” in Article 19(5) of the Financial Services and Markets Act 2000 (Financial Promotion) Order 2005, or the Order; or (ii) who are high net worth entities falling within Article 49(2)(a) to (d) of the Order (all such persons together being referred to as “relevant persons”). Persons who are not relevant persons should not take any action on the basis of this prospectus supplement and the accompanying prospectus and should not act or rely on them.</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w:t>
      </w:r>
    </w:p>
    <w:p>
      <w:pPr>
        <w:spacing w:after="0" w:line="14" w:lineRule="exact"/>
        <w:rPr>
          <w:sz w:val="20"/>
          <w:szCs w:val="20"/>
          <w:color w:val="auto"/>
        </w:rPr>
      </w:pPr>
    </w:p>
    <w:p>
      <w:pPr>
        <w:ind w:left="120" w:hanging="4"/>
        <w:spacing w:after="0" w:line="237" w:lineRule="auto"/>
        <w:tabs>
          <w:tab w:leader="none" w:pos="3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persons whose ordinary business is to buy or sell shares or debentures, whether as principal or agent; or (ii)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that is directed at, or the contents of which are likely to be accessed or read by, the public of Hong Kong (except if permitted under the securities laws of Hong Kong) other than with respect to securities that are or are intended to be disposed of only to persons outside Hong Kong or only to “professional investors” as defined in the SFO and any rules made under that Ordinance.</w:t>
      </w:r>
    </w:p>
    <w:p>
      <w:pPr>
        <w:spacing w:after="0" w:line="11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This prospectus supplement and the accompanying prospectus have not been registered with the Registrar of Companies in Hong Kong. Accordingly, this prospectus supplement and the accompanying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accompanying prospectus and that he is not acquiring, and has not been offered, any securities in circumstances that contravene any such restrictions.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48"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(the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and the accompanying prospectus have not been and will not be lodged or registered as a prospectus with the Monetary Authority of Singapore. Accordingly, this prospectus supplement and the accompanying prospectus and any other document or material in connection with the offer or sale, or invitation for subscription or purchase, of the shares of common stock offered hereby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that is:</w:t>
      </w:r>
    </w:p>
    <w:p>
      <w:pPr>
        <w:spacing w:after="0" w:line="144" w:lineRule="exact"/>
        <w:rPr>
          <w:sz w:val="20"/>
          <w:szCs w:val="20"/>
          <w:color w:val="auto"/>
        </w:rPr>
      </w:pPr>
    </w:p>
    <w:p>
      <w:pPr>
        <w:ind w:left="340" w:right="460" w:hanging="224"/>
        <w:spacing w:after="0" w:line="301"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3" w:lineRule="exact"/>
        <w:rPr>
          <w:rFonts w:ascii="Arial" w:cs="Arial" w:eastAsia="Arial" w:hAnsi="Arial"/>
          <w:sz w:val="17"/>
          <w:szCs w:val="17"/>
          <w:color w:val="auto"/>
        </w:rPr>
      </w:pPr>
    </w:p>
    <w:p>
      <w:pPr>
        <w:ind w:left="340" w:right="160" w:hanging="224"/>
        <w:spacing w:after="0" w:line="24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06" w:lineRule="exact"/>
        <w:rPr>
          <w:rFonts w:ascii="Arial" w:cs="Arial" w:eastAsia="Arial" w:hAnsi="Arial"/>
          <w:sz w:val="18"/>
          <w:szCs w:val="18"/>
          <w:color w:val="auto"/>
        </w:rPr>
      </w:pPr>
    </w:p>
    <w:p>
      <w:pPr>
        <w:ind w:left="340" w:right="40" w:hanging="224"/>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340" w:right="540" w:hanging="224"/>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Resale Restrictions</w:t>
      </w:r>
    </w:p>
    <w:p>
      <w:pPr>
        <w:spacing w:after="0" w:line="13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The offering of the shares of common stock in Canada is being made only in the provinces of Ontario, Quebec, Alberta and British Columbia on a private placement basis exempt from the requirement that the we prepare and file a prospectus with the securities regulatory authorities in each province where trades of these securities are made. Any resale of the shares of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Representations of Canadian Purchasers</w:t>
      </w:r>
    </w:p>
    <w:p>
      <w:pPr>
        <w:spacing w:after="0" w:line="133"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By purchasing shares of common stock in Canada and accepting delivery of a purchase confirmation, a purchaser is representing to us and the dealer from whom the purchase confirmation is received that:</w:t>
      </w:r>
    </w:p>
    <w:p>
      <w:pPr>
        <w:spacing w:after="0" w:line="86" w:lineRule="exact"/>
        <w:rPr>
          <w:sz w:val="20"/>
          <w:szCs w:val="20"/>
          <w:color w:val="auto"/>
        </w:rPr>
      </w:pPr>
    </w:p>
    <w:p>
      <w:pPr>
        <w:ind w:left="340" w:right="320" w:hanging="224"/>
        <w:spacing w:after="0" w:line="25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purchaser is entitled under applicable provincial securities laws to purchase the shares of common stock without the benefit of a prospectus qualified under those securities laws, as it is an “accredited investor” as defined under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w:t>
      </w:r>
    </w:p>
    <w:p>
      <w:pPr>
        <w:spacing w:after="0" w:line="101" w:lineRule="exact"/>
        <w:rPr>
          <w:rFonts w:ascii="Arial" w:cs="Arial" w:eastAsia="Arial" w:hAnsi="Arial"/>
          <w:sz w:val="18"/>
          <w:szCs w:val="18"/>
          <w:color w:val="auto"/>
        </w:rPr>
      </w:pPr>
    </w:p>
    <w:p>
      <w:pPr>
        <w:ind w:left="340" w:right="660" w:hanging="224"/>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purchaser is a “permitted client” as defined under National Instrument 31-103—</w:t>
      </w:r>
      <w:r>
        <w:rPr>
          <w:rFonts w:ascii="Arial" w:cs="Arial" w:eastAsia="Arial" w:hAnsi="Arial"/>
          <w:sz w:val="18"/>
          <w:szCs w:val="18"/>
          <w:i w:val="1"/>
          <w:iCs w:val="1"/>
          <w:color w:val="auto"/>
        </w:rPr>
        <w:t>Registration Requirements, Exemptions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Ongoing Registrant Obligations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Conflicts of Interest</w:t>
      </w:r>
    </w:p>
    <w:p>
      <w:pPr>
        <w:spacing w:after="0" w:line="133"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Canadian purchasers are hereby notified that the underwriters relying on the exemption set out in section 3A.3 or 3A.4, if applicable, of National Instrument 33-105—</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to not provide certain conflict of interest disclosures in this document.</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Statutory Rights of Action</w:t>
      </w:r>
    </w:p>
    <w:p>
      <w:pPr>
        <w:spacing w:after="0" w:line="13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Enforcement of Legal Rights</w:t>
      </w:r>
    </w:p>
    <w:p>
      <w:pPr>
        <w:spacing w:after="0" w:line="146"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Taxation and Eligibility for Investment</w:t>
      </w:r>
    </w:p>
    <w:p>
      <w:pPr>
        <w:spacing w:after="0" w:line="146"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Canadian purchasers of the shares of common stock should consult their own legal and tax advisors with respect to the tax consequences of an investment in the shares of common stock in their particular circumstances and about the eligibility of the shares of common stock for investment by the purchaser under relevant Canadian legislation.</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48"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This prospectus supplement and the accompanying prospectus is not a disclosure document for the purposes of Australia’s Corporations Act 2001 (Cth) of Australia (the “Corporations Act”), has not been lodged with the Australian Securities and Investments Commission and is only directed to the categories of exempt persons set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out below. Accordingly, if you receive this prospectus supplement and the accompanying prospectus in Australia, you confirm and warrant that you are either:</w:t>
      </w:r>
    </w:p>
    <w:p>
      <w:pPr>
        <w:spacing w:after="0" w:line="86"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44" w:lineRule="exact"/>
        <w:rPr>
          <w:rFonts w:ascii="Arial" w:cs="Arial" w:eastAsia="Arial" w:hAnsi="Arial"/>
          <w:sz w:val="18"/>
          <w:szCs w:val="18"/>
          <w:color w:val="auto"/>
        </w:rPr>
      </w:pPr>
    </w:p>
    <w:p>
      <w:pPr>
        <w:ind w:left="340" w:right="40" w:hanging="224"/>
        <w:spacing w:after="0" w:line="25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that complies with the requirements of Section 708(8)(c)(i) or (ii) of the Corporations Act and related regulations before the offer has been made;</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“professional investor” under Section 708(11)(a) or (b) of the Corporations Act.</w:t>
      </w:r>
    </w:p>
    <w:p>
      <w:pPr>
        <w:spacing w:after="0" w:line="131"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supplement and the accompanying prospectus is void and incapable of acceptance.</w:t>
      </w:r>
    </w:p>
    <w:p>
      <w:pPr>
        <w:spacing w:after="0" w:line="101"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Further, you warrant and agree that you will not offer any of the securities issued to you pursuant to this prospectus supplement and the accompanying prospectus for resale in Australia within 12 months of those securities being issued unless any such resale offer is exempt from the requirement to issue a disclosure document under Section 708 of the Corporations Act.</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48"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This document does not constitute a prospectus under the Israeli Securities Law, 5728-1968 (the “Israeli Securities Law”), and has not been filed with or approved by the Israel Securities Authority. In Israel, this prospectus supplement and the accompanying prospectus is being distributed only to, and is directed only at, and any offer of the shares of common stock offered hereby is directed only at: (i) a limited number of persons in accordance with the Israeli Securities Law; and (ii) investors listed in the first addendum to the Israeli Securities Law, as it may be amended from time to time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the Addendum and agree to it.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shares of common stock may not be publicly offered in Switzerland and will not be listed on the SIX Swiss Exchange (“SIX”) or on any other stock exchange or regulated trading facility in Switzerland. This prospectus supplement and the accompanying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shares of common stock or the offering, may be publicly distributed or otherwise made publicly available in Switzerland.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Neither this prospectus supplement and the accompanying prospectus, nor any other offering or marketing material relating to the offering, the Company or the shares of common stock offered hereby, have been or will be filed with or approved by any Swiss regulatory authority. In particular, this prospectus supplement and the accompanying prospectus will not be filed with, and the offer of securities will not be supervised by, the Swiss Financial Market Supervisory Authority FINMA, and the offer of securities has not been and will not be authorized under the Swiss Federal Act on Collective Investment Schemes (the “CISA”). The investor protection afforded to acquirers of interests in collective investment schemes under the CISA does not extend to acquirers of shares of common stock offered hereby.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48"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The securities have not been, and are not being, publicly offered, sold, promoted or advertised in the United Arab Emirates (including the Dubai International Financial Centre (“DIFC”)) other than in compliance with the laws of the United Arab Emirates (and the DIFC) governing the issue, offering and sale of securities. Further, this prospectus supplement and the accompanying prospectus do not constitute a public offer of securities in the United Arab Emirates (including the DIFC) and is not intended to be a public offer. This prospectus supplement and the accompanying prospectus have not been approved by or filed with the Central Bank of the United Arab Emirates, the Securities and Commodities Authority, Financial Services Regulatory Authority or the Dubai Financial Services Authority.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148"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LEGAL MATTERS</w:t>
      </w:r>
    </w:p>
    <w:p>
      <w:pPr>
        <w:spacing w:after="0" w:line="154"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validity of the shares of common stock offered hereby will be passed upon by Goodwin Procter LLP, Boston, Massachusetts. Mintz, Levin, Cohn, Ferris, Glovsky, and Popeo, P.C., Boston, Massachusetts, is acting as counsel for the underwriters in connection with certain legal matters relating to this offering.</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EXPERTS</w:t>
      </w:r>
    </w:p>
    <w:p>
      <w:pPr>
        <w:spacing w:after="0" w:line="168"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on Form 10-K for the year ended December 31, 2024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WHERE YOU CAN FIND MORE INFORMATION</w:t>
      </w:r>
    </w:p>
    <w:p>
      <w:pPr>
        <w:spacing w:after="0" w:line="168"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 www.sec.gov. Copies of certain information filed by us with the SEC are also available on our website at http://www.fulcrumtx.com. Our website is not a part of this prospectus supplement and information contained on, or that can be accessed through our website, is not incorporated by reference in this prospectus supplement and the accompanying base prospectus.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supplement and the accompanying base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INCORPORATION OF CERTAIN DOCUMENTS BY REFERENCE</w:t>
      </w:r>
    </w:p>
    <w:p>
      <w:pPr>
        <w:spacing w:after="0" w:line="15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and the accompanying base prospectus.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(File No. 001-38978) and any future filings we make with the SEC under Sections 13(a), 13(c), 14 or 15(d) of the Exchange Act until the offering of securities offered hereby is terminated or completed (in each case, other than those documents or the portions deemed to have been “furnished” and not filed with the SEC, including those made pursuant to Item 2.02, Item 7.01 or Item 9.01 of Form 8-K or other information):</w:t>
      </w:r>
    </w:p>
    <w:p>
      <w:pPr>
        <w:spacing w:after="0" w:line="118" w:lineRule="exact"/>
        <w:rPr>
          <w:sz w:val="20"/>
          <w:szCs w:val="20"/>
          <w:color w:val="auto"/>
        </w:rPr>
      </w:pPr>
    </w:p>
    <w:p>
      <w:pPr>
        <w:ind w:left="340" w:right="120" w:hanging="224"/>
        <w:spacing w:after="0" w:line="25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Annual Report on Form 10-K for the year ended December 31, 2024, filed on February 25, 2025, including the information specifically incorporated by reference into our Annual Report on </w:t>
      </w:r>
      <w:hyperlink r:id="rId4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definitive proxy statement on </w:t>
      </w:r>
      <w:hyperlink r:id="rId50">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filed on April 30, 2025;</w:t>
      </w:r>
    </w:p>
    <w:p>
      <w:pPr>
        <w:spacing w:after="0" w:line="101" w:lineRule="exact"/>
        <w:rPr>
          <w:rFonts w:ascii="Arial" w:cs="Arial" w:eastAsia="Arial" w:hAnsi="Arial"/>
          <w:sz w:val="18"/>
          <w:szCs w:val="18"/>
          <w:color w:val="auto"/>
        </w:rPr>
      </w:pPr>
    </w:p>
    <w:p>
      <w:pPr>
        <w:ind w:left="340" w:right="420" w:hanging="224"/>
        <w:spacing w:after="0" w:line="271" w:lineRule="auto"/>
        <w:tabs>
          <w:tab w:leader="none" w:pos="340" w:val="left"/>
        </w:tabs>
        <w:numPr>
          <w:ilvl w:val="0"/>
          <w:numId w:val="24"/>
        </w:numPr>
        <w:rPr>
          <w:rFonts w:ascii="Arial" w:cs="Arial" w:eastAsia="Arial" w:hAnsi="Arial"/>
          <w:sz w:val="18"/>
          <w:szCs w:val="18"/>
          <w:color w:val="0000EE"/>
        </w:rPr>
      </w:pPr>
      <w:hyperlink r:id="rId51">
        <w:r>
          <w:rPr>
            <w:rFonts w:ascii="Arial" w:cs="Arial" w:eastAsia="Arial" w:hAnsi="Arial"/>
            <w:sz w:val="18"/>
            <w:szCs w:val="18"/>
            <w:color w:val="auto"/>
          </w:rPr>
          <w:t xml:space="preserve">Quarterly Reports on Form 10-Q for the quarters ended March 31, 2025, June 30, 2025 and September 30, 2025, filed on </w:t>
        </w:r>
        <w:r>
          <w:rPr>
            <w:rFonts w:ascii="Arial" w:cs="Arial" w:eastAsia="Arial" w:hAnsi="Arial"/>
            <w:sz w:val="18"/>
            <w:szCs w:val="18"/>
            <w:u w:val="single" w:color="auto"/>
            <w:color w:val="0000EE"/>
          </w:rPr>
          <w:t>May 1,</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2025</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2">
        <w:r>
          <w:rPr>
            <w:rFonts w:ascii="Arial" w:cs="Arial" w:eastAsia="Arial" w:hAnsi="Arial"/>
            <w:sz w:val="18"/>
            <w:szCs w:val="18"/>
            <w:u w:val="single" w:color="auto"/>
            <w:color w:val="0000EE"/>
          </w:rPr>
          <w:t xml:space="preserve">July 29, 2025 </w:t>
        </w:r>
      </w:hyperlink>
      <w:hyperlink r:id="rId51">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3">
        <w:r>
          <w:rPr>
            <w:rFonts w:ascii="Arial" w:cs="Arial" w:eastAsia="Arial" w:hAnsi="Arial"/>
            <w:sz w:val="18"/>
            <w:szCs w:val="18"/>
            <w:u w:val="single" w:color="auto"/>
            <w:color w:val="0000EE"/>
          </w:rPr>
          <w:t>October 29, 2025</w:t>
        </w:r>
      </w:hyperlink>
      <w:hyperlink r:id="rId51">
        <w:r>
          <w:rPr>
            <w:rFonts w:ascii="Arial" w:cs="Arial" w:eastAsia="Arial" w:hAnsi="Arial"/>
            <w:sz w:val="18"/>
            <w:szCs w:val="18"/>
            <w:color w:val="000000"/>
          </w:rPr>
          <w:t>, respectively;</w:t>
        </w:r>
      </w:hyperlink>
    </w:p>
    <w:p>
      <w:pPr>
        <w:spacing w:after="0" w:line="86" w:lineRule="exact"/>
        <w:rPr>
          <w:rFonts w:ascii="Arial" w:cs="Arial" w:eastAsia="Arial" w:hAnsi="Arial"/>
          <w:sz w:val="18"/>
          <w:szCs w:val="18"/>
          <w:color w:val="0000EE"/>
        </w:rPr>
      </w:pPr>
    </w:p>
    <w:p>
      <w:pPr>
        <w:ind w:left="340" w:hanging="224"/>
        <w:spacing w:after="0" w:line="271"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54">
        <w:r>
          <w:rPr>
            <w:rFonts w:ascii="Arial" w:cs="Arial" w:eastAsia="Arial" w:hAnsi="Arial"/>
            <w:sz w:val="18"/>
            <w:szCs w:val="18"/>
            <w:u w:val="single" w:color="auto"/>
            <w:color w:val="0000EE"/>
          </w:rPr>
          <w:t>March 4, 2025</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June 27, 2025</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July 29, 2025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information furnished rather than filed), and </w:t>
      </w:r>
      <w:hyperlink r:id="rId57">
        <w:r>
          <w:rPr>
            <w:rFonts w:ascii="Arial" w:cs="Arial" w:eastAsia="Arial" w:hAnsi="Arial"/>
            <w:sz w:val="18"/>
            <w:szCs w:val="18"/>
            <w:u w:val="single" w:color="auto"/>
            <w:color w:val="0000EE"/>
          </w:rPr>
          <w:t>December 8, 2025</w:t>
        </w:r>
      </w:hyperlink>
      <w:r>
        <w:rPr>
          <w:rFonts w:ascii="Arial" w:cs="Arial" w:eastAsia="Arial" w:hAnsi="Arial"/>
          <w:sz w:val="18"/>
          <w:szCs w:val="18"/>
          <w:color w:val="auto"/>
        </w:rPr>
        <w:t>; and</w:t>
      </w:r>
    </w:p>
    <w:p>
      <w:pPr>
        <w:spacing w:after="0" w:line="86" w:lineRule="exact"/>
        <w:rPr>
          <w:rFonts w:ascii="Arial" w:cs="Arial" w:eastAsia="Arial" w:hAnsi="Arial"/>
          <w:sz w:val="18"/>
          <w:szCs w:val="18"/>
          <w:color w:val="auto"/>
        </w:rPr>
      </w:pPr>
    </w:p>
    <w:p>
      <w:pPr>
        <w:ind w:left="340" w:right="40" w:hanging="224"/>
        <w:spacing w:after="0" w:line="25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July 12, 2019, as updated and superseded by the description of our capital stock contained in </w:t>
      </w:r>
      <w:hyperlink r:id="rId59">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2020, and in including any amendments and reports filed for the purpose of updating such description.</w:t>
      </w:r>
    </w:p>
    <w:p>
      <w:pPr>
        <w:spacing w:after="0" w:line="101"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144"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Fulcrum Therapeutics, Inc.</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26 Landsdowne Street</w:t>
      </w:r>
    </w:p>
    <w:p>
      <w:pPr>
        <w:jc w:val="center"/>
        <w:ind w:right="-179"/>
        <w:spacing w:after="0" w:line="234" w:lineRule="auto"/>
        <w:rPr>
          <w:sz w:val="20"/>
          <w:szCs w:val="20"/>
          <w:color w:val="auto"/>
        </w:rPr>
      </w:pPr>
      <w:r>
        <w:rPr>
          <w:rFonts w:ascii="Arial" w:cs="Arial" w:eastAsia="Arial" w:hAnsi="Arial"/>
          <w:sz w:val="18"/>
          <w:szCs w:val="18"/>
          <w:color w:val="auto"/>
        </w:rPr>
        <w:t>Cambridge, Massachusetts 02139</w:t>
      </w:r>
    </w:p>
    <w:p>
      <w:pPr>
        <w:jc w:val="center"/>
        <w:ind w:right="-179"/>
        <w:spacing w:after="0" w:line="235" w:lineRule="auto"/>
        <w:rPr>
          <w:sz w:val="20"/>
          <w:szCs w:val="20"/>
          <w:color w:val="auto"/>
        </w:rPr>
      </w:pPr>
      <w:r>
        <w:rPr>
          <w:rFonts w:ascii="Arial" w:cs="Arial" w:eastAsia="Arial" w:hAnsi="Arial"/>
          <w:sz w:val="18"/>
          <w:szCs w:val="18"/>
          <w:color w:val="auto"/>
        </w:rPr>
        <w:t>Attn: Investor Relations</w:t>
      </w:r>
    </w:p>
    <w:p>
      <w:pPr>
        <w:spacing w:after="0" w:line="1" w:lineRule="exact"/>
        <w:rPr>
          <w:rFonts w:ascii="Arial" w:cs="Arial" w:eastAsia="Arial" w:hAnsi="Arial"/>
          <w:sz w:val="18"/>
          <w:szCs w:val="18"/>
          <w:color w:val="auto"/>
        </w:rPr>
      </w:pPr>
    </w:p>
    <w:p>
      <w:pPr>
        <w:ind w:left="5440" w:right="4820" w:hanging="431"/>
        <w:spacing w:after="0" w:line="462" w:lineRule="auto"/>
        <w:tabs>
          <w:tab w:leader="none" w:pos="5485" w:val="left"/>
        </w:tabs>
        <w:numPr>
          <w:ilvl w:val="0"/>
          <w:numId w:val="25"/>
        </w:numPr>
        <w:rPr>
          <w:rFonts w:ascii="Arial" w:cs="Arial" w:eastAsia="Arial" w:hAnsi="Arial"/>
          <w:sz w:val="17"/>
          <w:szCs w:val="17"/>
          <w:color w:val="auto"/>
        </w:rPr>
      </w:pPr>
      <w:r>
        <w:rPr>
          <w:rFonts w:ascii="Arial" w:cs="Arial" w:eastAsia="Arial" w:hAnsi="Arial"/>
          <w:sz w:val="17"/>
          <w:szCs w:val="17"/>
          <w:color w:val="auto"/>
        </w:rPr>
        <w:t>651-8851 S-25</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97155</wp:posOffset>
            </wp:positionV>
            <wp:extent cx="2897505" cy="702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289750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$350,000,000</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up to an aggregate value of $350,000,000.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8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may offer and sell these securities in amounts, at prices and on terms determined at the time of offering and which will be set forth in a prospectus supplement to this prospectus and any related free writing prospectus. The securities may be sold directly to you, through agents, or through underwriters and dealers. If agents, underwriters or dealers are used to sell the securities, we will name them and describe their compensation in a prospectus supplement.</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 On February 26, 2024, the closing price for our common stock, as reported on The Nasdaq Global Market, was $9.73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40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176"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25, 2024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76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3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440" w:type="dxa"/>
            <w:vAlign w:val="bottom"/>
            <w:gridSpan w:val="8"/>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7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2600" w:type="dxa"/>
            <w:vAlign w:val="bottom"/>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76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 AND INDUSTRY DATA</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7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ABOUT FULCRUM THERAPEUTICS, INC.</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760" w:type="dxa"/>
            <w:vAlign w:val="bottom"/>
            <w:tcBorders>
              <w:top w:val="single" w:sz="8" w:color="0000EE"/>
            </w:tcBorders>
            <w:gridSpan w:val="9"/>
          </w:tcPr>
          <w:p>
            <w:pPr>
              <w:spacing w:after="0"/>
              <w:rPr>
                <w:sz w:val="17"/>
                <w:szCs w:val="17"/>
                <w:color w:val="auto"/>
              </w:rPr>
            </w:pPr>
          </w:p>
        </w:tc>
        <w:tc>
          <w:tcPr>
            <w:tcW w:w="4320" w:type="dxa"/>
            <w:vAlign w:val="bottom"/>
            <w:gridSpan w:val="3"/>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640" w:type="dxa"/>
            <w:vAlign w:val="bottom"/>
            <w:gridSpan w:val="5"/>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7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33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4340" w:type="dxa"/>
            <w:vAlign w:val="bottom"/>
            <w:gridSpan w:val="4"/>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640" w:type="dxa"/>
            <w:vAlign w:val="bottom"/>
            <w:gridSpan w:val="10"/>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180" w:type="dxa"/>
            <w:vAlign w:val="bottom"/>
            <w:gridSpan w:val="7"/>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7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7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5620" w:type="dxa"/>
            <w:vAlign w:val="bottom"/>
            <w:gridSpan w:val="9"/>
          </w:tcPr>
          <w:p>
            <w:pPr>
              <w:spacing w:after="0"/>
              <w:rPr>
                <w:sz w:val="17"/>
                <w:szCs w:val="17"/>
                <w:color w:val="auto"/>
              </w:rPr>
            </w:pP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7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amount of up to $350,000,000.</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of this prospectus.</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“we,” “our” and “us” refer, collectively, to Fulcrum Therapeutics, Inc., a Delaware corporation, and its consolidated subsidiary.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under “Risk Factors” in our most recent Annual Report on Form 10-K and in our most recent Quarterly Report on Form 10-Q, as well as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9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6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on February 27, 2024;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July 12, 2019, as the description therein has been updated and superseded by the description of our capital stock contained in </w:t>
      </w:r>
      <w:hyperlink r:id="rId59">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2020, and including any amendments and reports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calling us at the following address or telephone number:</w:t>
      </w:r>
    </w:p>
    <w:p>
      <w:pPr>
        <w:spacing w:after="0" w:line="11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651-8851</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 Our most advanced clinical-stage product candidate, losmapimod, is being developed for the potential treatment of facioscapulohumeral muscular dystrophy, or FSHD. Our other clinical-stage product candidate is pociredir, formerly known as FTX-6058, which is being developed for the potential treatment of sickle cell disease, or SCD. We initiated REACH, a randomized, double-blind, placebo-controlled, multi-national Phase 3 clinical trial of losmapimod in the second quarter of 2022 and we completed enrollment during September 2023. The trial enrolled 260 patients. We expect to report topline data from REACH in the fourth quarter of 2024.</w:t>
      </w:r>
    </w:p>
    <w:p>
      <w:pPr>
        <w:spacing w:after="0" w:line="18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In January 2023, we announced interim data from our Phase 1b clinical trial of pociredir in SCD. We completed enrollment in the 6 mg and 2 mg dose cohorts, and we do not plan to enroll additional subjects in these cohorts. Although we commenced enrollment in the 12 mg dose cohort, in February 2023 the U.S. Food and Drug Administration placed a full clinical hold on the Investigational New Drug application for pociredir for SCD, which was lifted in August 2023. The Phase 1b clinical trial is being re-initiated at the 12 mg once daily dose level, with that cohort expected to enroll approximately 10 patients, and will be followed by an additional cohort of approximately 10 patients at the 20 mg once daily dose level. Following the clinical hold, we amended the protocol to revise the inclusion and exclusion criteria for the Phase 1b clinical trial to target patients with higher disease severity.</w:t>
      </w:r>
    </w:p>
    <w:p>
      <w:pPr>
        <w:spacing w:after="0" w:line="18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In addition to product candidate development, we have developed a drug discovery approach that we employ to systematically identify and validate cellular drug targets that can potentially modulate gene expression to treat known root causes of genetically defined rare diseases. Our discovery approach led to the identification of both losmapimod for FSHD and pociredir for SCD, as well as a robust discovery pipeline.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0" w:lineRule="exact"/>
        <w:rPr>
          <w:sz w:val="20"/>
          <w:szCs w:val="20"/>
          <w:color w:val="auto"/>
        </w:rPr>
      </w:pPr>
    </w:p>
    <w:p>
      <w:pPr>
        <w:ind w:left="120" w:right="120"/>
        <w:spacing w:after="0" w:line="278" w:lineRule="auto"/>
        <w:rPr>
          <w:sz w:val="20"/>
          <w:szCs w:val="20"/>
          <w:color w:val="auto"/>
        </w:rPr>
      </w:pPr>
      <w:r>
        <w:rPr>
          <w:rFonts w:ascii="Times New Roman" w:cs="Times New Roman" w:eastAsia="Times New Roman" w:hAnsi="Times New Roman"/>
          <w:sz w:val="17"/>
          <w:szCs w:val="17"/>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we will assert, to the fullest extent under applicable law, our rights to our trademarks, service marks and trade names.</w:t>
      </w: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and potential acquisition of, or investment in, companies, technologies, products or assets that complement our business. We have not determined the amount of net proceeds to be used specifically for such purposes. As a result, management will retain broad discretion over the allocation of the net proceeds of any offering.</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the senior debt securities and the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indentures:</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of the series is payable;</w:t>
      </w:r>
    </w:p>
    <w:p>
      <w:pPr>
        <w:spacing w:after="0" w:line="27" w:lineRule="exact"/>
        <w:rPr>
          <w:rFonts w:ascii="Times New Roman" w:cs="Times New Roman" w:eastAsia="Times New Roman" w:hAnsi="Times New Roman"/>
          <w:sz w:val="18"/>
          <w:szCs w:val="18"/>
          <w:color w:val="auto"/>
        </w:rPr>
      </w:pPr>
    </w:p>
    <w:p>
      <w:pPr>
        <w:ind w:left="1080" w:right="260" w:hanging="424"/>
        <w:spacing w:after="0" w:line="253"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the series shall bear interest or the manner of calculation of such rate or rates, if any;</w:t>
      </w:r>
    </w:p>
    <w:p>
      <w:pPr>
        <w:spacing w:after="0" w:line="130" w:lineRule="exact"/>
        <w:rPr>
          <w:rFonts w:ascii="Times New Roman" w:cs="Times New Roman" w:eastAsia="Times New Roman" w:hAnsi="Times New Roman"/>
          <w:sz w:val="18"/>
          <w:szCs w:val="18"/>
          <w:color w:val="auto"/>
        </w:rPr>
      </w:pPr>
    </w:p>
    <w:p>
      <w:pPr>
        <w:jc w:val="both"/>
        <w:ind w:left="1080" w:right="54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debt securities of the series may be redeemed, converted or exchanged, in whole or in part;</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 including the form of the Certificate of Authentication for such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one thousand U.S. dollars ($1,000) or any integral multiple of $1,000 thereof, the denominations in which the debt securities of the series shall be issuable;</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 to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covenants to those set forth in the indenture;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88"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debt securities than those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insofar as it applies to such series).</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67" w:lineRule="exact"/>
        <w:rPr>
          <w:sz w:val="20"/>
          <w:szCs w:val="20"/>
          <w:color w:val="auto"/>
        </w:rPr>
      </w:pPr>
    </w:p>
    <w:p>
      <w:pPr>
        <w:ind w:left="1080" w:hanging="424"/>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and interest on, all of the debt securities and (b)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80"/>
        <w:spacing w:after="0" w:line="312" w:lineRule="auto"/>
        <w:rPr>
          <w:sz w:val="20"/>
          <w:szCs w:val="20"/>
          <w:color w:val="auto"/>
        </w:rPr>
      </w:pPr>
      <w:r>
        <w:rPr>
          <w:rFonts w:ascii="Times New Roman" w:cs="Times New Roman" w:eastAsia="Times New Roman" w:hAnsi="Times New Roman"/>
          <w:sz w:val="17"/>
          <w:szCs w:val="17"/>
          <w:color w:val="auto"/>
        </w:rPr>
        <w:t>stock or other securities of ours deliverable upon conversion or exchange of those debt securities would have been entitled had such conversion or exchange occurred immediately prior to such consolidation, merger, sale, conveyance, transfer or other disposition; and</w:t>
      </w:r>
    </w:p>
    <w:p>
      <w:pPr>
        <w:spacing w:after="0" w:line="4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67" w:lineRule="exact"/>
        <w:rPr>
          <w:sz w:val="20"/>
          <w:szCs w:val="20"/>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90 days unless such date has been extended or deferred;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on, any debt security of such series when due and payable unless such date has been extended or deferred;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90 days after written notice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7" w:lineRule="exact"/>
        <w:rPr>
          <w:sz w:val="20"/>
          <w:szCs w:val="20"/>
          <w:color w:val="auto"/>
        </w:rPr>
      </w:pPr>
    </w:p>
    <w:p>
      <w:pPr>
        <w:ind w:left="1080" w:right="1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interest and, to the extent permitted by law, interest on overdue installment of interest, plus applicable fees, expenses, disbursements and advances of the applicable trustee;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have been cured or waived.</w:t>
      </w:r>
    </w:p>
    <w:p>
      <w:pPr>
        <w:spacing w:after="0" w:line="16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w:t>
      </w:r>
    </w:p>
    <w:p>
      <w:pPr>
        <w:spacing w:after="0" w:line="18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85"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event of default under the applicable indenture. If the officer has knowledge of any event of default, the notice must specify the nature and status of the default.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Indentures</w:t>
      </w:r>
    </w:p>
    <w:p>
      <w:pPr>
        <w:spacing w:after="0" w:line="22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8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of the series of debt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or repurchase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and the applicable trustee may make modifications and amendments of an indenture without the consent of any holder of debt securities for any of the following purposes:</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applicable indenture or in the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covenant described above under “ —Merger, Consolidation or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w:t>
      </w:r>
    </w:p>
    <w:p>
      <w:pPr>
        <w:spacing w:after="0" w:line="88"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applicable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notes under the applicable indenture in any material respect;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applicable indenture by a successor trustee or to appoint a separate trustee with respect to any series; or</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or any successor in connection with the qualification of the indenture under the Trust Indenture Act of 1939, as amended, or the Trust Indenture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Payment by us of the principal of, premium, if any, and interest on any series of subordinated debt securities issued under the subordinated indenture will be subordinated to the extent set forth in an indenture supplemental to the subordinated indenture relating to such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allow us to discharge our obligations (except for certain specified obligations) to holders of any series of debt securities issued under any indenture when:</w:t>
      </w:r>
    </w:p>
    <w:p>
      <w:pPr>
        <w:spacing w:after="0" w:line="67" w:lineRule="exact"/>
        <w:rPr>
          <w:sz w:val="20"/>
          <w:szCs w:val="20"/>
          <w:color w:val="auto"/>
        </w:rPr>
      </w:pPr>
    </w:p>
    <w:p>
      <w:pPr>
        <w:ind w:left="1080" w:right="80" w:hanging="424"/>
        <w:spacing w:after="0" w:line="25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and</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(except for certain specified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ours will be set forth in the applicable prospectus supplement. The terms will include whether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certificate of incorporation and bylaws are summaries. You should also refer to the restated certificate of incorporation, as amended, and the amended and restated bylaws, which are filed as exhibits to the registration statement of which this prospectus is part.</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83"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45" w:lineRule="exact"/>
        <w:rPr>
          <w:sz w:val="20"/>
          <w:szCs w:val="20"/>
          <w:color w:val="auto"/>
        </w:rPr>
      </w:pPr>
    </w:p>
    <w:p>
      <w:pPr>
        <w:ind w:left="5540" w:right="2980" w:hanging="4884"/>
        <w:spacing w:after="0" w:line="454" w:lineRule="auto"/>
        <w:tabs>
          <w:tab w:leader="none" w:pos="10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stock and the number of shares offered; 14</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elected to offer depositary shares as described under “Description of Depositary Shares;” and</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stock.</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78"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specified in the prospectus supplement, the preferred stock will, with respect to dividend rights and rights upon our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winding up of our affairs, rank:</w:t>
      </w:r>
    </w:p>
    <w:p>
      <w:pPr>
        <w:spacing w:after="0" w:line="66" w:lineRule="exact"/>
        <w:rPr>
          <w:sz w:val="20"/>
          <w:szCs w:val="20"/>
          <w:color w:val="auto"/>
        </w:rPr>
      </w:pPr>
    </w:p>
    <w:p>
      <w:pPr>
        <w:ind w:left="10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223"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preferred stock of each series will be entitled to receive, when, as and if declared by our board of directors, cash dividends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rates and on such dates described in the prospectus supplement.</w:t>
      </w:r>
    </w:p>
    <w:p>
      <w:pPr>
        <w:spacing w:after="0" w:line="16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described in the applicable prospectus supplement. If our board of directors does not declare a dividend payable on a dividend payment date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80" w:lineRule="exact"/>
        <w:rPr>
          <w:sz w:val="20"/>
          <w:szCs w:val="20"/>
          <w:color w:val="auto"/>
        </w:rPr>
      </w:pPr>
    </w:p>
    <w:p>
      <w:pPr>
        <w:jc w:val="both"/>
        <w:ind w:left="120" w:right="120"/>
        <w:spacing w:after="0" w:line="312" w:lineRule="auto"/>
        <w:rPr>
          <w:sz w:val="20"/>
          <w:szCs w:val="20"/>
          <w:color w:val="auto"/>
        </w:rPr>
      </w:pPr>
      <w:r>
        <w:rPr>
          <w:rFonts w:ascii="Times New Roman" w:cs="Times New Roman" w:eastAsia="Times New Roman" w:hAnsi="Times New Roman"/>
          <w:sz w:val="17"/>
          <w:szCs w:val="17"/>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4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7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voluntary or involuntary liquidation, dissolution or winding up of our affairs, then, before we make any distribution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1"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so provided in the applicable prospectus supplement, the preferred stock will be subject to mandatory redemption or redemption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as a whole or in part, in each case upon the terms, at the times and at the redemption prices set forth in such prospectus supplement.</w:t>
      </w:r>
    </w:p>
    <w:p>
      <w:pPr>
        <w:spacing w:after="0" w:line="16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applicable shares of our capital stock pursuant to conversion provisions specified in the applicable prospectus supplement. Notwithstanding the foregoing, we will not redeem any preferred stock of a series unless:</w:t>
      </w:r>
    </w:p>
    <w:p>
      <w:pPr>
        <w:spacing w:after="0" w:line="67" w:lineRule="exact"/>
        <w:rPr>
          <w:sz w:val="20"/>
          <w:szCs w:val="20"/>
          <w:color w:val="auto"/>
        </w:rPr>
      </w:pPr>
    </w:p>
    <w:p>
      <w:pPr>
        <w:ind w:left="1080" w:right="1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we will not acquire any preferred stock of a series unless:</w:t>
      </w:r>
    </w:p>
    <w:p>
      <w:pPr>
        <w:spacing w:after="0" w:line="131" w:lineRule="exact"/>
        <w:rPr>
          <w:sz w:val="20"/>
          <w:szCs w:val="20"/>
          <w:color w:val="auto"/>
        </w:rPr>
      </w:pPr>
    </w:p>
    <w:p>
      <w:pPr>
        <w:ind w:left="1080" w:right="6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202"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76"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58"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45"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stock to be redeemed;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preferred stock are to be surrendered for payment of 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such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conversion rights, if any, as to such shares shall terminate;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to be redeemed from each such holder if fewer than all the shares of any series are to be redeemed.</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70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preferred stock will not have any voting rights, except as required by law or as indicated in the applicable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w:t>
      </w:r>
    </w:p>
    <w:p>
      <w:pPr>
        <w:spacing w:after="0" w:line="16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stock is convertible into shares of our common stock will be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preferred stock will be set forth in the applicable prospectus supplement.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Anti-Takeover Law and Certain Charter and Bylaw Provisions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Certain provisions of our certificate of incorporation, our bylaws and Delaware law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 Removal of Directors</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 Advance Notice Requirements for Stockholder Proposals and Director Nominations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the Exchange Act or any other claim for which the federal courts have exclusive jurisdiction.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139"/>
          </w:cols>
          <w:pgMar w:left="320" w:top="455"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60"/>
          </w:cols>
          <w:pgMar w:left="320" w:top="455"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may issue units consisting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We may issue units in one or more series, which will be described in the applicable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8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unit agent for the units, if applicable,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for the issuance, payment, settlement, transfer or exchange of the units or of the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governing unit agreement, if applicable.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stock or depositary shares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or depositary shares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of a particular series,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7"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4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0"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6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 negotiated sales or competitively bid transactions;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dealer may then resell such securities to the public at varying prices to be determined by such dealer at the time of resale.</w:t>
      </w:r>
    </w:p>
    <w:p>
      <w:pPr>
        <w:spacing w:after="0" w:line="20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93" w:lineRule="exact"/>
        <w:rPr>
          <w:sz w:val="20"/>
          <w:szCs w:val="20"/>
          <w:color w:val="auto"/>
        </w:rPr>
      </w:pPr>
    </w:p>
    <w:p>
      <w:pPr>
        <w:ind w:left="1080" w:right="1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80"/>
          </w:cols>
          <w:pgMar w:left="320" w:top="455" w:right="6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Fulcrum Therapeutics, Inc. appearing in Fulcrum Therapeutics,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i w:val="1"/>
          <w:i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1077595</wp:posOffset>
            </wp:positionV>
            <wp:extent cx="1337310" cy="342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13373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Book-Running Managers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380"/>
        <w:spacing w:after="0"/>
        <w:rPr>
          <w:sz w:val="20"/>
          <w:szCs w:val="20"/>
          <w:color w:val="auto"/>
        </w:rPr>
      </w:pPr>
      <w:r>
        <w:rPr>
          <w:rFonts w:ascii="Arial" w:cs="Arial" w:eastAsia="Arial" w:hAnsi="Arial"/>
          <w:sz w:val="29"/>
          <w:szCs w:val="29"/>
          <w:b w:val="1"/>
          <w:bCs w:val="1"/>
          <w:color w:val="auto"/>
        </w:rPr>
        <w:t>Leerink Partners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Oppenheimer &amp; Co.                  Truist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Cantor</w:t>
      </w:r>
    </w:p>
    <w:p>
      <w:pPr>
        <w:spacing w:after="0" w:line="1025" w:lineRule="exact"/>
        <w:rPr>
          <w:sz w:val="20"/>
          <w:szCs w:val="20"/>
          <w:color w:val="auto"/>
        </w:rPr>
      </w:pPr>
    </w:p>
    <w:p>
      <w:pPr>
        <w:sectPr>
          <w:pgSz w:w="11900" w:h="16838" w:orient="portrait"/>
          <w:cols w:equalWidth="0" w:num="3">
            <w:col w:w="1720" w:space="440"/>
            <w:col w:w="7320" w:space="720"/>
            <w:col w:w="940"/>
          </w:cols>
          <w:pgMar w:left="320" w:top="455" w:right="43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28"/>
          <w:szCs w:val="28"/>
          <w:b w:val="1"/>
          <w:bCs w:val="1"/>
          <w:color w:val="auto"/>
        </w:rPr>
        <w:t>, 2025</w:t>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lvl w:ilvl="1">
      <w:lvlJc w:val="left"/>
      <w:lvlText w:val="•"/>
      <w:numFmt w:val="bullet"/>
      <w:start w:val="1"/>
    </w:lvl>
  </w:abstractNum>
  <w:abstractNum w:abstractNumId="5">
    <w:nsid w:val="2901D82"/>
    <w:multiLevelType w:val="hybridMultilevel"/>
    <w:lvl w:ilvl="0">
      <w:lvlJc w:val="left"/>
      <w:lvlText w:val="•"/>
      <w:numFmt w:val="bullet"/>
      <w:start w:val="1"/>
    </w:lvl>
    <w:lvl w:ilvl="1">
      <w:lvlJc w:val="left"/>
      <w:lvlText w:val="•"/>
      <w:numFmt w:val="bullet"/>
      <w:start w:val="1"/>
    </w:lvl>
  </w:abstractNum>
  <w:abstractNum w:abstractNumId="6">
    <w:nsid w:val="3A95F874"/>
    <w:multiLevelType w:val="hybridMultilevel"/>
    <w:lvl w:ilvl="0">
      <w:lvlJc w:val="left"/>
      <w:lvlText w:val="(%1)"/>
      <w:numFmt w:val="decimal"/>
      <w:start w:val="617"/>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lowerRoman"/>
      <w:start w:val="2"/>
    </w:lvl>
  </w:abstractNum>
  <w:abstractNum w:abstractNumId="13">
    <w:nsid w:val="4516DDE9"/>
    <w:multiLevelType w:val="hybridMultilevel"/>
    <w:lvl w:ilvl="0">
      <w:lvlJc w:val="left"/>
      <w:lvlText w:val="(%1)"/>
      <w:numFmt w:val="lowerLetter"/>
      <w:start w:val="5"/>
    </w:lvl>
  </w:abstractNum>
  <w:abstractNum w:abstractNumId="14">
    <w:nsid w:val="3006C83E"/>
    <w:multiLevelType w:val="hybridMultilevel"/>
    <w:lvl w:ilvl="0">
      <w:lvlJc w:val="left"/>
      <w:lvlText w:val="(%1)"/>
      <w:numFmt w:val="lowerLetter"/>
      <w:start w:val="6"/>
    </w:lvl>
  </w:abstractNum>
  <w:abstractNum w:abstractNumId="15">
    <w:nsid w:val="614FD4A1"/>
    <w:multiLevelType w:val="hybridMultilevel"/>
    <w:lvl w:ilvl="0">
      <w:lvlJc w:val="left"/>
      <w:lvlText w:val="(%1)"/>
      <w:numFmt w:val="lowerLetter"/>
      <w:start w:val="25"/>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lowerRoman"/>
      <w:start w:val="2"/>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lowerRoman"/>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617"/>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617"/>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jpe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jpeg"/><Relationship Id="rId49" Type="http://schemas.openxmlformats.org/officeDocument/2006/relationships/hyperlink" Target="http://www.sec.gov/ix?doc=/Archives/edgar/data/0001680581/000095017025026068/fulc-20241231.htm" TargetMode="External"/><Relationship Id="rId50" Type="http://schemas.openxmlformats.org/officeDocument/2006/relationships/hyperlink" Target="http://www.sec.gov/ix?doc=/Archives/edgar/data/1680581/000095017025061000/fulc-20250425.htm" TargetMode="External"/><Relationship Id="rId51" Type="http://schemas.openxmlformats.org/officeDocument/2006/relationships/hyperlink" Target="http://www.sec.gov/ix?doc=/Archives/edgar/data/0001680581/000095017025061442/fulc-20250331.htm" TargetMode="External"/><Relationship Id="rId52" Type="http://schemas.openxmlformats.org/officeDocument/2006/relationships/hyperlink" Target="http://www.sec.gov/ix?doc=/Archives/edgar/data/0001680581/000095017025099407/fulc-20250630.htm" TargetMode="External"/><Relationship Id="rId53" Type="http://schemas.openxmlformats.org/officeDocument/2006/relationships/hyperlink" Target="http://www.sec.gov/ix?doc=/Archives/edgar/data/0001680581/000119312525254633/fulc-20250930.htm" TargetMode="External"/><Relationship Id="rId54" Type="http://schemas.openxmlformats.org/officeDocument/2006/relationships/hyperlink" Target="http://www.sec.gov/ix?doc=/Archives/edgar/data/0001680581/000095017025032355/fulc-20250226.htm" TargetMode="External"/><Relationship Id="rId55" Type="http://schemas.openxmlformats.org/officeDocument/2006/relationships/hyperlink" Target="http://www.sec.gov/ix?doc=/Archives/edgar/data/0001680581/000119312525151276/d916678d8k.htm" TargetMode="External"/><Relationship Id="rId56" Type="http://schemas.openxmlformats.org/officeDocument/2006/relationships/hyperlink" Target="http://www.sec.gov/ix?doc=/Archives/edgar/data/0001680581/000095017025099404/fulc-20250729.htm" TargetMode="External"/><Relationship Id="rId57" Type="http://schemas.openxmlformats.org/officeDocument/2006/relationships/hyperlink" Target="http://www.sec.gov/ix?doc=/Archives/edgar/data/0001680581/000119312525310509/fulc-20251208.htm" TargetMode="External"/><Relationship Id="rId58" Type="http://schemas.openxmlformats.org/officeDocument/2006/relationships/hyperlink" Target="http://www.sec.gov/Archives/edgar/data/1680581/000110465919040208/a19-3408_78a12b.htm" TargetMode="External"/><Relationship Id="rId59" Type="http://schemas.openxmlformats.org/officeDocument/2006/relationships/hyperlink" Target="http://www.sec.gov/Archives/edgar/data/1680581/000156459020008951/fulc-ex42_198.htm" TargetMode="External"/><Relationship Id="rId69" Type="http://schemas.openxmlformats.org/officeDocument/2006/relationships/hyperlink" Target="http://www.sec.gov/ix?doc=/Archives/edgar/data/1680581/000095017024021074/fulc-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2025-12-08T16:02:40Z</dcterms:created>
  <dcterms:modified xsi:type="dcterms:W3CDTF">2025-12-08T16:02:40Z</dcterms:modified>
</cp:coreProperties>
</file>