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6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79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April 23, 2026, Fulcrum Therapeutics, Inc., or Fulcrum, provided written notice to CAMP4 Therapeutics Corp., or CAMP4, of termination of the License Agreement dated July 5, 2023, between Fulcrum and CAMP4, or the CAMP4 License, which termination will be effective in accordance with the terms of such agreement.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the CAMP4 License, Fulcrum received a worldwide exclusive license (including the right to sublicense) from CAMP4 to rights under its Diamond-Blackfan anemia program, including certain small molecule compounds, composition of matter and method of use patent rights, and know-how for Fulcrum to research, develop, manufacture, use, commercialize or otherwise exploit therapeutic products in any indication, including the grant of a sublicense under certain intellectual property rights that CAMP4 under an agreement with Children’s Medical Center Corporation, or CMCC.</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Fulcrum made an undisclosed upfront non-refundable, non-creditable payment to CAMP4. Additionally, if Fulcrum had succeeded in developing and commercializing licensed products, CAMP4 would have been eligible to receive (i) up to $35.0 million in development and regulatory milestone payments and (ii) up to $35.0 million in sales milestone payments. CAMP4 also would have been eligible for royalty payments under the CAMP4 License.</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of the CAMP4 License is qualified in its entirety by reference to the full text of the agreement, a copy of which was filed with the Securities and Exchange Commission as Exhibit 10.1 to Fulcrum’s Quarterly Report on Form 10-Q on November 7,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April 27, 2026, Fulcrum announced its financial results for the quarter ended March 31, 2026. The full text of the press release issued in connection with the announcement is being furnished as Exhibit 99.1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w:t>
      </w:r>
    </w:p>
    <w:p>
      <w:pPr>
        <w:spacing w:after="0" w:line="2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April 23, 2026, the board of directors, or the Board, of Fulcrum, upon the recommendation of the Nominating and Corporate Governance Committee of the Board, appointed Josh Lehrer as a member of the Board, with immediate effect. Mr. Lehrer will serve as a Class III director with a term expiring at Fulcrum’s 2028 annual meeting of stockholders and thereafter until his successor has been duly elected and qualified or until his earlier death, resignation or removal. Mr. Lehrer was appointed to serve on the Science &amp; Technology Committee. The Board has determined that Mr. Lehrer is “independent” as contemplated by the Nasdaq Stock Market and other governing laws and applicable regulations.</w:t>
      </w:r>
    </w:p>
    <w:p>
      <w:pPr>
        <w:spacing w:after="0" w:line="183" w:lineRule="exact"/>
        <w:rPr>
          <w:sz w:val="20"/>
          <w:szCs w:val="20"/>
          <w:color w:val="auto"/>
        </w:rPr>
      </w:pPr>
    </w:p>
    <w:p>
      <w:pPr>
        <w:jc w:val="both"/>
        <w:ind w:right="440"/>
        <w:spacing w:after="0" w:line="312" w:lineRule="auto"/>
        <w:rPr>
          <w:sz w:val="20"/>
          <w:szCs w:val="20"/>
          <w:color w:val="auto"/>
        </w:rPr>
      </w:pPr>
      <w:r>
        <w:rPr>
          <w:rFonts w:ascii="Times New Roman" w:cs="Times New Roman" w:eastAsia="Times New Roman" w:hAnsi="Times New Roman"/>
          <w:sz w:val="17"/>
          <w:szCs w:val="17"/>
          <w:color w:val="auto"/>
        </w:rPr>
        <w:t>There are no arrangements or understandings between Mr. Lehrer and any other persons pursuant to which he was appointed as director. There are no transactions in which Mr. Lehrer has an interest requiring disclosure under Item 404(a) of Regulation S-K of the Securities Act of 1933, as amended.</w:t>
      </w:r>
    </w:p>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Mr. Lehrer will receive compensation for his services as a non-employee director and for any committee service in accordance with Fulcrum’s non-employee director compensation policy, a summary of which was filed as Exhibit 10.16 to Fulcrum’s Annual Report on Form 10-K for the fiscal year ended December 31, 2025 filed with the Securities and Exchange Commission, or SEC, on February 24, 2026, including the automatic grant of a one-time nonqualified stock option under Fulcrum’s 2019 Stock Incentive Plan to purchase 64,000 shares of Fulcrum’s common stock, $0.001 par value per share at an exercise price per share equal to $8.08 per share, the closing price on the Nasdaq Global Market on April 23, 2026, the effective date of his appointment to the Board.</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his appointment, Mr. Lehrer entered into Fulcrum’s standard form of indemnification agreement, a copy of which was filed as Exhibit 10.15 to Fulcrum’s Registration Statement on Form S-1 (File No. 333-232260) filed with the SEC on June 21, 2019. Pursuant to the terms of the indemnification agreement, Fulcrum may be required, among other things, to indemnify Mr. Lehrer for certain expenses (including attorneys’ fees), judgments, fines and settlement amounts actually and reasonably incurred by him in any action or proceeding arising out of his service as a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Retirement of Chief Financial Officer</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April 23, 2026, Alan Musso notified Fulcrum of his intent to retire as chief financial officer and treasurer (and as principal financial officer). Mr. Musso will remain in his current role until a successor is named and has agreed to serve as a consultant thereafter to assist with an orderly transition. Fulcrum intends to conduct an executive search to identify a replacement for Mr. Musso.</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recognition of Mr. Musso’s service and agreement to remain in his current role while his successor is identified and to be available to advise Fulcrum to ensure a smooth transition, Mr. Musso’s retirement will be treated as an ending pursuant to Section 7(b) of his employment agreement dated August 7, 2023, or the Employment Agreement. Accordingly, in connection with his retirement, Fulcrum and Mr. Musso entered into a Transition Agreement, or the Transition Agreement, effective April 27, 2026, providing for transition benefits outside of the change in control period as described in the summary of the Employment Agreement included in Fulcrum’s definitive proxy statement on Schedule 14A filed with the SEC on April 30, 2025, which description is incorporated herein by reference. Mr. Musso also agreed to be available to provide consulting services through February 2027. In addition, Fulcrum agreed to extend the post-termination exercise period for vested stock options by twelve months following the end of his consulting services. Mr. Musso’s departure is not related to any disagreement between the parties as to the management of Fulcrum or as to any matter relating to its operations, policies or practices.</w:t>
      </w:r>
    </w:p>
    <w:p>
      <w:pPr>
        <w:spacing w:after="0" w:line="18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Transition Agreement does not purport to be a complete description of the rights and obligations of the parties thereunder and is qualified in its entirety by reference to the full text of the Transition Agreement, a copy of which Fulcrum intends to file with the SEC as an exhibit to its Quarterly Report on Form 10-Q for the quarter ending June 30,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07" w:lineRule="exact"/>
        <w:rPr>
          <w:sz w:val="20"/>
          <w:szCs w:val="20"/>
          <w:color w:val="auto"/>
        </w:rPr>
      </w:pPr>
    </w:p>
    <w:p>
      <w:pPr>
        <w:ind w:left="680" w:right="60" w:hanging="674"/>
        <w:spacing w:after="0" w:line="257" w:lineRule="auto"/>
        <w:tabs>
          <w:tab w:leader="none" w:pos="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9">
        <w:r>
          <w:rPr>
            <w:rFonts w:ascii="Times New Roman" w:cs="Times New Roman" w:eastAsia="Times New Roman" w:hAnsi="Times New Roman"/>
            <w:sz w:val="18"/>
            <w:szCs w:val="18"/>
            <w:u w:val="single" w:color="auto"/>
            <w:color w:val="0000FF"/>
          </w:rPr>
          <w:t>License Agreement, effective as of July 5, 2023, by and between CAMP4 Therapeutics Corp. and Fulcrum Therapeutics, Inc. (incorporated by</w:t>
        </w:r>
      </w:hyperlink>
      <w:r>
        <w:rPr>
          <w:rFonts w:ascii="Times New Roman" w:cs="Times New Roman" w:eastAsia="Times New Roman" w:hAnsi="Times New Roman"/>
          <w:sz w:val="18"/>
          <w:szCs w:val="18"/>
          <w:u w:val="single" w:color="auto"/>
          <w:color w:val="0000FF"/>
        </w:rPr>
        <w:t xml:space="preserve"> </w:t>
      </w:r>
      <w:hyperlink r:id="rId19">
        <w:r>
          <w:rPr>
            <w:rFonts w:ascii="Times New Roman" w:cs="Times New Roman" w:eastAsia="Times New Roman" w:hAnsi="Times New Roman"/>
            <w:sz w:val="18"/>
            <w:szCs w:val="18"/>
            <w:u w:val="single" w:color="auto"/>
            <w:color w:val="0000FF"/>
          </w:rPr>
          <w:t>reference to Exhibit 10.1 to the Registrant’s Quarterly Report on Form 10-Q filed with the Securities and Exchange Commission on November 7,</w:t>
        </w:r>
      </w:hyperlink>
      <w:r>
        <w:rPr>
          <w:rFonts w:ascii="Times New Roman" w:cs="Times New Roman" w:eastAsia="Times New Roman" w:hAnsi="Times New Roman"/>
          <w:sz w:val="18"/>
          <w:szCs w:val="18"/>
          <w:u w:val="single" w:color="auto"/>
          <w:color w:val="0000FF"/>
        </w:rPr>
        <w:t xml:space="preserve"> </w:t>
      </w:r>
      <w:hyperlink r:id="rId19">
        <w:r>
          <w:rPr>
            <w:rFonts w:ascii="Times New Roman" w:cs="Times New Roman" w:eastAsia="Times New Roman" w:hAnsi="Times New Roman"/>
            <w:sz w:val="18"/>
            <w:szCs w:val="18"/>
            <w:u w:val="single" w:color="auto"/>
            <w:color w:val="0000FF"/>
          </w:rPr>
          <w:t>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433705</wp:posOffset>
            </wp:positionH>
            <wp:positionV relativeFrom="paragraph">
              <wp:posOffset>-298450</wp:posOffset>
            </wp:positionV>
            <wp:extent cx="6548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5487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-161290</wp:posOffset>
            </wp:positionV>
            <wp:extent cx="66821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68210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-24130</wp:posOffset>
            </wp:positionV>
            <wp:extent cx="2952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95275" cy="8890"/>
                    </a:xfrm>
                    <a:prstGeom prst="rect">
                      <a:avLst/>
                    </a:prstGeom>
                    <a:noFill/>
                  </pic:spPr>
                </pic:pic>
              </a:graphicData>
            </a:graphic>
          </wp:anchor>
        </w:drawing>
      </w: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April 27, 2026, announcing financial results for the quarter ended March 31, 2026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433705</wp:posOffset>
            </wp:positionH>
            <wp:positionV relativeFrom="paragraph">
              <wp:posOffset>-19050</wp:posOffset>
            </wp:positionV>
            <wp:extent cx="4721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4721225" cy="8255"/>
                    </a:xfrm>
                    <a:prstGeom prst="rect">
                      <a:avLst/>
                    </a:prstGeom>
                    <a:noFill/>
                  </pic:spPr>
                </pic:pic>
              </a:graphicData>
            </a:graphic>
          </wp:anchor>
        </w:drawing>
      </w: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u w:val="single" w:color="auto"/>
          <w:color w:val="0000FF"/>
        </w:rPr>
      </w:pPr>
    </w:p>
    <w:p>
      <w:pPr>
        <w:spacing w:after="0" w:line="223" w:lineRule="exact"/>
        <w:rPr>
          <w:rFonts w:ascii="Times New Roman" w:cs="Times New Roman" w:eastAsia="Times New Roman" w:hAnsi="Times New Roman"/>
          <w:sz w:val="18"/>
          <w:szCs w:val="18"/>
          <w:u w:val="single" w:color="auto"/>
          <w:color w:val="0000FF"/>
        </w:rPr>
      </w:pPr>
    </w:p>
    <w:p>
      <w:pPr>
        <w:ind w:right="60" w:firstLine="8"/>
        <w:spacing w:after="0" w:line="261"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the registrant has determined that they are both not material and is the type of information that the registrant treats as private or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April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Alex C. Sapir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560195"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5601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360" w:right="1080"/>
        <w:spacing w:after="0" w:line="443" w:lineRule="auto"/>
        <w:rPr>
          <w:sz w:val="20"/>
          <w:szCs w:val="20"/>
          <w:color w:val="auto"/>
        </w:rPr>
      </w:pPr>
      <w:r>
        <w:rPr>
          <w:rFonts w:ascii="Times New Roman" w:cs="Times New Roman" w:eastAsia="Times New Roman" w:hAnsi="Times New Roman"/>
          <w:sz w:val="25"/>
          <w:szCs w:val="25"/>
          <w:b w:val="1"/>
          <w:bCs w:val="1"/>
          <w:color w:val="auto"/>
        </w:rPr>
        <w:t>Fulcrum Therapeutics Announces Recent Business Highlights and Financial Results for First Quarter 2026</w:t>
      </w:r>
    </w:p>
    <w:p>
      <w:pPr>
        <w:jc w:val="center"/>
        <w:ind w:left="2700" w:hanging="2692"/>
        <w:spacing w:after="0" w:line="284" w:lineRule="auto"/>
        <w:tabs>
          <w:tab w:leader="none" w:pos="2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Presented positive clinical data for pociredir, demonstrating robust and rapid fetal hemoglobin (HbF) induction, improvements in markers of hemolysis and anemia, and encouraging trends in vaso-occlusive crisis (VOC) reduction ―</w:t>
      </w:r>
    </w:p>
    <w:p>
      <w:pPr>
        <w:spacing w:after="0" w:line="158" w:lineRule="exact"/>
        <w:rPr>
          <w:rFonts w:ascii="Times New Roman" w:cs="Times New Roman" w:eastAsia="Times New Roman" w:hAnsi="Times New Roman"/>
          <w:sz w:val="18"/>
          <w:szCs w:val="18"/>
          <w:i w:val="1"/>
          <w:iCs w:val="1"/>
          <w:color w:val="auto"/>
        </w:rPr>
      </w:pPr>
    </w:p>
    <w:p>
      <w:pPr>
        <w:ind w:left="2400" w:hanging="232"/>
        <w:spacing w:after="0"/>
        <w:tabs>
          <w:tab w:leader="none" w:pos="2400" w:val="left"/>
        </w:tabs>
        <w:numPr>
          <w:ilvl w:val="5"/>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Fulcrum plans to initiate a potential registration-enabling trial in the second half of 2026 ―</w:t>
      </w:r>
    </w:p>
    <w:p>
      <w:pPr>
        <w:spacing w:after="0" w:line="225" w:lineRule="exact"/>
        <w:rPr>
          <w:rFonts w:ascii="Times New Roman" w:cs="Times New Roman" w:eastAsia="Times New Roman" w:hAnsi="Times New Roman"/>
          <w:sz w:val="18"/>
          <w:szCs w:val="18"/>
          <w:i w:val="1"/>
          <w:iCs w:val="1"/>
          <w:color w:val="auto"/>
        </w:rPr>
      </w:pPr>
    </w:p>
    <w:p>
      <w:pPr>
        <w:ind w:left="480" w:hanging="226"/>
        <w:spacing w:after="0"/>
        <w:tabs>
          <w:tab w:leader="none" w:pos="480" w:val="left"/>
        </w:tabs>
        <w:numPr>
          <w:ilvl w:val="1"/>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Dosed first patient in an open-label, long-term dosing trial evaluating the long-term safety and durability of response to pociredir in participants</w:t>
      </w:r>
    </w:p>
    <w:p>
      <w:pPr>
        <w:spacing w:after="0" w:line="29" w:lineRule="exact"/>
        <w:rPr>
          <w:rFonts w:ascii="Times New Roman" w:cs="Times New Roman" w:eastAsia="Times New Roman" w:hAnsi="Times New Roman"/>
          <w:sz w:val="18"/>
          <w:szCs w:val="18"/>
          <w:i w:val="1"/>
          <w:iCs w:val="1"/>
          <w:color w:val="auto"/>
        </w:rPr>
      </w:pPr>
    </w:p>
    <w:p>
      <w:pPr>
        <w:ind w:left="40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previously enrolled in the PIONEER trial ―</w:t>
      </w:r>
    </w:p>
    <w:p>
      <w:pPr>
        <w:spacing w:after="0" w:line="204" w:lineRule="exact"/>
        <w:rPr>
          <w:rFonts w:ascii="Times New Roman" w:cs="Times New Roman" w:eastAsia="Times New Roman" w:hAnsi="Times New Roman"/>
          <w:sz w:val="18"/>
          <w:szCs w:val="18"/>
          <w:i w:val="1"/>
          <w:iCs w:val="1"/>
          <w:color w:val="auto"/>
        </w:rPr>
      </w:pPr>
    </w:p>
    <w:p>
      <w:pPr>
        <w:ind w:left="760" w:hanging="233"/>
        <w:spacing w:after="0"/>
        <w:tabs>
          <w:tab w:leader="none" w:pos="760" w:val="left"/>
        </w:tabs>
        <w:numPr>
          <w:ilvl w:val="2"/>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Appointed Josh Lehrer, M.D., M.Phil., FACC, an experienced leader in sickle cell disease drug development, to the Board of Directors ―</w:t>
      </w:r>
    </w:p>
    <w:p>
      <w:pPr>
        <w:spacing w:after="0" w:line="225" w:lineRule="exact"/>
        <w:rPr>
          <w:rFonts w:ascii="Times New Roman" w:cs="Times New Roman" w:eastAsia="Times New Roman" w:hAnsi="Times New Roman"/>
          <w:sz w:val="18"/>
          <w:szCs w:val="18"/>
          <w:i w:val="1"/>
          <w:iCs w:val="1"/>
          <w:color w:val="auto"/>
        </w:rPr>
      </w:pPr>
    </w:p>
    <w:p>
      <w:pPr>
        <w:ind w:left="1240" w:hanging="224"/>
        <w:spacing w:after="0"/>
        <w:tabs>
          <w:tab w:leader="none" w:pos="1240" w:val="left"/>
        </w:tabs>
        <w:numPr>
          <w:ilvl w:val="4"/>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Chief Financial Officer, Alan Musso plans to retire later this year and will continue in his role until a successor is named ―</w:t>
      </w:r>
    </w:p>
    <w:p>
      <w:pPr>
        <w:spacing w:after="0" w:line="225" w:lineRule="exact"/>
        <w:rPr>
          <w:rFonts w:ascii="Times New Roman" w:cs="Times New Roman" w:eastAsia="Times New Roman" w:hAnsi="Times New Roman"/>
          <w:sz w:val="18"/>
          <w:szCs w:val="18"/>
          <w:i w:val="1"/>
          <w:iCs w:val="1"/>
          <w:color w:val="auto"/>
        </w:rPr>
      </w:pPr>
    </w:p>
    <w:p>
      <w:pPr>
        <w:ind w:left="1020" w:hanging="234"/>
        <w:spacing w:after="0"/>
        <w:tabs>
          <w:tab w:leader="none" w:pos="1020" w:val="left"/>
        </w:tabs>
        <w:numPr>
          <w:ilvl w:val="3"/>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Ended the first quarter of 2026 with $333.3 million in cash, cash equivalents, and marketable securities; cash runway into 2029 ―</w:t>
      </w:r>
    </w:p>
    <w:p>
      <w:pPr>
        <w:spacing w:after="0" w:line="342" w:lineRule="exact"/>
        <w:rPr>
          <w:sz w:val="20"/>
          <w:szCs w:val="20"/>
          <w:color w:val="auto"/>
        </w:rPr>
      </w:pPr>
    </w:p>
    <w:p>
      <w:pPr>
        <w:jc w:val="both"/>
        <w:ind w:right="12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CAMBRIDGE, Mass., – April 27, 2026 </w:t>
      </w:r>
      <w:r>
        <w:rPr>
          <w:rFonts w:ascii="Times New Roman" w:cs="Times New Roman" w:eastAsia="Times New Roman" w:hAnsi="Times New Roman"/>
          <w:sz w:val="18"/>
          <w:szCs w:val="18"/>
          <w:color w:val="auto"/>
        </w:rPr>
        <w:t>– Fulcrum Therapeutics, Inc.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(Fulcrum) (Nasdaq: FULC), a clinical-stage biopharmaceutical company focused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developing small molecules that improve the lives of patients with rare hematological disorders, today reported financial results for the first quarter of 2026 and provided a business update.</w:t>
      </w:r>
    </w:p>
    <w:p>
      <w:pPr>
        <w:spacing w:after="0" w:line="198"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strength of the clinical data presented in the first quarter further reinforce our conviction in pociredir’s potential to address the underlying biology of sickle cell disease,” said Alex C. Sapir, Fulcrum’s President and Chief Executive Officer. “The magnitude of HbF induction and improvements in markers of hemolysis and anemia observed to date support our upcoming discussions with the FDA as we prepare for a potential registration-enabling study in the second half of 2026. With a strong balance sheet extending our cash runway into 2029, we are well positioned to advance pociredir through the next phase of clinical development.”</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 am also pleased to welcome Dr. Josh Lehrer to Fulcrum’s Board of Directors. Josh’s track record advancing transformative therapies for patients with sickle cell disease, most notably his experience with the development and approval of Oxbryta®, will be invaluable as we advance pociredir into the next phase of development. I would also like to thank Alan Musso, who will be retiring as CFO this year, for his years of dedication and unwavering commitment to Fulcrum’s success. During his tenure, he not only strengthened Fulcrum’s balance sheet through our recent financing, but also provided important strategic perspectives and instilled strong financial discipline across the organization.”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w:t>
      </w:r>
    </w:p>
    <w:p>
      <w:pPr>
        <w:spacing w:after="0" w:line="121" w:lineRule="exact"/>
        <w:rPr>
          <w:sz w:val="20"/>
          <w:szCs w:val="20"/>
          <w:color w:val="auto"/>
        </w:rPr>
      </w:pPr>
    </w:p>
    <w:p>
      <w:pPr>
        <w:ind w:left="1020" w:right="18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positive clinical data from the 20 mg dose cohort of the Phase 1b PIONEER trial of pociredir in sickle cell disease (SCD) during the first quarter of 2026, demonstrating robust and rapid HbF induction, progression toward pan-cellular distribution, improvements in markers of hemolysis and anemia, and encouraging trends in VOC reduction. Pociredir continues to be generally well-tolerated, with no treatment-related serious adverse events reported to date.</w:t>
      </w:r>
    </w:p>
    <w:p>
      <w:pPr>
        <w:spacing w:after="0" w:line="71"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 expects to provide an update on the design of its next trial in the second quarter of 2026 following receipt of meeting minutes from its End-of-Phase meeting with the U.S. Food and Drug Administration (FDA). Pending feedback from the FDA, Fulcrum plans to initiate a potential registration-enabling trial in the second half of 2026.</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Dosed first patient in an open-label, long-term dosing trial designed to evaluate the long-term safety and durability of response to pociredir in participants previously enrolled in the Phase 1b PIONEER trial.</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abstract from the Phase 1b PIONEER trial of pociredir in sickle cell disease has been accepted for oral presentation at the Foundation for Sickle Cell Disease Research Symposium 2026, to be held in June 2026, featuring previously disclosed clinical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5" w:name="page6"/>
    <w:bookmarkEnd w:id="5"/>
    <w:p>
      <w:pPr>
        <w:ind w:left="1020" w:right="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 patient-focused collaboration with MedicAlert Foundation and the Sickle Cell Disease Association of America to help improve access to patient-specific care information in emergency department settings for individuals living with sickle cell disease.</w:t>
      </w:r>
    </w:p>
    <w:p>
      <w:pPr>
        <w:spacing w:after="0" w:line="53"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Financial Officer Alan Musso plans to retire later this year to spend more time with his family and other outside interests. Mr. Musso will remain in his role until a successor is named and has agreed to serve as a consultant thereafter to support a seamless transition. Fulcrum will initiate a search to identify a successor.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Financial Results</w:t>
      </w:r>
    </w:p>
    <w:p>
      <w:pPr>
        <w:spacing w:after="0" w:line="117" w:lineRule="exact"/>
        <w:rPr>
          <w:sz w:val="20"/>
          <w:szCs w:val="20"/>
          <w:color w:val="auto"/>
        </w:rPr>
      </w:pPr>
    </w:p>
    <w:p>
      <w:pPr>
        <w:ind w:left="1020" w:right="6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March 31, 2026, cash, cash equivalents, and marketable securities were $333.3 million, compared to $352.3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December 31, 2025. The decrease of $19.0 million was primarily due to cash used to fund operating activities in 2026.</w:t>
      </w:r>
    </w:p>
    <w:p>
      <w:pPr>
        <w:spacing w:after="0" w:line="46" w:lineRule="exact"/>
        <w:rPr>
          <w:rFonts w:ascii="Times New Roman" w:cs="Times New Roman" w:eastAsia="Times New Roman" w:hAnsi="Times New Roman"/>
          <w:sz w:val="18"/>
          <w:szCs w:val="18"/>
          <w:color w:val="auto"/>
        </w:rPr>
      </w:pPr>
    </w:p>
    <w:p>
      <w:pPr>
        <w:ind w:left="1020" w:right="1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$14.1 million for the three months ended March 31, 2026, compared to $13.4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three months ended March 31, 2025. The increase of $0.7 million was primarily due to higher employee compensation costs, including $0.4 million of increased stock-based compensation expense.</w:t>
      </w:r>
    </w:p>
    <w:p>
      <w:pPr>
        <w:spacing w:after="0" w:line="62" w:lineRule="exact"/>
        <w:rPr>
          <w:rFonts w:ascii="Times New Roman" w:cs="Times New Roman" w:eastAsia="Times New Roman" w:hAnsi="Times New Roman"/>
          <w:sz w:val="18"/>
          <w:szCs w:val="18"/>
          <w:color w:val="auto"/>
        </w:rPr>
      </w:pPr>
    </w:p>
    <w:p>
      <w:pPr>
        <w:ind w:left="1020" w:right="14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G&amp;A Expenses: </w:t>
      </w:r>
      <w:r>
        <w:rPr>
          <w:rFonts w:ascii="Times New Roman" w:cs="Times New Roman" w:eastAsia="Times New Roman" w:hAnsi="Times New Roman"/>
          <w:sz w:val="18"/>
          <w:szCs w:val="18"/>
          <w:color w:val="auto"/>
        </w:rPr>
        <w:t>General and administrative expenses were $8.1 million for the three months ended March 31, 2026, compared to $7.0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three months ended March 31, 2025. The increase of $1.1 million was primarily driven by higher employee compensation costs, including $0.3 million of increased stock-based compensation expense, as well as higher professional services costs.</w:t>
      </w:r>
    </w:p>
    <w:p>
      <w:pPr>
        <w:spacing w:after="0" w:line="62" w:lineRule="exact"/>
        <w:rPr>
          <w:rFonts w:ascii="Times New Roman" w:cs="Times New Roman" w:eastAsia="Times New Roman" w:hAnsi="Times New Roman"/>
          <w:sz w:val="18"/>
          <w:szCs w:val="18"/>
          <w:color w:val="auto"/>
        </w:rPr>
      </w:pPr>
    </w:p>
    <w:p>
      <w:pPr>
        <w:ind w:left="1020" w:right="50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$18.9 million for the three months ended March 31, 2026, compared to a net loss of $17.7 million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March 31,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Runway Guidance</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Based on its current operating plans, Fulcrum expects that its current cash, cash equivalents, and marketable securities will be sufficient to fund its operating requirements into 2029.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Fulcrum Therapeutics is a clinical-stage biopharmaceutical company focused on developing small molecules that improve the lives of people with rare hematological disorders. The company’s lead clinical program is pociredir, a small molecule designed to increase expression of fetal hemoglobin (HbF) for the treatment of sickle cell disease (SCD). Fulcrum uses proprietary technology to identify drug targets that can modulate gene expression to treat the known root cause of genetically defined diseases. For more information, visit </w:t>
      </w:r>
      <w:r>
        <w:rPr>
          <w:rFonts w:ascii="Times New Roman" w:cs="Times New Roman" w:eastAsia="Times New Roman" w:hAnsi="Times New Roman"/>
          <w:sz w:val="18"/>
          <w:szCs w:val="18"/>
          <w:u w:val="single" w:color="auto"/>
          <w:color w:val="0000FF"/>
        </w:rPr>
        <w:t>www.fulcrumtx.com</w:t>
      </w:r>
      <w:r>
        <w:rPr>
          <w:rFonts w:ascii="Times New Roman" w:cs="Times New Roman" w:eastAsia="Times New Roman" w:hAnsi="Times New Roman"/>
          <w:sz w:val="18"/>
          <w:szCs w:val="18"/>
          <w:color w:val="auto"/>
        </w:rPr>
        <w:t xml:space="preserve"> and follow us on X (@FulcrumTx) and LinkedIn.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Pociredir</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Pociredir is an investigational oral small-molecule inhibitor of Embryonic Ectoderm Development (EED) that was discovered using Fulcrum’s proprietary discovery technology. Inhibition of EED leads to potent downregulation of key fetal globin repressors, including BCL11A, thereby causing an increase in HbF. Pociredir is being developed for the treatment of SCD. In the PIONEER Phase 1b clinical trial in people with SCD, pociredir has demonstrated dose-dependent increases in HbF, pan-cellular HbF induction, and improvements in markers of hemolysis and anemia. Across the 12 mg and 20 mg dose cohorts, pociredir has been generally well-tolerated with up to three months of exposure, with no treatment-related serious adverse events reported through the December 23, 2025 data cutoff date. Pociredir has been granted Fast Track and Orphan Drug Designation from the FDA for the treatment of SCD. To learn more about clinical trials of pociredir please visit </w:t>
      </w:r>
      <w:r>
        <w:rPr>
          <w:rFonts w:ascii="Times New Roman" w:cs="Times New Roman" w:eastAsia="Times New Roman" w:hAnsi="Times New Roman"/>
          <w:sz w:val="18"/>
          <w:szCs w:val="18"/>
          <w:u w:val="single" w:color="auto"/>
          <w:color w:val="0000FF"/>
        </w:rPr>
        <w:t>ClinicalTrials.gov</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Sickle Cell Disease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People with SCD typically suffer from serious clinical consequences, which may include anemia, pain, infections, stroke, heart disease, pulmonary hypertension, kidney failure, liver disease, and reduced life expectancy.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express or implied statements regarding Fulcrum’s clinical development of pociredir, including the open-label extension trial, discussions with and receipt of feedback from regulators on trial design, and commencing a registrational trial; the potential of pociredir to increase HbF to levels that could ameliorate symptoms of SCD and transform the standard of care and Fulcrum’s projected cash runway,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pociredir and any other product candidates in clinical trials, including progressing early stage candidates into the clinic; initiating and enrolling clinical trials on the timeline expected or at all; including receiving feedback from, and obtaining and maintaining necessary approvals from the FDA and other regulatory authorities; replicating in clinical trials positive results found in preclinical studies and/or earlier-stage clinical trials; obtaining, maintaining or protecting intellectual property rights related to its product candidates; managing expenses; and raising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333,316</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352,306</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4"/>
                <w:szCs w:val="24"/>
                <w:color w:val="auto"/>
                <w:vertAlign w:val="superscript"/>
              </w:rPr>
              <w:t>(1)</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344,432</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346,770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366,284</w:t>
            </w:r>
          </w:p>
        </w:tc>
        <w:tc>
          <w:tcPr>
            <w:tcW w:w="100" w:type="dxa"/>
            <w:vAlign w:val="bottom"/>
            <w:shd w:val="clear" w:color="auto" w:fill="CFF0FC"/>
          </w:tcPr>
          <w:p>
            <w:pPr>
              <w:spacing w:after="0"/>
              <w:rPr>
                <w:sz w:val="18"/>
                <w:szCs w:val="18"/>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333,303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349,000</w:t>
            </w:r>
          </w:p>
        </w:tc>
        <w:tc>
          <w:tcPr>
            <w:tcW w:w="100" w:type="dxa"/>
            <w:vAlign w:val="bottom"/>
          </w:tcPr>
          <w:p>
            <w:pPr>
              <w:spacing w:after="0"/>
              <w:rPr>
                <w:sz w:val="20"/>
                <w:szCs w:val="20"/>
                <w:color w:val="auto"/>
              </w:rPr>
            </w:pPr>
          </w:p>
        </w:tc>
      </w:t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(1)  Fulcrum defines working capital as current assets minus current liabilities.</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100"/>
        </w:trPr>
        <w:tc>
          <w:tcPr>
            <w:tcW w:w="67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(22,186)</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(18,891)</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400" w:type="dxa"/>
            <w:vAlign w:val="bottom"/>
            <w:gridSpan w:val="2"/>
          </w:tcPr>
          <w:p>
            <w:pPr>
              <w:jc w:val="right"/>
              <w:ind w:right="768"/>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46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4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76,215</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62,479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-937895</wp:posOffset>
            </wp:positionV>
            <wp:extent cx="9398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7021830</wp:posOffset>
            </wp:positionH>
            <wp:positionV relativeFrom="paragraph">
              <wp:posOffset>-937895</wp:posOffset>
            </wp:positionV>
            <wp:extent cx="9398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-350520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-334010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-350520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-334010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Gardner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kgardner@lifesciadvisors.com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617-283-2856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lvl w:ilvl="5">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19" Type="http://schemas.openxmlformats.org/officeDocument/2006/relationships/hyperlink" Target="https://www.sec.gov/Archives/edgar/data/1680581/000095017023059755/fulc-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2026-04-27T06:06:51Z</dcterms:created>
  <dcterms:modified xsi:type="dcterms:W3CDTF">2026-04-27T06:06:51Z</dcterms:modified>
</cp:coreProperties>
</file>