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3299"/>
        <w:spacing w:after="0" w:line="246" w:lineRule="auto"/>
        <w:rPr>
          <w:sz w:val="20"/>
          <w:szCs w:val="20"/>
          <w:color w:val="auto"/>
        </w:rPr>
      </w:pPr>
      <w:r>
        <w:rPr>
          <w:rFonts w:ascii="Times New Roman" w:cs="Times New Roman" w:eastAsia="Times New Roman" w:hAnsi="Times New Roman"/>
          <w:sz w:val="22"/>
          <w:szCs w:val="22"/>
          <w:b w:val="1"/>
          <w:bCs w:val="1"/>
          <w:color w:val="auto"/>
        </w:rPr>
        <w:t>240.13d-102 Schedule 13G - Information to be included in statements filed pursuant to 240.13d-1(b), (c), and (d) and amendments thereto filed pursuant to 240.13d-2.</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 Washington, D.C. 20549</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(Amendment No. 1)*</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(CUSIP Number)</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359616109</w:t>
      </w:r>
    </w:p>
    <w:p>
      <w:pPr>
        <w:spacing w:after="0" w:line="16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Schedule is filed:</w:t>
      </w:r>
    </w:p>
    <w:p>
      <w:pPr>
        <w:spacing w:after="0" w:line="142" w:lineRule="exact"/>
        <w:rPr>
          <w:sz w:val="24"/>
          <w:szCs w:val="24"/>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w:t>
      </w:r>
    </w:p>
    <w:p>
      <w:pPr>
        <w:spacing w:after="0" w:line="179" w:lineRule="exact"/>
        <w:rPr>
          <w:rFonts w:ascii="Times New Roman" w:cs="Times New Roman" w:eastAsia="Times New Roman" w:hAnsi="Times New Roman"/>
          <w:sz w:val="22"/>
          <w:szCs w:val="22"/>
          <w:color w:val="auto"/>
        </w:rPr>
      </w:pPr>
    </w:p>
    <w:p>
      <w:pPr>
        <w:ind w:left="140" w:hanging="132"/>
        <w:spacing w:after="0"/>
        <w:tabs>
          <w:tab w:leader="none" w:pos="14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 Rule 13d-1(c)</w:t>
      </w:r>
    </w:p>
    <w:p>
      <w:pPr>
        <w:spacing w:after="0" w:line="165" w:lineRule="exact"/>
        <w:rPr>
          <w:rFonts w:ascii="Times New Roman" w:cs="Times New Roman" w:eastAsia="Times New Roman" w:hAnsi="Times New Roman"/>
          <w:sz w:val="22"/>
          <w:szCs w:val="22"/>
          <w:color w:val="auto"/>
        </w:rPr>
      </w:pPr>
    </w:p>
    <w:p>
      <w:pPr>
        <w:ind w:left="180" w:hanging="172"/>
        <w:spacing w:after="0"/>
        <w:tabs>
          <w:tab w:leader="none" w:pos="18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166" w:lineRule="exact"/>
        <w:rPr>
          <w:sz w:val="24"/>
          <w:szCs w:val="24"/>
          <w:color w:val="auto"/>
        </w:rPr>
      </w:pPr>
    </w:p>
    <w:p>
      <w:pPr>
        <w:ind w:right="3459"/>
        <w:spacing w:after="0" w:line="239"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3379"/>
        <w:spacing w:after="0" w:line="238"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6"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669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Point72 Asset Management, L.P.</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1,338,123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1,338,123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1,338,123 (see Item 4)</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Point72 Capital Advisors, Inc.</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1,338,123 (see Item 4)</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1,338,123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1,338,123 (see Item 4)</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Cubist Systematic Strategies, LLC</w:t>
            </w:r>
          </w:p>
        </w:tc>
        <w:tc>
          <w:tcPr>
            <w:tcW w:w="284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4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40" w:type="dxa"/>
            <w:vAlign w:val="bottom"/>
          </w:tcPr>
          <w:p>
            <w:pPr>
              <w:ind w:left="2200"/>
              <w:spacing w:after="0"/>
              <w:rPr>
                <w:sz w:val="20"/>
                <w:szCs w:val="20"/>
                <w:color w:val="auto"/>
              </w:rPr>
            </w:pPr>
            <w:r>
              <w:rPr>
                <w:rFonts w:ascii="Times New Roman" w:cs="Times New Roman" w:eastAsia="Times New Roman" w:hAnsi="Times New Roman"/>
                <w:sz w:val="22"/>
                <w:szCs w:val="22"/>
                <w:color w:val="auto"/>
              </w:rPr>
              <w:t>(b)X</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Delaware</w:t>
            </w:r>
          </w:p>
        </w:tc>
        <w:tc>
          <w:tcPr>
            <w:tcW w:w="2840" w:type="dxa"/>
            <w:vAlign w:val="bottom"/>
          </w:tcPr>
          <w:p>
            <w:pPr>
              <w:spacing w:after="0"/>
              <w:rPr>
                <w:sz w:val="24"/>
                <w:szCs w:val="24"/>
                <w:color w:val="auto"/>
              </w:rPr>
            </w:pPr>
          </w:p>
        </w:tc>
      </w:tr>
      <w:tr>
        <w:trPr>
          <w:trHeight w:val="36"/>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5"/>
        </w:trPr>
        <w:tc>
          <w:tcPr>
            <w:tcW w:w="84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4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4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545 (see Item 4)</w:t>
            </w:r>
          </w:p>
        </w:tc>
        <w:tc>
          <w:tcPr>
            <w:tcW w:w="284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4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4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545 (see Item 4)</w:t>
            </w:r>
          </w:p>
        </w:tc>
        <w:tc>
          <w:tcPr>
            <w:tcW w:w="284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40" w:type="dxa"/>
            <w:vAlign w:val="bottom"/>
            <w:tcBorders>
              <w:bottom w:val="single" w:sz="8" w:color="auto"/>
            </w:tcBorders>
            <w:gridSpan w:val="2"/>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4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545 (see Item 4)</w:t>
            </w:r>
          </w:p>
        </w:tc>
        <w:tc>
          <w:tcPr>
            <w:tcW w:w="55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35"/>
        </w:trPr>
        <w:tc>
          <w:tcPr>
            <w:tcW w:w="8400" w:type="dxa"/>
            <w:vAlign w:val="bottom"/>
            <w:tcBorders>
              <w:bottom w:val="single" w:sz="8" w:color="auto"/>
            </w:tcBorders>
            <w:gridSpan w:val="3"/>
          </w:tcPr>
          <w:p>
            <w:pPr>
              <w:spacing w:after="0"/>
              <w:rPr>
                <w:sz w:val="3"/>
                <w:szCs w:val="3"/>
                <w:color w:val="auto"/>
              </w:rPr>
            </w:pPr>
          </w:p>
        </w:tc>
        <w:tc>
          <w:tcPr>
            <w:tcW w:w="2840" w:type="dxa"/>
            <w:vAlign w:val="bottom"/>
            <w:tcBorders>
              <w:bottom w:val="single" w:sz="8" w:color="auto"/>
            </w:tcBorders>
          </w:tcPr>
          <w:p>
            <w:pPr>
              <w:spacing w:after="0"/>
              <w:rPr>
                <w:sz w:val="3"/>
                <w:szCs w:val="3"/>
                <w:color w:val="auto"/>
              </w:rPr>
            </w:pPr>
          </w:p>
        </w:tc>
      </w:tr>
      <w:tr>
        <w:trPr>
          <w:trHeight w:val="256"/>
        </w:trPr>
        <w:tc>
          <w:tcPr>
            <w:tcW w:w="840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4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40" w:type="dxa"/>
            <w:vAlign w:val="bottom"/>
          </w:tcPr>
          <w:p>
            <w:pPr>
              <w:spacing w:after="0"/>
              <w:rPr>
                <w:sz w:val="24"/>
                <w:szCs w:val="24"/>
                <w:color w:val="auto"/>
              </w:rPr>
            </w:pPr>
          </w:p>
        </w:tc>
        <w:tc>
          <w:tcPr>
            <w:tcW w:w="284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&lt;0.1%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6690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669030"/>
                    </a:xfrm>
                    <a:prstGeom prst="rect">
                      <a:avLst/>
                    </a:prstGeom>
                    <a:noFill/>
                  </pic:spPr>
                </pic:pic>
              </a:graphicData>
            </a:graphic>
          </wp:anchor>
        </w:drawing>
        <w:t>CUSIP No. 359616109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5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Steven A. Cohen</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(2)</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(a)</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52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(see instructions)</w:t>
            </w:r>
          </w:p>
        </w:tc>
        <w:tc>
          <w:tcPr>
            <w:tcW w:w="2860" w:type="dxa"/>
            <w:vAlign w:val="bottom"/>
          </w:tcPr>
          <w:p>
            <w:pPr>
              <w:ind w:left="2220"/>
              <w:spacing w:after="0"/>
              <w:rPr>
                <w:sz w:val="20"/>
                <w:szCs w:val="20"/>
                <w:color w:val="auto"/>
              </w:rPr>
            </w:pPr>
            <w:r>
              <w:rPr>
                <w:rFonts w:ascii="Times New Roman" w:cs="Times New Roman" w:eastAsia="Times New Roman" w:hAnsi="Times New Roman"/>
                <w:sz w:val="22"/>
                <w:szCs w:val="22"/>
                <w:color w:val="auto"/>
              </w:rPr>
              <w:t>(b)X</w:t>
            </w: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(3)</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 use only</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(4)</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 United States</w:t>
            </w:r>
          </w:p>
        </w:tc>
        <w:tc>
          <w:tcPr>
            <w:tcW w:w="2860" w:type="dxa"/>
            <w:vAlign w:val="bottom"/>
          </w:tcPr>
          <w:p>
            <w:pPr>
              <w:spacing w:after="0"/>
              <w:rPr>
                <w:sz w:val="24"/>
                <w:szCs w:val="24"/>
                <w:color w:val="auto"/>
              </w:rPr>
            </w:pPr>
          </w:p>
        </w:tc>
      </w:tr>
      <w:tr>
        <w:trPr>
          <w:trHeight w:val="36"/>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Number of shares beneficially owned by each reporting person with:</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5"/>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(5)</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(6)</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voting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1,338,668 (see Item 4)</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(7)</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Sole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0</w:t>
            </w:r>
          </w:p>
        </w:tc>
        <w:tc>
          <w:tcPr>
            <w:tcW w:w="2860" w:type="dxa"/>
            <w:vAlign w:val="bottom"/>
          </w:tcPr>
          <w:p>
            <w:pPr>
              <w:spacing w:after="0"/>
              <w:rPr>
                <w:sz w:val="24"/>
                <w:szCs w:val="24"/>
                <w:color w:val="auto"/>
              </w:rPr>
            </w:pPr>
          </w:p>
        </w:tc>
      </w:tr>
      <w:tr>
        <w:trPr>
          <w:trHeight w:val="35"/>
        </w:trPr>
        <w:tc>
          <w:tcPr>
            <w:tcW w:w="36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5520" w:type="dxa"/>
            <w:vAlign w:val="bottom"/>
            <w:tcBorders>
              <w:bottom w:val="single" w:sz="8" w:color="auto"/>
            </w:tcBorders>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9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(8)</w:t>
            </w:r>
          </w:p>
        </w:tc>
        <w:tc>
          <w:tcPr>
            <w:tcW w:w="25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5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1,338,668 (see Item 4)</w:t>
            </w:r>
          </w:p>
        </w:tc>
        <w:tc>
          <w:tcPr>
            <w:tcW w:w="2860" w:type="dxa"/>
            <w:vAlign w:val="bottom"/>
          </w:tcPr>
          <w:p>
            <w:pPr>
              <w:spacing w:after="0"/>
              <w:rPr>
                <w:sz w:val="24"/>
                <w:szCs w:val="24"/>
                <w:color w:val="auto"/>
              </w:rPr>
            </w:pPr>
          </w:p>
        </w:tc>
      </w:tr>
      <w:tr>
        <w:trPr>
          <w:trHeight w:val="36"/>
        </w:trPr>
        <w:tc>
          <w:tcPr>
            <w:tcW w:w="360" w:type="dxa"/>
            <w:vAlign w:val="bottom"/>
            <w:tcBorders>
              <w:bottom w:val="single" w:sz="8" w:color="auto"/>
            </w:tcBorders>
          </w:tcPr>
          <w:p>
            <w:pPr>
              <w:spacing w:after="0"/>
              <w:rPr>
                <w:sz w:val="3"/>
                <w:szCs w:val="3"/>
                <w:color w:val="auto"/>
              </w:rPr>
            </w:pPr>
          </w:p>
        </w:tc>
        <w:tc>
          <w:tcPr>
            <w:tcW w:w="8020" w:type="dxa"/>
            <w:vAlign w:val="bottom"/>
            <w:tcBorders>
              <w:bottom w:val="single" w:sz="8" w:color="auto"/>
            </w:tcBorders>
            <w:gridSpan w:val="2"/>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3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(9)</w:t>
            </w:r>
          </w:p>
        </w:tc>
        <w:tc>
          <w:tcPr>
            <w:tcW w:w="80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2860" w:type="dxa"/>
            <w:vAlign w:val="bottom"/>
          </w:tcPr>
          <w:p>
            <w:pPr>
              <w:spacing w:after="0"/>
              <w:rPr>
                <w:sz w:val="22"/>
                <w:szCs w:val="22"/>
                <w:color w:val="auto"/>
              </w:rPr>
            </w:pPr>
          </w:p>
        </w:tc>
      </w:tr>
      <w:tr>
        <w:trPr>
          <w:trHeight w:val="282"/>
        </w:trPr>
        <w:tc>
          <w:tcPr>
            <w:tcW w:w="360" w:type="dxa"/>
            <w:vAlign w:val="bottom"/>
          </w:tcPr>
          <w:p>
            <w:pPr>
              <w:spacing w:after="0"/>
              <w:rPr>
                <w:sz w:val="24"/>
                <w:szCs w:val="24"/>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1,338,668 (see Item 4)</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35"/>
        </w:trPr>
        <w:tc>
          <w:tcPr>
            <w:tcW w:w="8380" w:type="dxa"/>
            <w:vAlign w:val="bottom"/>
            <w:tcBorders>
              <w:bottom w:val="single" w:sz="8" w:color="auto"/>
            </w:tcBorders>
            <w:gridSpan w:val="3"/>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r>
      <w:tr>
        <w:trPr>
          <w:trHeight w:val="256"/>
        </w:trPr>
        <w:tc>
          <w:tcPr>
            <w:tcW w:w="83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(10) Check if the aggregate amount in Row (9) excludes certain shares</w:t>
            </w:r>
          </w:p>
        </w:tc>
        <w:tc>
          <w:tcPr>
            <w:tcW w:w="2860" w:type="dxa"/>
            <w:vAlign w:val="bottom"/>
          </w:tcPr>
          <w:p>
            <w:pPr>
              <w:spacing w:after="0"/>
              <w:rPr>
                <w:sz w:val="22"/>
                <w:szCs w:val="22"/>
                <w:color w:val="auto"/>
              </w:rPr>
            </w:pPr>
          </w:p>
        </w:tc>
      </w:tr>
      <w:tr>
        <w:trPr>
          <w:trHeight w:val="282"/>
        </w:trPr>
        <w:tc>
          <w:tcPr>
            <w:tcW w:w="2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(see instructions)</w:t>
            </w:r>
          </w:p>
        </w:tc>
        <w:tc>
          <w:tcPr>
            <w:tcW w:w="552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69" w:lineRule="exact"/>
        <w:rPr>
          <w:sz w:val="20"/>
          <w:szCs w:val="20"/>
          <w:color w:val="auto"/>
        </w:rPr>
      </w:pPr>
    </w:p>
    <w:p>
      <w:pPr>
        <w:ind w:left="480" w:hanging="405"/>
        <w:spacing w:after="0"/>
        <w:tabs>
          <w:tab w:leader="none" w:pos="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 (see Item 4)</w:t>
      </w:r>
    </w:p>
    <w:p>
      <w:pPr>
        <w:spacing w:after="0" w:line="98" w:lineRule="exact"/>
        <w:rPr>
          <w:rFonts w:ascii="Times New Roman" w:cs="Times New Roman" w:eastAsia="Times New Roman" w:hAnsi="Times New Roman"/>
          <w:sz w:val="22"/>
          <w:szCs w:val="22"/>
          <w:color w:val="auto"/>
        </w:rPr>
      </w:pPr>
    </w:p>
    <w:p>
      <w:pPr>
        <w:ind w:left="480" w:hanging="405"/>
        <w:spacing w:after="0"/>
        <w:tabs>
          <w:tab w:leader="none" w:pos="4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473710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Item 1(a) Name of issuer: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Fulcrum Therapeutics,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1(b) Address of issuer's principal executive offices: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Landsdowne Street, Cambridge, Massachusetts 02139</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2(a) Name of person filing:</w:t>
      </w:r>
    </w:p>
    <w:p>
      <w:pPr>
        <w:spacing w:after="0" w:line="206" w:lineRule="exact"/>
        <w:rPr>
          <w:sz w:val="20"/>
          <w:szCs w:val="20"/>
          <w:color w:val="auto"/>
        </w:rPr>
      </w:pPr>
    </w:p>
    <w:p>
      <w:pPr>
        <w:ind w:right="3319"/>
        <w:spacing w:after="0" w:line="249" w:lineRule="auto"/>
        <w:rPr>
          <w:sz w:val="20"/>
          <w:szCs w:val="20"/>
          <w:color w:val="auto"/>
        </w:rPr>
      </w:pPr>
      <w:r>
        <w:rPr>
          <w:rFonts w:ascii="Times New Roman" w:cs="Times New Roman" w:eastAsia="Times New Roman" w:hAnsi="Times New Roman"/>
          <w:sz w:val="21"/>
          <w:szCs w:val="21"/>
          <w:color w:val="auto"/>
        </w:rPr>
        <w:t>This statement is filed by: (i) Point72 Asset Management, L.P. (“Point72 Asset Management”) with respect to shares of common stock, par value $0.001 per share (“Shares”), of the Issuer held by certain investment funds it manages;</w:t>
      </w:r>
    </w:p>
    <w:p>
      <w:pPr>
        <w:spacing w:after="0" w:line="1" w:lineRule="exact"/>
        <w:rPr>
          <w:sz w:val="20"/>
          <w:szCs w:val="20"/>
          <w:color w:val="auto"/>
        </w:rPr>
      </w:pPr>
    </w:p>
    <w:p>
      <w:pPr>
        <w:ind w:right="3039" w:firstLine="8"/>
        <w:spacing w:after="0" w:line="232"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Point72 Capital Advisors, Inc. (“Point72 Capital Advisors Inc.”) with respect to Shares held by certain investment funds managed by Point72 Asset Management; (iii) Cubist Systematic Strategies, LLC (“Cubist Systematic Strategies”) with respect to Shares held by certain investment funds it manages; and (iv) Steven A. Cohen (“Mr. Cohen”) with respect to Shares beneficially owned by Point72 Asset Management, Point72 Capital Advisors Inc., and Cubist Systematic Strategies.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2(b) Address or principal business office or, if none, residence: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address of the principal business office of (i) Point72 Asset Management,</w:t>
      </w:r>
    </w:p>
    <w:p>
      <w:pPr>
        <w:spacing w:after="0" w:line="14" w:lineRule="exact"/>
        <w:rPr>
          <w:sz w:val="20"/>
          <w:szCs w:val="20"/>
          <w:color w:val="auto"/>
        </w:rPr>
      </w:pPr>
    </w:p>
    <w:p>
      <w:pPr>
        <w:ind w:right="1719"/>
        <w:spacing w:after="0" w:line="237" w:lineRule="auto"/>
        <w:rPr>
          <w:sz w:val="20"/>
          <w:szCs w:val="20"/>
          <w:color w:val="auto"/>
        </w:rPr>
      </w:pPr>
      <w:r>
        <w:rPr>
          <w:rFonts w:ascii="Times New Roman" w:cs="Times New Roman" w:eastAsia="Times New Roman" w:hAnsi="Times New Roman"/>
          <w:sz w:val="22"/>
          <w:szCs w:val="22"/>
          <w:color w:val="auto"/>
        </w:rPr>
        <w:t>Point72 Capital Advisors Inc., and Mr. Cohen is 72 Cummings Point Road, Stamford, CT 06902; and (ii) Cubist Systematic Strategies is 55 Hudson Yards, New York, NY 10001.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2(c) Citizenship:</w:t>
      </w:r>
    </w:p>
    <w:p>
      <w:pPr>
        <w:spacing w:after="0" w:line="206" w:lineRule="exact"/>
        <w:rPr>
          <w:sz w:val="20"/>
          <w:szCs w:val="20"/>
          <w:color w:val="auto"/>
        </w:rPr>
      </w:pPr>
    </w:p>
    <w:p>
      <w:pPr>
        <w:jc w:val="both"/>
        <w:ind w:right="1799"/>
        <w:spacing w:after="0" w:line="244" w:lineRule="auto"/>
        <w:rPr>
          <w:sz w:val="20"/>
          <w:szCs w:val="20"/>
          <w:color w:val="auto"/>
        </w:rPr>
      </w:pPr>
      <w:r>
        <w:rPr>
          <w:rFonts w:ascii="Times New Roman" w:cs="Times New Roman" w:eastAsia="Times New Roman" w:hAnsi="Times New Roman"/>
          <w:sz w:val="22"/>
          <w:szCs w:val="22"/>
          <w:color w:val="auto"/>
        </w:rPr>
        <w:t>Point72 Asset Management is a Delaware limited partnership. Point72 Capital Advisors Inc. is a Delaware corporation. Cubist Systematic Strategies is a Delaware limited liability company. Mr. Cohen is a United States citizen.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2(d) Title of class of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2(e) CUSIP Number: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359616109</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Item 3.</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4. </w:t>
      </w:r>
      <w:r>
        <w:rPr>
          <w:rFonts w:ascii="Times New Roman" w:cs="Times New Roman" w:eastAsia="Times New Roman" w:hAnsi="Times New Roman"/>
          <w:sz w:val="22"/>
          <w:szCs w:val="22"/>
          <w:color w:val="auto"/>
        </w:rPr>
        <w:t>Ownership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close of business on December 31, 2020: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Point72 Asset Management, L.P.</w:t>
      </w:r>
    </w:p>
    <w:p>
      <w:pPr>
        <w:spacing w:after="0" w:line="4"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1,338,123</w:t>
      </w:r>
    </w:p>
    <w:p>
      <w:pPr>
        <w:ind w:left="320" w:hanging="312"/>
        <w:spacing w:after="0" w:line="230" w:lineRule="auto"/>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4.9%</w:t>
      </w:r>
    </w:p>
    <w:p>
      <w:pPr>
        <w:ind w:left="300" w:hanging="292"/>
        <w:spacing w:after="0" w:line="230" w:lineRule="auto"/>
        <w:tabs>
          <w:tab w:leader="none" w:pos="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1,338,123</w:t>
      </w:r>
    </w:p>
    <w:p>
      <w:pPr>
        <w:ind w:left="380" w:hanging="372"/>
        <w:spacing w:after="0" w:line="230" w:lineRule="auto"/>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1,338,123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 Point72 Capital Advisors, Inc.</w:t>
      </w:r>
    </w:p>
    <w:p>
      <w:pPr>
        <w:spacing w:after="0" w:line="4" w:lineRule="exact"/>
        <w:rPr>
          <w:sz w:val="20"/>
          <w:szCs w:val="20"/>
          <w:color w:val="auto"/>
        </w:rPr>
      </w:pPr>
    </w:p>
    <w:p>
      <w:pPr>
        <w:ind w:left="300" w:hanging="292"/>
        <w:spacing w:after="0"/>
        <w:tabs>
          <w:tab w:leader="none" w:pos="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1,338,123</w:t>
      </w:r>
    </w:p>
    <w:p>
      <w:pPr>
        <w:ind w:left="320" w:hanging="312"/>
        <w:spacing w:after="0" w:line="230" w:lineRule="auto"/>
        <w:tabs>
          <w:tab w:leader="none" w:pos="3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4.9%</w:t>
      </w:r>
    </w:p>
    <w:p>
      <w:pPr>
        <w:ind w:left="300" w:hanging="292"/>
        <w:spacing w:after="0" w:line="230" w:lineRule="auto"/>
        <w:tabs>
          <w:tab w:leader="none" w:pos="3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1,338,123</w:t>
      </w:r>
    </w:p>
    <w:p>
      <w:pPr>
        <w:ind w:left="380" w:hanging="372"/>
        <w:spacing w:after="0" w:line="230" w:lineRule="auto"/>
        <w:tabs>
          <w:tab w:leader="none" w:pos="38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1,338,123</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 Cubist Systematic Strategies, LLC</w:t>
      </w:r>
    </w:p>
    <w:p>
      <w:pPr>
        <w:sectPr>
          <w:pgSz w:w="11900" w:h="16838" w:orient="portrait"/>
          <w:cols w:equalWidth="0" w:num="1">
            <w:col w:w="10139"/>
          </w:cols>
          <w:pgMar w:left="320" w:top="328" w:right="1440" w:bottom="0" w:gutter="0" w:footer="0" w:header="0"/>
        </w:sectPr>
      </w:pPr>
    </w:p>
    <w:bookmarkStart w:id="6" w:name="page7"/>
    <w:bookmarkEnd w:id="6"/>
    <w:p>
      <w:pPr>
        <w:ind w:left="300" w:hanging="292"/>
        <w:spacing w:after="0"/>
        <w:tabs>
          <w:tab w:leader="none" w:pos="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545</w:t>
      </w:r>
    </w:p>
    <w:p>
      <w:pPr>
        <w:spacing w:after="0" w:line="14" w:lineRule="exact"/>
        <w:rPr>
          <w:rFonts w:ascii="Times New Roman" w:cs="Times New Roman" w:eastAsia="Times New Roman" w:hAnsi="Times New Roman"/>
          <w:sz w:val="22"/>
          <w:szCs w:val="22"/>
          <w:color w:val="auto"/>
        </w:rPr>
      </w:pPr>
    </w:p>
    <w:p>
      <w:pPr>
        <w:ind w:left="320" w:hanging="312"/>
        <w:spacing w:after="0" w:line="230" w:lineRule="auto"/>
        <w:tabs>
          <w:tab w:leader="none" w:pos="3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&lt;0.1%</w:t>
      </w:r>
    </w:p>
    <w:p>
      <w:pPr>
        <w:ind w:left="300" w:hanging="292"/>
        <w:spacing w:after="0" w:line="230" w:lineRule="auto"/>
        <w:tabs>
          <w:tab w:leader="none" w:pos="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545</w:t>
      </w:r>
    </w:p>
    <w:p>
      <w:pPr>
        <w:jc w:val="center"/>
        <w:ind w:right="4659" w:firstLine="8"/>
        <w:spacing w:after="0" w:line="258" w:lineRule="auto"/>
        <w:tabs>
          <w:tab w:leader="none" w:pos="37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0 (iv) Shared power to dispose or to direct the disposition of: 545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 Steven A. Cohen</w:t>
      </w:r>
    </w:p>
    <w:p>
      <w:pPr>
        <w:spacing w:after="0" w:line="4" w:lineRule="exact"/>
        <w:rPr>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1,338,668</w:t>
      </w:r>
    </w:p>
    <w:p>
      <w:pPr>
        <w:ind w:left="320" w:hanging="312"/>
        <w:spacing w:after="0" w:line="230" w:lineRule="auto"/>
        <w:tabs>
          <w:tab w:leader="none" w:pos="3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4.9%</w:t>
      </w:r>
    </w:p>
    <w:p>
      <w:pPr>
        <w:ind w:left="300" w:hanging="292"/>
        <w:spacing w:after="0" w:line="230" w:lineRule="auto"/>
        <w:tabs>
          <w:tab w:leader="none" w:pos="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ind w:left="260" w:hanging="252"/>
        <w:spacing w:after="0" w:line="230" w:lineRule="auto"/>
        <w:tabs>
          <w:tab w:leader="none" w:pos="2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ind w:left="320" w:hanging="312"/>
        <w:spacing w:after="0" w:line="230" w:lineRule="auto"/>
        <w:tabs>
          <w:tab w:leader="none" w:pos="32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1,338,668</w:t>
      </w:r>
    </w:p>
    <w:p>
      <w:pPr>
        <w:ind w:left="380" w:hanging="372"/>
        <w:spacing w:after="0" w:line="230" w:lineRule="auto"/>
        <w:tabs>
          <w:tab w:leader="none" w:pos="38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(iv) Shared power to dispose or to direct the disposition of: 1,338,668</w:t>
      </w:r>
    </w:p>
    <w:p>
      <w:pPr>
        <w:spacing w:after="0" w:line="209" w:lineRule="exact"/>
        <w:rPr>
          <w:sz w:val="20"/>
          <w:szCs w:val="20"/>
          <w:color w:val="auto"/>
        </w:rPr>
      </w:pPr>
    </w:p>
    <w:p>
      <w:pPr>
        <w:ind w:right="2719"/>
        <w:spacing w:after="0" w:line="249" w:lineRule="auto"/>
        <w:rPr>
          <w:sz w:val="20"/>
          <w:szCs w:val="20"/>
          <w:color w:val="auto"/>
        </w:rPr>
      </w:pPr>
      <w:r>
        <w:rPr>
          <w:rFonts w:ascii="Times New Roman" w:cs="Times New Roman" w:eastAsia="Times New Roman" w:hAnsi="Times New Roman"/>
          <w:sz w:val="21"/>
          <w:szCs w:val="21"/>
          <w:color w:val="auto"/>
        </w:rPr>
        <w:t>Point72 Asset Management, Point72 Capital Advisors Inc., Cubist Systematic Strategies, and Mr. Cohen own directly no Shares. Pursuant to an investment management agreement, Point72 Asset Management maintains investment and voting</w:t>
      </w:r>
    </w:p>
    <w:p>
      <w:pPr>
        <w:spacing w:after="0" w:line="1" w:lineRule="exact"/>
        <w:rPr>
          <w:sz w:val="20"/>
          <w:szCs w:val="20"/>
          <w:color w:val="auto"/>
        </w:rPr>
      </w:pPr>
    </w:p>
    <w:p>
      <w:pPr>
        <w:ind w:right="1739"/>
        <w:spacing w:after="0" w:line="231" w:lineRule="auto"/>
        <w:rPr>
          <w:sz w:val="20"/>
          <w:szCs w:val="20"/>
          <w:color w:val="auto"/>
        </w:rPr>
      </w:pPr>
      <w:r>
        <w:rPr>
          <w:rFonts w:ascii="Times New Roman" w:cs="Times New Roman" w:eastAsia="Times New Roman" w:hAnsi="Times New Roman"/>
          <w:sz w:val="22"/>
          <w:szCs w:val="22"/>
          <w:color w:val="auto"/>
        </w:rPr>
        <w:t>power with respect to the securities held by certain investment funds it manages. Point72 Capital Advisors Inc. is the general partner of Point72 Asset Management. Pursuant to an investment management agreement, Cubist Systematic Strategies maintains investment and voting power with respect to the securities held by certain investment funds it manages. Mr. Cohen controls each of Point72 Asset Management, Point72 Capital Advisors Inc., and Cubist Systematic Strategies. As of December 31, 2020, by reason of the provisions of Rule 13d-3 of the Securities Exchange Act of 1934, as amended, each of (i) Point72 Asset Management, Point72 Capital Advisors Inc., and Mr. Cohen may be deemed to beneficially own 1,338,123 Shares (constituting approximately 4.9% of the Shares outstanding) and (ii) Cubist Systematic Strategies and Mr. Cohen may be deemed to beneficially own 545 Shares (constituting &lt;0.1% of the Shares outstanding). Each of Point72 Asset Management, Point72 Capital Advisors Inc., Cubist Systematic Strategies, and Mr. Cohen disclaims beneficial ownership of any of the securities covered by this statement.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5. </w:t>
      </w:r>
      <w:r>
        <w:rPr>
          <w:rFonts w:ascii="Times New Roman" w:cs="Times New Roman" w:eastAsia="Times New Roman" w:hAnsi="Times New Roman"/>
          <w:sz w:val="22"/>
          <w:szCs w:val="22"/>
          <w:color w:val="auto"/>
        </w:rPr>
        <w:t>Ownership of 5 Percent or Less of a Class.</w:t>
      </w:r>
    </w:p>
    <w:p>
      <w:pPr>
        <w:spacing w:after="0" w:line="237" w:lineRule="exact"/>
        <w:rPr>
          <w:sz w:val="20"/>
          <w:szCs w:val="20"/>
          <w:color w:val="auto"/>
        </w:rPr>
      </w:pPr>
    </w:p>
    <w:p>
      <w:pPr>
        <w:jc w:val="both"/>
        <w:ind w:right="3879"/>
        <w:spacing w:after="0" w:line="244"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5 percent of the class of securities, check the following [X].</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6. </w:t>
      </w:r>
      <w:r>
        <w:rPr>
          <w:rFonts w:ascii="Times New Roman" w:cs="Times New Roman" w:eastAsia="Times New Roman" w:hAnsi="Times New Roman"/>
          <w:sz w:val="22"/>
          <w:szCs w:val="22"/>
          <w:color w:val="auto"/>
        </w:rPr>
        <w:t>Ownership of More than 5 Percent on Behalf of Another Person.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jc w:val="both"/>
        <w:ind w:right="3539"/>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Item 7. </w:t>
      </w:r>
      <w:r>
        <w:rPr>
          <w:rFonts w:ascii="Times New Roman" w:cs="Times New Roman" w:eastAsia="Times New Roman" w:hAnsi="Times New Roman"/>
          <w:sz w:val="22"/>
          <w:szCs w:val="22"/>
          <w:color w:val="auto"/>
        </w:rPr>
        <w:t>Identification and Classification of the Subsidiary Which Acquired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Security Being Reporting on by the Parent Holding Company or Control Person.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8. </w:t>
      </w:r>
      <w:r>
        <w:rPr>
          <w:rFonts w:ascii="Times New Roman" w:cs="Times New Roman" w:eastAsia="Times New Roman" w:hAnsi="Times New Roman"/>
          <w:sz w:val="22"/>
          <w:szCs w:val="22"/>
          <w:color w:val="auto"/>
        </w:rPr>
        <w:t>Identification and Classification of Members of the Group</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9. </w:t>
      </w:r>
      <w:r>
        <w:rPr>
          <w:rFonts w:ascii="Times New Roman" w:cs="Times New Roman" w:eastAsia="Times New Roman" w:hAnsi="Times New Roman"/>
          <w:sz w:val="22"/>
          <w:szCs w:val="22"/>
          <w:color w:val="auto"/>
        </w:rPr>
        <w:t>Notice of Dissolution of Group.</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Item 10. </w:t>
      </w:r>
      <w:r>
        <w:rPr>
          <w:rFonts w:ascii="Times New Roman" w:cs="Times New Roman" w:eastAsia="Times New Roman" w:hAnsi="Times New Roman"/>
          <w:sz w:val="22"/>
          <w:szCs w:val="22"/>
          <w:color w:val="auto"/>
        </w:rPr>
        <w:t>Certifications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signing below I certify that, to the best of my knowledge and belief,</w:t>
      </w:r>
    </w:p>
    <w:p>
      <w:pPr>
        <w:spacing w:after="0" w:line="14" w:lineRule="exact"/>
        <w:rPr>
          <w:sz w:val="20"/>
          <w:szCs w:val="20"/>
          <w:color w:val="auto"/>
        </w:rPr>
      </w:pPr>
    </w:p>
    <w:p>
      <w:pPr>
        <w:ind w:right="3059"/>
        <w:spacing w:after="0" w:line="230" w:lineRule="auto"/>
        <w:rPr>
          <w:sz w:val="20"/>
          <w:szCs w:val="20"/>
          <w:color w:val="auto"/>
        </w:rPr>
      </w:pPr>
      <w:r>
        <w:rPr>
          <w:rFonts w:ascii="Times New Roman" w:cs="Times New Roman" w:eastAsia="Times New Roman" w:hAnsi="Times New Roman"/>
          <w:sz w:val="22"/>
          <w:szCs w:val="22"/>
          <w:color w:val="auto"/>
        </w:rPr>
        <w:t>the securities referred to above were not acquired and are not held for the purpose of or with the effect of changing or influencing the control of the issuer of the securities and were not acquired and are not held in connection with or</w:t>
      </w:r>
    </w:p>
    <w:p>
      <w:pPr>
        <w:spacing w:after="0" w:line="2" w:lineRule="exact"/>
        <w:rPr>
          <w:sz w:val="20"/>
          <w:szCs w:val="20"/>
          <w:color w:val="auto"/>
        </w:rPr>
      </w:pPr>
    </w:p>
    <w:p>
      <w:pPr>
        <w:ind w:right="2899"/>
        <w:spacing w:after="0" w:line="237" w:lineRule="auto"/>
        <w:rPr>
          <w:sz w:val="20"/>
          <w:szCs w:val="20"/>
          <w:color w:val="auto"/>
        </w:rPr>
      </w:pPr>
      <w:r>
        <w:rPr>
          <w:rFonts w:ascii="Times New Roman" w:cs="Times New Roman" w:eastAsia="Times New Roman" w:hAnsi="Times New Roman"/>
          <w:sz w:val="22"/>
          <w:szCs w:val="22"/>
          <w:color w:val="auto"/>
        </w:rPr>
        <w:t>as a participant in any transaction having that purpose or effect, other than activities solely in connection with a nomination under§ 240.14a-11.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 xml:space="preserve">Signature. </w:t>
      </w:r>
      <w:r>
        <w:rPr>
          <w:rFonts w:ascii="Times New Roman" w:cs="Times New Roman" w:eastAsia="Times New Roman" w:hAnsi="Times New Roman"/>
          <w:sz w:val="22"/>
          <w:szCs w:val="22"/>
          <w:color w:val="auto"/>
        </w:rPr>
        <w:t>After reasonable inquiry and to the best of my knowledge and belief,</w:t>
      </w:r>
    </w:p>
    <w:p>
      <w:pPr>
        <w:sectPr>
          <w:pgSz w:w="11900" w:h="16838" w:orient="portrait"/>
          <w:cols w:equalWidth="0" w:num="1">
            <w:col w:w="10139"/>
          </w:cols>
          <w:pgMar w:left="320" w:top="111" w:right="1440" w:bottom="0" w:gutter="0" w:footer="0" w:header="0"/>
        </w:sectPr>
      </w:pPr>
    </w:p>
    <w:bookmarkStart w:id="7" w:name="page8"/>
    <w:bookmarkEnd w:id="7"/>
    <w:p>
      <w:pPr>
        <w:ind w:right="3939"/>
        <w:spacing w:after="0" w:line="259" w:lineRule="auto"/>
        <w:rPr>
          <w:sz w:val="20"/>
          <w:szCs w:val="20"/>
          <w:color w:val="auto"/>
        </w:rPr>
      </w:pPr>
      <w:r>
        <w:rPr>
          <w:rFonts w:ascii="Times New Roman" w:cs="Times New Roman" w:eastAsia="Times New Roman" w:hAnsi="Times New Roman"/>
          <w:sz w:val="22"/>
          <w:szCs w:val="22"/>
          <w:color w:val="auto"/>
        </w:rPr>
        <w:t>I certify that the information set forth in this statement is true, complete and correct.</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Dated: </w:t>
      </w:r>
      <w:r>
        <w:rPr>
          <w:rFonts w:ascii="Times New Roman" w:cs="Times New Roman" w:eastAsia="Times New Roman" w:hAnsi="Times New Roman"/>
          <w:sz w:val="22"/>
          <w:szCs w:val="22"/>
          <w:u w:val="single" w:color="auto"/>
          <w:color w:val="auto"/>
        </w:rPr>
        <w:t>February 16,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ASSET MANAGEMENT, L.P.</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POINT72 CAPITAL ADVISORS, INC.</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CUBIST SYSTEMATIC STRATEGIES, LLC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STEVEN A. COHEN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Jason M. Colombo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Jason M. Colombo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Authorized Person</w:t>
      </w:r>
    </w:p>
    <w:sectPr>
      <w:pgSz w:w="11900" w:h="16838" w:orient="portrait"/>
      <w:cols w:equalWidth="0" w:num="1">
        <w:col w:w="10139"/>
      </w:cols>
      <w:pgMar w:left="32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1"/>
    </w:lvl>
  </w:abstractNum>
  <w:abstractNum w:abstractNumId="2">
    <w:nsid w:val="140E0F76"/>
    <w:multiLevelType w:val="hybridMultilevel"/>
    <w:lvl w:ilvl="0">
      <w:lvlJc w:val="left"/>
      <w:lvlText w:val="(%1)"/>
      <w:numFmt w:val="decimal"/>
      <w:start w:val="11"/>
    </w:lvl>
  </w:abstractNum>
  <w:abstractNum w:abstractNumId="3">
    <w:nsid w:val="3352255A"/>
    <w:multiLevelType w:val="hybridMultilevel"/>
    <w:lvl w:ilvl="0">
      <w:lvlJc w:val="left"/>
      <w:lvlText w:val="(%1)"/>
      <w:numFmt w:val="decimal"/>
      <w:start w:val="11"/>
    </w:lvl>
  </w:abstractNum>
  <w:abstractNum w:abstractNumId="4">
    <w:nsid w:val="109CF92E"/>
    <w:multiLevelType w:val="hybridMultilevel"/>
    <w:lvl w:ilvl="0">
      <w:lvlJc w:val="left"/>
      <w:lvlText w:val="(%1)"/>
      <w:numFmt w:val="decimal"/>
      <w:start w:val="11"/>
    </w:lvl>
  </w:abstractNum>
  <w:abstractNum w:abstractNumId="5">
    <w:nsid w:val="DED7263"/>
    <w:multiLevelType w:val="hybridMultilevel"/>
    <w:lvl w:ilvl="0">
      <w:lvlJc w:val="left"/>
      <w:lvlText w:val="(%1)"/>
      <w:numFmt w:val="lowerRoman"/>
      <w:start w:val="2"/>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9"/>
    </w:lvl>
  </w:abstractNum>
  <w:abstractNum w:abstractNumId="8">
    <w:nsid w:val="41A7C4C9"/>
    <w:multiLevelType w:val="hybridMultilevel"/>
    <w:lvl w:ilvl="0">
      <w:lvlJc w:val="left"/>
      <w:lvlText w:val="(%1)"/>
      <w:numFmt w:val="lowerLetter"/>
      <w:start w:val="35"/>
    </w:lvl>
  </w:abstractNum>
  <w:abstractNum w:abstractNumId="9">
    <w:nsid w:val="6B68079A"/>
    <w:multiLevelType w:val="hybridMultilevel"/>
    <w:lvl w:ilvl="0">
      <w:lvlJc w:val="left"/>
      <w:lvlText w:val="(%1)"/>
      <w:numFmt w:val="lowerLetter"/>
      <w:start w:val="6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9"/>
    </w:lvl>
  </w:abstractNum>
  <w:abstractNum w:abstractNumId="12">
    <w:nsid w:val="519B500D"/>
    <w:multiLevelType w:val="hybridMultilevel"/>
    <w:lvl w:ilvl="0">
      <w:lvlJc w:val="left"/>
      <w:lvlText w:val="(%1)"/>
      <w:numFmt w:val="lowerLetter"/>
      <w:start w:val="35"/>
    </w:lvl>
  </w:abstractNum>
  <w:abstractNum w:abstractNumId="13">
    <w:nsid w:val="431BD7B7"/>
    <w:multiLevelType w:val="hybridMultilevel"/>
    <w:lvl w:ilvl="0">
      <w:lvlJc w:val="left"/>
      <w:lvlText w:val="(%1)"/>
      <w:numFmt w:val="lowerLetter"/>
      <w:start w:val="6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lowerLetter"/>
      <w:start w:val="9"/>
    </w:lvl>
  </w:abstractNum>
  <w:abstractNum w:abstractNumId="16">
    <w:nsid w:val="257130A3"/>
    <w:multiLevelType w:val="hybridMultilevel"/>
    <w:lvl w:ilvl="0">
      <w:lvlJc w:val="left"/>
      <w:lvlText w:val="(%1)"/>
      <w:numFmt w:val="lowerLetter"/>
      <w:start w:val="35"/>
    </w:lvl>
  </w:abstractNum>
  <w:abstractNum w:abstractNumId="17">
    <w:nsid w:val="62BBD95A"/>
    <w:multiLevelType w:val="hybridMultilevel"/>
    <w:lvl w:ilvl="0">
      <w:lvlJc w:val="left"/>
      <w:lvlText w:val="(%1)"/>
      <w:numFmt w:val="lowerLetter"/>
      <w:start w:val="6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lowerLetter"/>
      <w:start w:val="9"/>
    </w:lvl>
  </w:abstractNum>
  <w:abstractNum w:abstractNumId="20">
    <w:nsid w:val="333AB105"/>
    <w:multiLevelType w:val="hybridMultilevel"/>
    <w:lvl w:ilvl="0">
      <w:lvlJc w:val="left"/>
      <w:lvlText w:val="(%1)"/>
      <w:numFmt w:val="lowerLetter"/>
      <w:start w:val="35"/>
    </w:lvl>
  </w:abstractNum>
  <w:abstractNum w:abstractNumId="21">
    <w:nsid w:val="721DA317"/>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2021-02-16T14:23:33Z</dcterms:created>
  <dcterms:modified xsi:type="dcterms:W3CDTF">2021-02-16T14:23:33Z</dcterms:modified>
</cp:coreProperties>
</file>