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3920" w:right="2240" w:hanging="3912"/>
        <w:spacing w:after="0" w:line="245" w:lineRule="auto"/>
        <w:tabs>
          <w:tab w:leader="none" w:pos="2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ind w:left="220" w:hanging="212"/>
        <w:spacing w:after="0" w:line="228" w:lineRule="auto"/>
        <w:tabs>
          <w:tab w:leader="none" w:pos="2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235" w:lineRule="auto"/>
        <w:tabs>
          <w:tab w:leader="none" w:pos="34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-302895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5" w:lineRule="exact"/>
        <w:rPr>
          <w:sz w:val="24"/>
          <w:szCs w:val="24"/>
          <w:color w:val="auto"/>
        </w:rPr>
      </w:pPr>
    </w:p>
    <w:tbl>
      <w:tblPr>
        <w:tblLayout w:type="fixed"/>
        <w:tblInd w:w="2460" w:type="dxa"/>
        <w:tblCellMar>
          <w:top w:w="0" w:type="dxa"/>
          <w:left w:w="0" w:type="dxa"/>
          <w:bottom w:w="0" w:type="dxa"/>
          <w:right w:w="0" w:type="dxa"/>
        </w:tblCellMar>
      </w:tblPr>
      <w:tr>
        <w:trPr>
          <w:trHeight w:val="217"/>
        </w:trPr>
        <w:tc>
          <w:tcPr>
            <w:tcW w:w="312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47-4839948</w:t>
            </w:r>
          </w:p>
        </w:tc>
      </w:tr>
    </w:tbl>
    <w:p>
      <w:pPr>
        <w:spacing w:after="0" w:line="1" w:lineRule="exact"/>
        <w:rPr>
          <w:sz w:val="24"/>
          <w:szCs w:val="24"/>
          <w:color w:val="auto"/>
        </w:rPr>
      </w:pPr>
    </w:p>
    <w:p>
      <w:pPr>
        <w:sectPr>
          <w:pgSz w:w="11900" w:h="16838" w:orient="portrait"/>
          <w:cols w:equalWidth="0" w:num="1">
            <w:col w:w="11240"/>
          </w:cols>
          <w:pgMar w:left="320" w:top="278" w:right="339" w:bottom="1440" w:gutter="0" w:footer="0" w:header="0"/>
        </w:sectPr>
      </w:pPr>
    </w:p>
    <w:p>
      <w:pPr>
        <w:ind w:left="2020"/>
        <w:spacing w:after="0" w:line="187" w:lineRule="auto"/>
        <w:rPr>
          <w:sz w:val="20"/>
          <w:szCs w:val="20"/>
          <w:color w:val="auto"/>
        </w:rPr>
      </w:pPr>
      <w:r>
        <w:rPr>
          <w:rFonts w:ascii="Arial" w:cs="Arial" w:eastAsia="Arial" w:hAnsi="Arial"/>
          <w:sz w:val="12"/>
          <w:szCs w:val="12"/>
          <w:b w:val="1"/>
          <w:bCs w:val="1"/>
          <w:color w:val="auto"/>
        </w:rPr>
        <w:t>(State or other jurisdiction of</w:t>
      </w:r>
    </w:p>
    <w:p>
      <w:pPr>
        <w:ind w:left="2000"/>
        <w:spacing w:after="0" w:line="226" w:lineRule="auto"/>
        <w:rPr>
          <w:sz w:val="20"/>
          <w:szCs w:val="20"/>
          <w:color w:val="auto"/>
        </w:rPr>
      </w:pPr>
      <w:r>
        <w:rPr>
          <w:rFonts w:ascii="Arial" w:cs="Arial" w:eastAsia="Arial" w:hAnsi="Arial"/>
          <w:sz w:val="13"/>
          <w:szCs w:val="13"/>
          <w:b w:val="1"/>
          <w:bCs w:val="1"/>
          <w:color w:val="auto"/>
        </w:rPr>
        <w:t>incorporation or organization)</w:t>
      </w:r>
    </w:p>
    <w:p>
      <w:pPr>
        <w:jc w:val="center"/>
        <w:ind w:right="1580"/>
        <w:spacing w:after="0" w:line="188" w:lineRule="auto"/>
        <w:rPr>
          <w:sz w:val="20"/>
          <w:szCs w:val="20"/>
          <w:color w:val="auto"/>
        </w:rPr>
      </w:pPr>
      <w:r>
        <w:rPr>
          <w:rFonts w:ascii="Arial" w:cs="Arial" w:eastAsia="Arial" w:hAnsi="Arial"/>
          <w:sz w:val="18"/>
          <w:szCs w:val="18"/>
          <w:b w:val="1"/>
          <w:bCs w:val="1"/>
          <w:color w:val="auto"/>
        </w:rPr>
        <w:t>26 Landsdowne Street</w:t>
      </w:r>
    </w:p>
    <w:p>
      <w:pPr>
        <w:jc w:val="center"/>
        <w:ind w:right="1580"/>
        <w:spacing w:after="0"/>
        <w:rPr>
          <w:sz w:val="20"/>
          <w:szCs w:val="20"/>
          <w:color w:val="auto"/>
        </w:rPr>
      </w:pPr>
      <w:r>
        <w:rPr>
          <w:rFonts w:ascii="Arial" w:cs="Arial" w:eastAsia="Arial" w:hAnsi="Arial"/>
          <w:sz w:val="16"/>
          <w:szCs w:val="16"/>
          <w:b w:val="1"/>
          <w:bCs w:val="1"/>
          <w:color w:val="auto"/>
        </w:rPr>
        <w:t>Cambridge, Massachusetts</w:t>
      </w:r>
    </w:p>
    <w:p>
      <w:pPr>
        <w:spacing w:after="0" w:line="20" w:lineRule="exact"/>
        <w:rPr>
          <w:sz w:val="24"/>
          <w:szCs w:val="24"/>
          <w:color w:val="auto"/>
        </w:rPr>
      </w:pPr>
      <w:r>
        <w:rPr>
          <w:sz w:val="24"/>
          <w:szCs w:val="24"/>
          <w:color w:val="auto"/>
        </w:rPr>
        <w:br w:type="column"/>
      </w:r>
    </w:p>
    <w:p>
      <w:pPr>
        <w:ind w:left="40"/>
        <w:spacing w:after="0" w:line="211" w:lineRule="auto"/>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54"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02139</w:t>
      </w:r>
    </w:p>
    <w:p>
      <w:pPr>
        <w:spacing w:after="0" w:line="10" w:lineRule="exact"/>
        <w:rPr>
          <w:sz w:val="24"/>
          <w:szCs w:val="24"/>
          <w:color w:val="auto"/>
        </w:rPr>
      </w:pPr>
    </w:p>
    <w:p>
      <w:pPr>
        <w:sectPr>
          <w:pgSz w:w="11900" w:h="16838" w:orient="portrait"/>
          <w:cols w:equalWidth="0" w:num="2">
            <w:col w:w="7220" w:space="720"/>
            <w:col w:w="3300"/>
          </w:cols>
          <w:pgMar w:left="320" w:top="278"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4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080" w:type="dxa"/>
            <w:vAlign w:val="bottom"/>
          </w:tcPr>
          <w:p>
            <w:pPr>
              <w:jc w:val="center"/>
              <w:spacing w:after="0"/>
              <w:rPr>
                <w:sz w:val="20"/>
                <w:szCs w:val="20"/>
                <w:color w:val="auto"/>
              </w:rPr>
            </w:pPr>
            <w:r>
              <w:rPr>
                <w:rFonts w:ascii="Arial" w:cs="Arial" w:eastAsia="Arial" w:hAnsi="Arial"/>
                <w:sz w:val="18"/>
                <w:szCs w:val="18"/>
                <w:color w:val="auto"/>
                <w:highlight w:val="white"/>
                <w:w w:val="89"/>
              </w:rPr>
              <w:t>Common stock, par value $0.001 per share</w:t>
            </w: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FULC</w:t>
            </w:r>
          </w:p>
        </w:tc>
        <w:tc>
          <w:tcPr>
            <w:tcW w:w="1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highlight w:val="white"/>
                <w:w w:val="91"/>
              </w:rPr>
              <w:t>Nasdaq Global Market</w:t>
            </w: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445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9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11" w:lineRule="exact"/>
        <w:rPr>
          <w:sz w:val="24"/>
          <w:szCs w:val="24"/>
          <w:color w:val="auto"/>
        </w:rPr>
      </w:pPr>
    </w:p>
    <w:p>
      <w:pPr>
        <w:ind w:right="18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ind w:right="600"/>
        <w:spacing w:after="0" w:line="17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40"/>
        <w:spacing w:after="0" w:line="16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 w:lineRule="exact"/>
        <w:rPr>
          <w:sz w:val="24"/>
          <w:szCs w:val="24"/>
          <w:color w:val="auto"/>
        </w:rPr>
      </w:pPr>
    </w:p>
    <w:p>
      <w:pPr>
        <w:ind w:right="140"/>
        <w:spacing w:after="0" w:line="241"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2021, was approximately $248,910,889.</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24, 2022 was 40,637,216.</w:t>
      </w:r>
    </w:p>
    <w:p>
      <w:pPr>
        <w:spacing w:after="0" w:line="10"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7" w:lineRule="exact"/>
        <w:rPr>
          <w:sz w:val="24"/>
          <w:szCs w:val="24"/>
          <w:color w:val="auto"/>
        </w:rPr>
      </w:pPr>
    </w:p>
    <w:p>
      <w:pPr>
        <w:ind w:right="280"/>
        <w:spacing w:after="0" w:line="225" w:lineRule="auto"/>
        <w:rPr>
          <w:sz w:val="20"/>
          <w:szCs w:val="20"/>
          <w:color w:val="auto"/>
        </w:rPr>
      </w:pPr>
      <w:r>
        <w:rPr>
          <w:rFonts w:ascii="Arial" w:cs="Arial" w:eastAsia="Arial" w:hAnsi="Arial"/>
          <w:sz w:val="15"/>
          <w:szCs w:val="15"/>
          <w:color w:val="auto"/>
        </w:rPr>
        <w:t>The registrant intends to file a definitive proxy statement pursuant to Regulation 14A relating to the 2022 Annual Meeting of Stockholders within 120 days of the end of the registrant’s fiscal year ended December 31, 2021.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7"/>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2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Risk Factors</w:t>
              </w:r>
            </w:hyperlink>
          </w:p>
        </w:tc>
        <w:tc>
          <w:tcPr>
            <w:tcW w:w="20" w:type="dxa"/>
            <w:vAlign w:val="bottom"/>
            <w:tcBorders>
              <w:bottom w:val="single" w:sz="8" w:color="0000EE"/>
            </w:tcBorders>
          </w:tcPr>
          <w:p>
            <w:pPr>
              <w:spacing w:after="0"/>
              <w:rPr>
                <w:sz w:val="14"/>
                <w:szCs w:val="14"/>
                <w:color w:val="auto"/>
              </w:rPr>
            </w:pPr>
          </w:p>
        </w:tc>
        <w:tc>
          <w:tcPr>
            <w:tcW w:w="8360" w:type="dxa"/>
            <w:vAlign w:val="bottom"/>
            <w:gridSpan w:val="20"/>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1B.</w:t>
            </w:r>
          </w:p>
        </w:tc>
        <w:tc>
          <w:tcPr>
            <w:tcW w:w="940" w:type="dxa"/>
            <w:vAlign w:val="bottom"/>
            <w:gridSpan w:val="7"/>
          </w:tcPr>
          <w:p>
            <w:pPr>
              <w:spacing w:after="0" w:line="169" w:lineRule="exact"/>
              <w:rPr>
                <w:rFonts w:ascii="Arial" w:cs="Arial" w:eastAsia="Arial" w:hAnsi="Arial"/>
                <w:sz w:val="18"/>
                <w:szCs w:val="18"/>
                <w:color w:val="0000FF"/>
              </w:rPr>
            </w:pPr>
            <w:hyperlink w:anchor="page97">
              <w:r>
                <w:rPr>
                  <w:rFonts w:ascii="Arial" w:cs="Arial" w:eastAsia="Arial" w:hAnsi="Arial"/>
                  <w:sz w:val="18"/>
                  <w:szCs w:val="18"/>
                  <w:color w:val="0000FF"/>
                </w:rPr>
                <w:t>Unresolved</w:t>
              </w:r>
            </w:hyperlink>
          </w:p>
        </w:tc>
        <w:tc>
          <w:tcPr>
            <w:tcW w:w="8360" w:type="dxa"/>
            <w:vAlign w:val="bottom"/>
            <w:gridSpan w:val="20"/>
          </w:tcPr>
          <w:p>
            <w:pPr>
              <w:spacing w:after="0" w:line="169" w:lineRule="exact"/>
              <w:rPr>
                <w:rFonts w:ascii="Arial" w:cs="Arial" w:eastAsia="Arial" w:hAnsi="Arial"/>
                <w:sz w:val="18"/>
                <w:szCs w:val="18"/>
                <w:color w:val="0000FF"/>
              </w:rPr>
            </w:pPr>
            <w:hyperlink w:anchor="page97">
              <w:r>
                <w:rPr>
                  <w:rFonts w:ascii="Arial" w:cs="Arial" w:eastAsia="Arial" w:hAnsi="Arial"/>
                  <w:sz w:val="18"/>
                  <w:szCs w:val="18"/>
                  <w:color w:val="0000FF"/>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7"/>
              </w:rPr>
            </w:pPr>
            <w:hyperlink w:anchor="page97">
              <w:r>
                <w:rPr>
                  <w:rFonts w:ascii="Arial" w:cs="Arial" w:eastAsia="Arial" w:hAnsi="Arial"/>
                  <w:sz w:val="18"/>
                  <w:szCs w:val="18"/>
                  <w:color w:val="0000FF"/>
                  <w:w w:val="87"/>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9"/>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3.</w:t>
            </w:r>
          </w:p>
        </w:tc>
        <w:tc>
          <w:tcPr>
            <w:tcW w:w="9300" w:type="dxa"/>
            <w:vAlign w:val="bottom"/>
            <w:gridSpan w:val="27"/>
          </w:tcPr>
          <w:p>
            <w:pPr>
              <w:spacing w:after="0" w:line="169" w:lineRule="exact"/>
              <w:rPr>
                <w:rFonts w:ascii="Arial" w:cs="Arial" w:eastAsia="Arial" w:hAnsi="Arial"/>
                <w:sz w:val="18"/>
                <w:szCs w:val="18"/>
                <w:color w:val="0000FF"/>
              </w:rPr>
            </w:pPr>
            <w:hyperlink w:anchor="page97">
              <w:r>
                <w:rPr>
                  <w:rFonts w:ascii="Arial" w:cs="Arial" w:eastAsia="Arial" w:hAnsi="Arial"/>
                  <w:sz w:val="18"/>
                  <w:szCs w:val="18"/>
                  <w:color w:val="0000FF"/>
                </w:rPr>
                <w:t>Legal Proceedings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7"/>
          </w:tcPr>
          <w:p>
            <w:pPr>
              <w:spacing w:after="0" w:line="169" w:lineRule="exact"/>
              <w:rPr>
                <w:rFonts w:ascii="Arial" w:cs="Arial" w:eastAsia="Arial" w:hAnsi="Arial"/>
                <w:sz w:val="18"/>
                <w:szCs w:val="18"/>
                <w:color w:val="0000FF"/>
              </w:rPr>
            </w:pPr>
            <w:hyperlink w:anchor="page97">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7"/>
          </w:tcPr>
          <w:p>
            <w:pPr>
              <w:spacing w:after="0" w:line="190" w:lineRule="exact"/>
              <w:rPr>
                <w:rFonts w:ascii="Arial" w:cs="Arial" w:eastAsia="Arial" w:hAnsi="Arial"/>
                <w:sz w:val="18"/>
                <w:szCs w:val="18"/>
                <w:color w:val="0000FF"/>
              </w:rPr>
            </w:pPr>
            <w:hyperlink w:anchor="page98">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6.</w:t>
            </w:r>
          </w:p>
        </w:tc>
        <w:tc>
          <w:tcPr>
            <w:tcW w:w="6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5"/>
              </w:rPr>
            </w:pPr>
            <w:hyperlink w:anchor="page98">
              <w:r>
                <w:rPr>
                  <w:rFonts w:ascii="Arial" w:cs="Arial" w:eastAsia="Arial" w:hAnsi="Arial"/>
                  <w:sz w:val="18"/>
                  <w:szCs w:val="18"/>
                  <w:color w:val="0000FF"/>
                  <w:w w:val="85"/>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380" w:type="dxa"/>
            <w:vAlign w:val="bottom"/>
            <w:tcBorders>
              <w:top w:val="single" w:sz="8" w:color="0000FF"/>
            </w:tcBorders>
            <w:gridSpan w:val="23"/>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7.</w:t>
            </w:r>
          </w:p>
        </w:tc>
        <w:tc>
          <w:tcPr>
            <w:tcW w:w="9300" w:type="dxa"/>
            <w:vAlign w:val="bottom"/>
            <w:gridSpan w:val="27"/>
          </w:tcPr>
          <w:p>
            <w:pPr>
              <w:spacing w:after="0" w:line="169" w:lineRule="exact"/>
              <w:rPr>
                <w:rFonts w:ascii="Arial" w:cs="Arial" w:eastAsia="Arial" w:hAnsi="Arial"/>
                <w:sz w:val="18"/>
                <w:szCs w:val="18"/>
                <w:color w:val="0000FF"/>
              </w:rPr>
            </w:pPr>
            <w:hyperlink w:anchor="page99">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Quantitative and Qualitative Disclosures About Market Risk</w:t>
              </w:r>
            </w:hyperlink>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89"/>
              </w:rPr>
            </w:pPr>
            <w:hyperlink w:anchor="page111">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1000" w:type="dxa"/>
            <w:vAlign w:val="bottom"/>
            <w:tcBorders>
              <w:top w:val="single" w:sz="8" w:color="0000FF"/>
            </w:tcBorders>
            <w:gridSpan w:val="2"/>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w:t>
            </w:r>
          </w:p>
        </w:tc>
        <w:tc>
          <w:tcPr>
            <w:tcW w:w="9300" w:type="dxa"/>
            <w:vAlign w:val="bottom"/>
            <w:gridSpan w:val="27"/>
          </w:tcPr>
          <w:p>
            <w:pPr>
              <w:spacing w:after="0" w:line="169" w:lineRule="exact"/>
              <w:rPr>
                <w:rFonts w:ascii="Arial" w:cs="Arial" w:eastAsia="Arial" w:hAnsi="Arial"/>
                <w:sz w:val="18"/>
                <w:szCs w:val="18"/>
                <w:color w:val="0000FF"/>
              </w:rPr>
            </w:pPr>
            <w:hyperlink w:anchor="page111">
              <w:r>
                <w:rPr>
                  <w:rFonts w:ascii="Arial" w:cs="Arial" w:eastAsia="Arial" w:hAnsi="Arial"/>
                  <w:sz w:val="18"/>
                  <w:szCs w:val="18"/>
                  <w:color w:val="0000FF"/>
                </w:rPr>
                <w:t>Changes in and Disagreements With Accountants on Accounting and Financial Disclosure</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9A.</w:t>
            </w:r>
          </w:p>
        </w:tc>
        <w:tc>
          <w:tcPr>
            <w:tcW w:w="65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112">
              <w:r>
                <w:rPr>
                  <w:rFonts w:ascii="Arial" w:cs="Arial" w:eastAsia="Arial" w:hAnsi="Arial"/>
                  <w:sz w:val="18"/>
                  <w:szCs w:val="18"/>
                  <w:color w:val="0000FF"/>
                </w:rPr>
                <w:t>Controls and Procedures</w:t>
              </w:r>
            </w:hyperlink>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w:anchor="page113">
              <w:r>
                <w:rPr>
                  <w:rFonts w:ascii="Arial" w:cs="Arial" w:eastAsia="Arial" w:hAnsi="Arial"/>
                  <w:sz w:val="18"/>
                  <w:szCs w:val="18"/>
                  <w:color w:val="0000FF"/>
                </w:rPr>
                <w:t>Other Information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spacing w:after="0"/>
              <w:rPr>
                <w:sz w:val="14"/>
                <w:szCs w:val="14"/>
                <w:color w:val="auto"/>
              </w:rPr>
            </w:pPr>
          </w:p>
        </w:tc>
        <w:tc>
          <w:tcPr>
            <w:tcW w:w="8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108</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7"/>
          </w:tcPr>
          <w:p>
            <w:pPr>
              <w:spacing w:after="0" w:line="169" w:lineRule="exact"/>
              <w:rPr>
                <w:rFonts w:ascii="Arial" w:cs="Arial" w:eastAsia="Arial" w:hAnsi="Arial"/>
                <w:sz w:val="18"/>
                <w:szCs w:val="18"/>
                <w:color w:val="0000FF"/>
              </w:rPr>
            </w:pPr>
            <w:hyperlink w:anchor="page113">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7"/>
          </w:tcPr>
          <w:p>
            <w:pPr>
              <w:spacing w:after="0" w:line="190" w:lineRule="exact"/>
              <w:rPr>
                <w:rFonts w:ascii="Arial" w:cs="Arial" w:eastAsia="Arial" w:hAnsi="Arial"/>
                <w:sz w:val="18"/>
                <w:szCs w:val="18"/>
                <w:color w:val="0000FF"/>
              </w:rPr>
            </w:pPr>
            <w:hyperlink w:anchor="page114">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0"/>
              </w:rPr>
            </w:pPr>
            <w:hyperlink w:anchor="page114">
              <w:r>
                <w:rPr>
                  <w:rFonts w:ascii="Arial" w:cs="Arial" w:eastAsia="Arial" w:hAnsi="Arial"/>
                  <w:sz w:val="18"/>
                  <w:szCs w:val="18"/>
                  <w:color w:val="0000FF"/>
                  <w:w w:val="90"/>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6"/>
          </w:tcPr>
          <w:p>
            <w:pPr>
              <w:spacing w:after="0"/>
              <w:rPr>
                <w:sz w:val="14"/>
                <w:szCs w:val="14"/>
                <w:color w:val="auto"/>
              </w:rPr>
            </w:pPr>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12.</w:t>
            </w:r>
          </w:p>
        </w:tc>
        <w:tc>
          <w:tcPr>
            <w:tcW w:w="1840" w:type="dxa"/>
            <w:vAlign w:val="bottom"/>
            <w:gridSpan w:val="13"/>
          </w:tcPr>
          <w:p>
            <w:pPr>
              <w:spacing w:after="0" w:line="169" w:lineRule="exact"/>
              <w:rPr>
                <w:rFonts w:ascii="Arial" w:cs="Arial" w:eastAsia="Arial" w:hAnsi="Arial"/>
                <w:sz w:val="18"/>
                <w:szCs w:val="18"/>
                <w:color w:val="0000FF"/>
              </w:rPr>
            </w:pPr>
            <w:hyperlink w:anchor="page114">
              <w:r>
                <w:rPr>
                  <w:rFonts w:ascii="Arial" w:cs="Arial" w:eastAsia="Arial" w:hAnsi="Arial"/>
                  <w:sz w:val="18"/>
                  <w:szCs w:val="18"/>
                  <w:color w:val="0000FF"/>
                </w:rPr>
                <w:t>Security Ownership of</w:t>
              </w:r>
            </w:hyperlink>
          </w:p>
        </w:tc>
        <w:tc>
          <w:tcPr>
            <w:tcW w:w="7460" w:type="dxa"/>
            <w:vAlign w:val="bottom"/>
            <w:gridSpan w:val="14"/>
          </w:tcPr>
          <w:p>
            <w:pPr>
              <w:spacing w:after="0" w:line="169" w:lineRule="exact"/>
              <w:rPr>
                <w:rFonts w:ascii="Arial" w:cs="Arial" w:eastAsia="Arial" w:hAnsi="Arial"/>
                <w:sz w:val="18"/>
                <w:szCs w:val="18"/>
                <w:color w:val="0000FF"/>
              </w:rPr>
            </w:pPr>
            <w:hyperlink w:anchor="page114">
              <w:r>
                <w:rPr>
                  <w:rFonts w:ascii="Arial" w:cs="Arial" w:eastAsia="Arial" w:hAnsi="Arial"/>
                  <w:sz w:val="18"/>
                  <w:szCs w:val="18"/>
                  <w:color w:val="0000FF"/>
                </w:rPr>
                <w:t>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w:anchor="page114">
              <w:r>
                <w:rPr>
                  <w:rFonts w:ascii="Arial" w:cs="Arial" w:eastAsia="Arial" w:hAnsi="Arial"/>
                  <w:sz w:val="18"/>
                  <w:szCs w:val="18"/>
                  <w:color w:val="0000FF"/>
                </w:rPr>
                <w:t>Certain Relationships and Related Transactions, and Director Independence</w:t>
              </w:r>
            </w:hyperlink>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114">
              <w:r>
                <w:rPr>
                  <w:rFonts w:ascii="Arial" w:cs="Arial" w:eastAsia="Arial" w:hAnsi="Arial"/>
                  <w:sz w:val="18"/>
                  <w:szCs w:val="18"/>
                  <w:color w:val="0000FF"/>
                </w:rPr>
                <w:t>Principal Accountant Fees and Services</w:t>
              </w:r>
            </w:hyperlink>
          </w:p>
        </w:tc>
        <w:tc>
          <w:tcPr>
            <w:tcW w:w="38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7"/>
          </w:tcPr>
          <w:p>
            <w:pPr>
              <w:spacing w:after="0" w:line="190" w:lineRule="exact"/>
              <w:rPr>
                <w:rFonts w:ascii="Arial" w:cs="Arial" w:eastAsia="Arial" w:hAnsi="Arial"/>
                <w:sz w:val="18"/>
                <w:szCs w:val="18"/>
                <w:color w:val="0000FF"/>
              </w:rPr>
            </w:pPr>
            <w:hyperlink w:anchor="page115">
              <w:r>
                <w:rPr>
                  <w:rFonts w:ascii="Arial" w:cs="Arial" w:eastAsia="Arial" w:hAnsi="Arial"/>
                  <w:sz w:val="18"/>
                  <w:szCs w:val="18"/>
                  <w:color w:val="0000FF"/>
                </w:rPr>
                <w:t>Exhibits and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2"/>
              </w:rPr>
            </w:pPr>
            <w:hyperlink w:anchor="page115">
              <w:r>
                <w:rPr>
                  <w:rFonts w:ascii="Arial" w:cs="Arial" w:eastAsia="Arial" w:hAnsi="Arial"/>
                  <w:sz w:val="18"/>
                  <w:szCs w:val="18"/>
                  <w:color w:val="0000FF"/>
                  <w:w w:val="92"/>
                </w:rPr>
                <w:t>Form 10-K Summary</w:t>
              </w:r>
            </w:hyperlink>
          </w:p>
        </w:tc>
        <w:tc>
          <w:tcPr>
            <w:tcW w:w="20" w:type="dxa"/>
            <w:vAlign w:val="bottom"/>
            <w:tcBorders>
              <w:top w:val="single" w:sz="8" w:color="0000FF"/>
              <w:bottom w:val="single" w:sz="8" w:color="0000EE"/>
            </w:tcBorders>
          </w:tcPr>
          <w:p>
            <w:pPr>
              <w:spacing w:after="0"/>
              <w:rPr>
                <w:sz w:val="14"/>
                <w:szCs w:val="14"/>
                <w:color w:val="auto"/>
              </w:rPr>
            </w:pPr>
          </w:p>
        </w:tc>
        <w:tc>
          <w:tcPr>
            <w:tcW w:w="1580" w:type="dxa"/>
            <w:vAlign w:val="bottom"/>
            <w:tcBorders>
              <w:top w:val="single" w:sz="8" w:color="0000FF"/>
            </w:tcBorders>
            <w:gridSpan w:val="6"/>
          </w:tcPr>
          <w:p>
            <w:pPr>
              <w:spacing w:after="0"/>
              <w:rPr>
                <w:sz w:val="14"/>
                <w:szCs w:val="14"/>
                <w:color w:val="auto"/>
              </w:rPr>
            </w:pPr>
          </w:p>
        </w:tc>
        <w:tc>
          <w:tcPr>
            <w:tcW w:w="6140" w:type="dxa"/>
            <w:vAlign w:val="bottom"/>
            <w:gridSpan w:val="11"/>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In this Annual Report on Form 10-K,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Annual Report on Form 10-K are the property of Fulcrum Therapeutics, Inc. This Annual Report on Form 10-K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and “Management’s Discussion and Analysis of Financial Condition and Results of Operations” sections and include, among other things:</w:t>
      </w:r>
    </w:p>
    <w:p>
      <w:pPr>
        <w:spacing w:after="0" w:line="94"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of losmapimod and FTX-6058;</w:t>
      </w:r>
    </w:p>
    <w:p>
      <w:pPr>
        <w:spacing w:after="0" w:line="103" w:lineRule="exact"/>
        <w:rPr>
          <w:rFonts w:ascii="Arial" w:cs="Arial" w:eastAsia="Arial" w:hAnsi="Arial"/>
          <w:sz w:val="18"/>
          <w:szCs w:val="18"/>
          <w:color w:val="auto"/>
        </w:rPr>
      </w:pPr>
    </w:p>
    <w:p>
      <w:pPr>
        <w:ind w:left="900" w:right="1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and operations, including our clinical trials and development plans, as well as our future financial results;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03" w:lineRule="exact"/>
        <w:rPr>
          <w:rFonts w:ascii="Arial" w:cs="Arial" w:eastAsia="Arial" w:hAnsi="Arial"/>
          <w:sz w:val="18"/>
          <w:szCs w:val="18"/>
          <w:color w:val="auto"/>
        </w:rPr>
      </w:pPr>
    </w:p>
    <w:p>
      <w:pPr>
        <w:ind w:left="900" w:right="38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900" w:right="36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03" w:lineRule="exact"/>
        <w:rPr>
          <w:rFonts w:ascii="Arial" w:cs="Arial" w:eastAsia="Arial" w:hAnsi="Arial"/>
          <w:sz w:val="18"/>
          <w:szCs w:val="18"/>
          <w:color w:val="auto"/>
        </w:rPr>
      </w:pPr>
    </w:p>
    <w:p>
      <w:pPr>
        <w:ind w:left="900" w:right="18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collaborations with Acceleron Pharma Inc., or Acceleron, a wholly-owned subsidiary of Merck &amp; Co., Inc., or Merck, and MyoKardia, Inc., or MyoKardia, a wholly-owned subsidiary of Bristol-Myers Squibb Company;</w:t>
      </w:r>
    </w:p>
    <w:p>
      <w:pPr>
        <w:spacing w:after="0" w:line="62" w:lineRule="exact"/>
        <w:rPr>
          <w:rFonts w:ascii="Arial" w:cs="Arial" w:eastAsia="Arial" w:hAnsi="Arial"/>
          <w:sz w:val="18"/>
          <w:szCs w:val="18"/>
          <w:color w:val="auto"/>
        </w:rPr>
      </w:pPr>
    </w:p>
    <w:p>
      <w:pPr>
        <w:ind w:left="900" w:right="6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right="20" w:firstLine="509"/>
        <w:spacing w:after="0"/>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9"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74" w:lineRule="exact"/>
        <w:rPr>
          <w:sz w:val="20"/>
          <w:szCs w:val="20"/>
          <w:color w:val="auto"/>
        </w:rPr>
      </w:pPr>
    </w:p>
    <w:p>
      <w:pPr>
        <w:jc w:val="both"/>
        <w:ind w:left="900" w:right="500" w:hanging="383"/>
        <w:spacing w:after="0" w:line="24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$80.8 million for the year ended December 31, 2021 and $70.8 million for the year ended December 31, 2020. We expect to incur losses over the next several years and may never achieve or maintain profitability. As of December 31, 2021, we had an accumulated deficit of $302.5 million.</w:t>
      </w:r>
    </w:p>
    <w:p>
      <w:pPr>
        <w:spacing w:after="0" w:line="73" w:lineRule="exact"/>
        <w:rPr>
          <w:rFonts w:ascii="Arial" w:cs="Arial" w:eastAsia="Arial" w:hAnsi="Arial"/>
          <w:sz w:val="18"/>
          <w:szCs w:val="18"/>
          <w:color w:val="auto"/>
        </w:rPr>
      </w:pPr>
    </w:p>
    <w:p>
      <w:pPr>
        <w:ind w:left="900" w:right="20" w:hanging="383"/>
        <w:spacing w:after="0" w:line="26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64" w:lineRule="exact"/>
        <w:rPr>
          <w:rFonts w:ascii="Arial" w:cs="Arial" w:eastAsia="Arial" w:hAnsi="Arial"/>
          <w:sz w:val="17"/>
          <w:szCs w:val="17"/>
          <w:color w:val="auto"/>
        </w:rPr>
      </w:pPr>
    </w:p>
    <w:p>
      <w:pPr>
        <w:ind w:left="900" w:right="4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62" w:lineRule="exact"/>
        <w:rPr>
          <w:rFonts w:ascii="Arial" w:cs="Arial" w:eastAsia="Arial" w:hAnsi="Arial"/>
          <w:sz w:val="18"/>
          <w:szCs w:val="18"/>
          <w:color w:val="auto"/>
        </w:rPr>
      </w:pPr>
    </w:p>
    <w:p>
      <w:pPr>
        <w:ind w:left="900" w:hanging="383"/>
        <w:spacing w:after="0" w:line="24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79" w:lineRule="exact"/>
        <w:rPr>
          <w:rFonts w:ascii="Arial" w:cs="Arial" w:eastAsia="Arial" w:hAnsi="Arial"/>
          <w:sz w:val="18"/>
          <w:szCs w:val="18"/>
          <w:color w:val="auto"/>
        </w:rPr>
      </w:pPr>
    </w:p>
    <w:p>
      <w:pPr>
        <w:ind w:left="900" w:right="20" w:hanging="383"/>
        <w:spacing w:after="0" w:line="24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3" w:lineRule="exact"/>
        <w:rPr>
          <w:rFonts w:ascii="Arial" w:cs="Arial" w:eastAsia="Arial" w:hAnsi="Arial"/>
          <w:sz w:val="18"/>
          <w:szCs w:val="18"/>
          <w:color w:val="auto"/>
        </w:rPr>
      </w:pPr>
    </w:p>
    <w:p>
      <w:pPr>
        <w:ind w:left="900" w:right="200" w:hanging="383"/>
        <w:spacing w:after="0" w:line="270"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 w:name="page5"/>
    <w:bookmarkEnd w:id="4"/>
    <w:p>
      <w:pPr>
        <w:ind w:left="383" w:right="280" w:hanging="383"/>
        <w:spacing w:after="0" w:line="294" w:lineRule="auto"/>
        <w:tabs>
          <w:tab w:leader="none" w:pos="3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39" w:lineRule="exact"/>
        <w:rPr>
          <w:rFonts w:ascii="Arial" w:cs="Arial" w:eastAsia="Arial" w:hAnsi="Arial"/>
          <w:sz w:val="16"/>
          <w:szCs w:val="16"/>
          <w:color w:val="auto"/>
        </w:rPr>
      </w:pPr>
    </w:p>
    <w:p>
      <w:pPr>
        <w:ind w:left="383" w:hanging="383"/>
        <w:spacing w:after="0" w:line="261" w:lineRule="auto"/>
        <w:tabs>
          <w:tab w:leader="none" w:pos="38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rFonts w:ascii="Arial" w:cs="Arial" w:eastAsia="Arial" w:hAnsi="Arial"/>
          <w:sz w:val="18"/>
          <w:szCs w:val="18"/>
          <w:color w:val="auto"/>
        </w:rPr>
      </w:pPr>
    </w:p>
    <w:p>
      <w:pPr>
        <w:ind w:left="383" w:right="100" w:hanging="383"/>
        <w:spacing w:after="0" w:line="261" w:lineRule="auto"/>
        <w:tabs>
          <w:tab w:leader="none" w:pos="38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383" w:right="220" w:hanging="383"/>
        <w:spacing w:after="0" w:line="248" w:lineRule="auto"/>
        <w:tabs>
          <w:tab w:leader="none" w:pos="38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73" w:lineRule="exact"/>
        <w:rPr>
          <w:rFonts w:ascii="Arial" w:cs="Arial" w:eastAsia="Arial" w:hAnsi="Arial"/>
          <w:sz w:val="18"/>
          <w:szCs w:val="18"/>
          <w:color w:val="auto"/>
        </w:rPr>
      </w:pPr>
    </w:p>
    <w:p>
      <w:pPr>
        <w:ind w:left="383" w:right="380" w:hanging="383"/>
        <w:spacing w:after="0" w:line="261" w:lineRule="auto"/>
        <w:tabs>
          <w:tab w:leader="none" w:pos="38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rFonts w:ascii="Arial" w:cs="Arial" w:eastAsia="Arial" w:hAnsi="Arial"/>
          <w:sz w:val="18"/>
          <w:szCs w:val="18"/>
          <w:color w:val="auto"/>
        </w:rPr>
      </w:pPr>
    </w:p>
    <w:p>
      <w:pPr>
        <w:ind w:left="383" w:right="20" w:hanging="383"/>
        <w:spacing w:after="0" w:line="294" w:lineRule="auto"/>
        <w:tabs>
          <w:tab w:leader="none" w:pos="383"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entered into, and may in the future enter into, collaborations with third parties for the discovery, development or commercialization of product candidates, including our collaborations with Acceleron and MyoKardia. If our collaborations are not successful, we may not be able to capitalize on the market potential of these product candidates and our business could be adversely affected.</w:t>
      </w:r>
    </w:p>
    <w:p>
      <w:pPr>
        <w:spacing w:after="0" w:line="39" w:lineRule="exact"/>
        <w:rPr>
          <w:rFonts w:ascii="Arial" w:cs="Arial" w:eastAsia="Arial" w:hAnsi="Arial"/>
          <w:sz w:val="16"/>
          <w:szCs w:val="16"/>
          <w:color w:val="auto"/>
        </w:rPr>
      </w:pPr>
    </w:p>
    <w:p>
      <w:pPr>
        <w:ind w:left="383" w:right="100" w:hanging="383"/>
        <w:spacing w:after="0" w:line="294" w:lineRule="auto"/>
        <w:tabs>
          <w:tab w:leader="none" w:pos="383"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39" w:lineRule="exact"/>
        <w:rPr>
          <w:rFonts w:ascii="Arial" w:cs="Arial" w:eastAsia="Arial" w:hAnsi="Arial"/>
          <w:sz w:val="16"/>
          <w:szCs w:val="16"/>
          <w:color w:val="auto"/>
        </w:rPr>
      </w:pPr>
    </w:p>
    <w:p>
      <w:pPr>
        <w:ind w:left="383" w:right="460" w:hanging="383"/>
        <w:spacing w:after="0" w:line="248" w:lineRule="auto"/>
        <w:tabs>
          <w:tab w:leader="none" w:pos="38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00" w:lineRule="exact"/>
        <w:rPr>
          <w:sz w:val="20"/>
          <w:szCs w:val="20"/>
          <w:color w:val="auto"/>
        </w:rPr>
      </w:pPr>
    </w:p>
    <w:p>
      <w:pPr>
        <w:spacing w:after="0" w:line="400"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81"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163"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 xml:space="preserve">Our most advanced product candidate, losmapimod, is a small molecule that we are developing for the treatment of FSHD, a rare, progressive and disabling disorder characterized by muscle degeneration and fat infiltration. Disease progression results in the accumulation of disability with many patients ultimately becoming dependent on wheelchairs and losing independence as their ability to perform activities of daily living decreases. Losmapimod selectively targets p38α/ß mitogen activated protein kinase, or p38α/ß. We utilized our product engine to discover that inhibition of p38α/ß reduced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in muscle cells derived from patients with FSHD. The aberrant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the known root cause of FSHD. There are no approved therapies for FSHD, one of the most common forms of muscular dystrophy, with an estimated patient population of 16,000 to 38,000 in the United States and 300,000 to 780,000 globally. Losmapimod has received orphan drug designation from both the FDA and the European Medicines Agency, or EMA, for the treatment of FSHD, and in May 2021, received fast track designation from the FDA.</w:t>
      </w:r>
    </w:p>
    <w:p>
      <w:pPr>
        <w:spacing w:after="0" w:line="16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 xml:space="preserve">Following our discovery of the role of p38α/ß inhibitors in the reduction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preclinical models of FSHD, we performed an extensive review of known compounds. As a result of our evaluation, we identified losmapimod as the preferred developmental candidate based on the substantial and attractive preclinical and clinical data. We in-licensed losmapimod from affiliates of GlaxoSmithKline plc, or GSK, in February 2019. GSK had previously administered losmapimod to nearly 3,500 subjects across multiple clinical trials, including one Phase 3 clinical trial, and losmapimod was generally well-tolerated across these studies. GSK did not conduct a clinical trial of losmapimod in patients with FSHD or any other muscle disorder. We conducted extensive preclinical testing of losmapimod in patient-derived, tissue-relevant cell models and observed that losmapimod selectively reduced </w:t>
      </w:r>
      <w:r>
        <w:rPr>
          <w:rFonts w:ascii="Arial" w:cs="Arial" w:eastAsia="Arial" w:hAnsi="Arial"/>
          <w:sz w:val="16"/>
          <w:szCs w:val="16"/>
          <w:i w:val="1"/>
          <w:iCs w:val="1"/>
          <w:color w:val="auto"/>
        </w:rPr>
        <w:t>DUX4</w:t>
      </w:r>
      <w:r>
        <w:rPr>
          <w:rFonts w:ascii="Arial" w:cs="Arial" w:eastAsia="Arial" w:hAnsi="Arial"/>
          <w:sz w:val="16"/>
          <w:szCs w:val="16"/>
          <w:color w:val="auto"/>
        </w:rPr>
        <w:t>-driven gene expression and restored a healthy gene expression signature with minimal impact on healthy human muscle cells or other cell types.</w:t>
      </w:r>
    </w:p>
    <w:p>
      <w:pPr>
        <w:spacing w:after="0" w:line="16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We conducted a randomized, double-blind, placebo-controlled, multicenter, international Phase 2b clinical trial, referred to as ReDUX4, to evaluate losmapimod in 80 patients with FSHD. In this Phase 2b clinical trial, the primary endpoint was change in </w:t>
      </w:r>
      <w:r>
        <w:rPr>
          <w:rFonts w:ascii="Arial" w:cs="Arial" w:eastAsia="Arial" w:hAnsi="Arial"/>
          <w:sz w:val="18"/>
          <w:szCs w:val="18"/>
          <w:i w:val="1"/>
          <w:iCs w:val="1"/>
          <w:color w:val="auto"/>
        </w:rPr>
        <w:t>DUX4</w:t>
      </w:r>
      <w:r>
        <w:rPr>
          <w:rFonts w:ascii="Arial" w:cs="Arial" w:eastAsia="Arial" w:hAnsi="Arial"/>
          <w:sz w:val="18"/>
          <w:szCs w:val="18"/>
          <w:color w:val="auto"/>
        </w:rPr>
        <w:t>-driven gene expression, an experimental molecular biomarker. Secondary endpoints included evaluation of safety and tolerability, pharmacokinetics, or PK, in blood, as well as measures of muscle health, structure and function, including muscle fat infiltration, or MFI, reachable workspace, or RWS, and patient-reported outcomes. Concurrently, we initiated a single-center open label Phase 2 clinical trial to investigate the safety and tolerability of chronic treatment with losmapimod in patients with FSHD. In the ongoing extension of the open label trial, we are also evaluating measures of muscle function, muscle strength, and patient reported quality of life.</w:t>
      </w:r>
    </w:p>
    <w:p>
      <w:pPr>
        <w:spacing w:after="0" w:line="19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We presented the full data from the ReDUX4 trial in June 2021. While the primary endpoint was not met, results demonstrated clinically relevant benefits versus placebo on multiple measures of muscle health and function as well 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right="60"/>
        <w:spacing w:after="0" w:line="255" w:lineRule="auto"/>
        <w:rPr>
          <w:sz w:val="20"/>
          <w:szCs w:val="20"/>
          <w:color w:val="auto"/>
        </w:rPr>
      </w:pPr>
      <w:r>
        <w:rPr>
          <w:rFonts w:ascii="Arial" w:cs="Arial" w:eastAsia="Arial" w:hAnsi="Arial"/>
          <w:sz w:val="17"/>
          <w:szCs w:val="17"/>
          <w:color w:val="auto"/>
        </w:rPr>
        <w:t>patient reported outcomes at 48 weeks. Losmapimod-treated participants showed decreased progression of MFI as measured in intermediate muscles, which are muscles already affected by disease and most likely to show signs of disease progression. Normal appearing muscles appeared to be preserved in the losmapimod group versus placebo. Treatment with losmapimod was shown to slow the rate of decline and improve accessible surface area in RWS, which is a measure of function that assesses upper extremity range of motion and has been shown to be an important measure of independence. Additionally, patients reported feeling better when treated with losmapimod compared to placebo through the Patient Global Impression of Change, or PGIC, assessment. PGIC is a measure of self-reported change in how a patient feels and functions. Losmapimod was generally well-tolerated, with no drug-related serious adverse events reported.</w:t>
      </w:r>
    </w:p>
    <w:p>
      <w:pPr>
        <w:spacing w:after="0" w:line="180"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Based on the ReDUX4 data , we engaged with external experts,U.S. and EU regulatory agencies, including FDA, and gained alignment on key aspects of the design of a Phase 3 trial. We expect to initiate our Phase 3 trial, REACH, in the second quarter of 2022. REACH will be a randomized, double-blind, placebo-controlled, multi-national trial to evaluate the efficacy and safety of losmapimod for the treatment of FSHD. The trial is expected to enroll approximately 230 adults with FSHD. Patients will be randomized 1:1 to receive either losmapimod, administered orally as a 15 mg tablet twice a day, or placebo, and evaluated over a 48-week treatment period. The primary endpoint of the study is the absolute change from baseline in RWS. Secondary endpoints include MFI, PGIC, and Quality of Life in Neurological Disorders of the upper extremity, or Neuro QoL UE. The trial will also include patient-centered assessments of healthcare utilization.</w:t>
      </w:r>
    </w:p>
    <w:p>
      <w:pPr>
        <w:spacing w:after="0" w:line="18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other product candidate, FTX-6058, is an investigational oral fetal hemoglobin, or HbF, inducer that is in development for SCD and select other hemoglobinopathies, including ß-thalassemia. FTX-6058 is designed to bind to embryonic ectoderm development, or EED, and inhibit the transcriptional silencing activity of the polycomb repressive complex 2, or PRC2. By doing so, preclinical studies have shown that FTX-6058 downregulates key HbF repressors, including BCL11A and MYB, and upregulates HbF.</w:t>
      </w:r>
    </w:p>
    <w:p>
      <w:pPr>
        <w:spacing w:after="0" w:line="188"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 xml:space="preserve">SCD is a genetic blood disorder caused by a mutation in the ß-subunit gene, or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This mutation results in the formation of abnormal hemoglobin, or HbS, which causes red blood cells, or RBCs, to change from a round shape into a sickle shape that significantly impairs their function. ß-thalassemia is a rare blood disorder caused by various genetic mutations in the </w:t>
      </w:r>
      <w:r>
        <w:rPr>
          <w:rFonts w:ascii="Arial" w:cs="Arial" w:eastAsia="Arial" w:hAnsi="Arial"/>
          <w:sz w:val="17"/>
          <w:szCs w:val="17"/>
          <w:i w:val="1"/>
          <w:iCs w:val="1"/>
          <w:color w:val="auto"/>
        </w:rPr>
        <w:t>HBB</w:t>
      </w:r>
      <w:r>
        <w:rPr>
          <w:rFonts w:ascii="Arial" w:cs="Arial" w:eastAsia="Arial" w:hAnsi="Arial"/>
          <w:sz w:val="17"/>
          <w:szCs w:val="17"/>
          <w:color w:val="auto"/>
        </w:rPr>
        <w:t xml:space="preserve"> gene that can significantly impair the production of hemoglobin and RBCs. We designed FTX-6058 to compensate for the root cause of these hemoglobinopathies by inducing the expression of the two γ-globin genes, </w:t>
      </w:r>
      <w:r>
        <w:rPr>
          <w:rFonts w:ascii="Arial" w:cs="Arial" w:eastAsia="Arial" w:hAnsi="Arial"/>
          <w:sz w:val="17"/>
          <w:szCs w:val="17"/>
          <w:i w:val="1"/>
          <w:iCs w:val="1"/>
          <w:color w:val="auto"/>
        </w:rPr>
        <w:t>HBG1/2</w:t>
      </w:r>
      <w:r>
        <w:rPr>
          <w:rFonts w:ascii="Arial" w:cs="Arial" w:eastAsia="Arial" w:hAnsi="Arial"/>
          <w:sz w:val="17"/>
          <w:szCs w:val="17"/>
          <w:color w:val="auto"/>
        </w:rPr>
        <w:t>, whose expression is normally silenced shortly after birth. The</w:t>
      </w:r>
      <w:r>
        <w:rPr>
          <w:rFonts w:ascii="Arial" w:cs="Arial" w:eastAsia="Arial" w:hAnsi="Arial"/>
          <w:sz w:val="17"/>
          <w:szCs w:val="17"/>
          <w:i w:val="1"/>
          <w:iCs w:val="1"/>
          <w:color w:val="auto"/>
        </w:rPr>
        <w:t xml:space="preserve"> HBG1/2 </w:t>
      </w:r>
      <w:r>
        <w:rPr>
          <w:rFonts w:ascii="Arial" w:cs="Arial" w:eastAsia="Arial" w:hAnsi="Arial"/>
          <w:sz w:val="17"/>
          <w:szCs w:val="17"/>
          <w:color w:val="auto"/>
        </w:rPr>
        <w:t>genes encode for γ-globin, a component of HbF, which is known to repair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abnormal RBC shape in SCD and to compensate for the presence of HbS in SCD and ß-thalassemia. We have observed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activation of the </w:t>
      </w:r>
      <w:r>
        <w:rPr>
          <w:rFonts w:ascii="Arial" w:cs="Arial" w:eastAsia="Arial" w:hAnsi="Arial"/>
          <w:sz w:val="17"/>
          <w:szCs w:val="17"/>
          <w:i w:val="1"/>
          <w:iCs w:val="1"/>
          <w:color w:val="auto"/>
        </w:rPr>
        <w:t>HBG1/2</w:t>
      </w:r>
      <w:r>
        <w:rPr>
          <w:rFonts w:ascii="Arial" w:cs="Arial" w:eastAsia="Arial" w:hAnsi="Arial"/>
          <w:sz w:val="17"/>
          <w:szCs w:val="17"/>
          <w:color w:val="auto"/>
        </w:rPr>
        <w:t xml:space="preserve"> genes in preclinical studies with FTX-6058. We have also observed that FTX-6058 demonstrated robust levels of HbF elevation with no adverse effects on important cellular health markers. We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was significantly greater than we observed with hydroxyurea in the cell models.</w:t>
      </w:r>
    </w:p>
    <w:p>
      <w:pPr>
        <w:spacing w:after="0" w:line="186"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In the fourth quarter of 2020, we initiated a Phase 1 clinical trial of FTX-6058 in healthy adult volunteers. The Phase 1 randomized, double-blind, placebo-controlled trial was designed to evaluate the safety, tolerability, and PK of ascending doses of FTX-6058. In the single-ascending dose, or SAD, cohorts, healthy volunteers received one dose of either placebo or 2, 4, 10, 20, 30, 40 or 60mg of FTX-6058. In the multiple-ascending dose, or MAD, cohorts, healthy volunteers received a once-daily dose of placebo or 2, 6, 10, 20 or 30mg of FTX-6058 for 14 consecutive days. Each MAD cohort had six subjects on drug and two on placebo. Food effect was also studied in a separate 20mg dose cohort. Exploratory measures were included in the MAD cohorts to assess target engagement, changes in HBG mRNA and HbF-containing reticulocytes, or F-reticulocytes. A 6mg dose cohort in people with SCD was later added to this trial to further inform PK and pharmacodynamic, or PD, modeling for future dose selections.</w:t>
      </w:r>
    </w:p>
    <w:p>
      <w:pPr>
        <w:spacing w:after="0" w:line="163"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We reported data from the 2, 4, 10, 20, 30 and 40mg SAD cohorts and the 2, 6 and 10 mg MAD cohorts in healthy volunteers in August 2021, and we reported data from the 60 mg SAD cohort and the 20 and 30 mg MAD cohorts in healthy volunteers, as well as data from the 20 mg cohort assessing food effect in December 2021.</w:t>
      </w:r>
    </w:p>
    <w:p>
      <w:pPr>
        <w:spacing w:after="0" w:line="182"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FTX-6058 was generally well-tolerated with no serious adverse events reported and no discontinuations due to treatment-emergent adverse events, or TEAEs, across all SAD and MAD cohorts. Data continued to show dose-proportional PK, with a mean half-life of approximately 6-7 hours in the MAD cohorts, supporting once-daily dosing, and no food effect was observed with FTX-6058. Data from the MAD cohorts continued to show robust target engagement, as evidenced by an approximately 75-95% reduction from baseline in H3K27me3 after 14 days of treatment.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ind w:right="20" w:firstLine="509"/>
        <w:spacing w:after="0" w:line="259" w:lineRule="auto"/>
        <w:rPr>
          <w:sz w:val="20"/>
          <w:szCs w:val="20"/>
          <w:color w:val="auto"/>
        </w:rPr>
      </w:pPr>
      <w:r>
        <w:rPr>
          <w:rFonts w:ascii="Arial" w:cs="Arial" w:eastAsia="Arial" w:hAnsi="Arial"/>
          <w:sz w:val="17"/>
          <w:szCs w:val="17"/>
          <w:color w:val="auto"/>
        </w:rPr>
        <w:t>Data from the MAD cohorts also showed time- and dose-dependent HBG mRNA induction, as shown in the chart below, demonstrating proof-of-biology. Persistent HBG mRNA induction was observed for 7-10 days after treatment. In preclinical studies of FTX-6058, increases in HBG mRNA have consistently translated to the same fold increases in HbF protein. Notably, human genetics show that 2-3-fold increases in HbF above typical baseline levels in SCD are associated with significantly improved outcomes, and even functional cures, in people with SCD. FTX-6058 has now demonstrated dose-proportional greater than mean 2-fold induction in HBG mRNA, the key precursor to HbF protein, starting with the 6mg dose.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HBG mRNA Mean Fold Induction for FTX-6058 versus Placebo</w:t>
      </w:r>
    </w:p>
    <w:tbl>
      <w:tblPr>
        <w:tblLayout w:type="fixed"/>
        <w:tblInd w:w="10" w:type="dxa"/>
        <w:tblCellMar>
          <w:top w:w="0" w:type="dxa"/>
          <w:left w:w="0" w:type="dxa"/>
          <w:bottom w:w="0" w:type="dxa"/>
          <w:right w:w="0" w:type="dxa"/>
        </w:tblCellMar>
      </w:tblPr>
      <w:tr>
        <w:trPr>
          <w:trHeight w:val="270"/>
        </w:trPr>
        <w:tc>
          <w:tcPr>
            <w:tcW w:w="1760" w:type="dxa"/>
            <w:vAlign w:val="bottom"/>
            <w:tcBorders>
              <w:top w:val="single" w:sz="8" w:color="auto"/>
              <w:right w:val="single" w:sz="8" w:color="auto"/>
            </w:tcBorders>
          </w:tcPr>
          <w:p>
            <w:pPr>
              <w:spacing w:after="0"/>
              <w:rPr>
                <w:sz w:val="23"/>
                <w:szCs w:val="23"/>
                <w:color w:val="auto"/>
              </w:rPr>
            </w:pPr>
          </w:p>
        </w:tc>
        <w:tc>
          <w:tcPr>
            <w:tcW w:w="108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6"/>
                <w:szCs w:val="16"/>
                <w:color w:val="auto"/>
              </w:rPr>
              <w:t>2mg*</w:t>
            </w:r>
          </w:p>
        </w:tc>
        <w:tc>
          <w:tcPr>
            <w:tcW w:w="700" w:type="dxa"/>
            <w:vAlign w:val="bottom"/>
            <w:tcBorders>
              <w:top w:val="single" w:sz="8" w:color="auto"/>
              <w:bottom w:val="single" w:sz="8" w:color="auto"/>
              <w:right w:val="single" w:sz="8" w:color="auto"/>
            </w:tcBorders>
          </w:tcPr>
          <w:p>
            <w:pPr>
              <w:spacing w:after="0"/>
              <w:rPr>
                <w:sz w:val="23"/>
                <w:szCs w:val="23"/>
                <w:color w:val="auto"/>
              </w:rPr>
            </w:pPr>
          </w:p>
        </w:tc>
        <w:tc>
          <w:tcPr>
            <w:tcW w:w="1220" w:type="dxa"/>
            <w:vAlign w:val="bottom"/>
            <w:tcBorders>
              <w:top w:val="single" w:sz="8" w:color="auto"/>
              <w:bottom w:val="single" w:sz="8" w:color="auto"/>
            </w:tcBorders>
            <w:gridSpan w:val="2"/>
          </w:tcPr>
          <w:p>
            <w:pPr>
              <w:ind w:left="820"/>
              <w:spacing w:after="0"/>
              <w:rPr>
                <w:sz w:val="20"/>
                <w:szCs w:val="20"/>
                <w:color w:val="auto"/>
              </w:rPr>
            </w:pPr>
            <w:r>
              <w:rPr>
                <w:rFonts w:ascii="Arial" w:cs="Arial" w:eastAsia="Arial" w:hAnsi="Arial"/>
                <w:sz w:val="16"/>
                <w:szCs w:val="16"/>
                <w:color w:val="auto"/>
              </w:rPr>
              <w:t>6mg*</w:t>
            </w:r>
          </w:p>
        </w:tc>
        <w:tc>
          <w:tcPr>
            <w:tcW w:w="800" w:type="dxa"/>
            <w:vAlign w:val="bottom"/>
            <w:tcBorders>
              <w:top w:val="single" w:sz="8" w:color="auto"/>
              <w:bottom w:val="single" w:sz="8" w:color="auto"/>
              <w:right w:val="single" w:sz="8" w:color="auto"/>
            </w:tcBorders>
          </w:tcPr>
          <w:p>
            <w:pPr>
              <w:spacing w:after="0"/>
              <w:rPr>
                <w:sz w:val="23"/>
                <w:szCs w:val="23"/>
                <w:color w:val="auto"/>
              </w:rPr>
            </w:pPr>
          </w:p>
        </w:tc>
        <w:tc>
          <w:tcPr>
            <w:tcW w:w="1880" w:type="dxa"/>
            <w:vAlign w:val="bottom"/>
            <w:tcBorders>
              <w:top w:val="single" w:sz="8" w:color="auto"/>
              <w:bottom w:val="single" w:sz="8" w:color="auto"/>
              <w:right w:val="single" w:sz="8" w:color="auto"/>
            </w:tcBorders>
            <w:gridSpan w:val="2"/>
          </w:tcPr>
          <w:p>
            <w:pPr>
              <w:ind w:left="700"/>
              <w:spacing w:after="0"/>
              <w:rPr>
                <w:sz w:val="20"/>
                <w:szCs w:val="20"/>
                <w:color w:val="auto"/>
              </w:rPr>
            </w:pPr>
            <w:r>
              <w:rPr>
                <w:rFonts w:ascii="Arial" w:cs="Arial" w:eastAsia="Arial" w:hAnsi="Arial"/>
                <w:sz w:val="16"/>
                <w:szCs w:val="16"/>
                <w:color w:val="auto"/>
              </w:rPr>
              <w:t>10mg*</w:t>
            </w:r>
          </w:p>
        </w:tc>
        <w:tc>
          <w:tcPr>
            <w:tcW w:w="120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6"/>
                <w:szCs w:val="16"/>
                <w:color w:val="auto"/>
                <w:w w:val="94"/>
              </w:rPr>
              <w:t>20 mg</w:t>
            </w:r>
          </w:p>
        </w:tc>
        <w:tc>
          <w:tcPr>
            <w:tcW w:w="760" w:type="dxa"/>
            <w:vAlign w:val="bottom"/>
            <w:tcBorders>
              <w:top w:val="single" w:sz="8" w:color="auto"/>
              <w:bottom w:val="single" w:sz="8" w:color="auto"/>
              <w:right w:val="single" w:sz="8" w:color="auto"/>
            </w:tcBorders>
          </w:tcPr>
          <w:p>
            <w:pPr>
              <w:spacing w:after="0"/>
              <w:rPr>
                <w:sz w:val="23"/>
                <w:szCs w:val="23"/>
                <w:color w:val="auto"/>
              </w:rPr>
            </w:pPr>
          </w:p>
        </w:tc>
        <w:tc>
          <w:tcPr>
            <w:tcW w:w="110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6"/>
                <w:szCs w:val="16"/>
                <w:color w:val="auto"/>
                <w:w w:val="89"/>
              </w:rPr>
              <w:t>30mg</w:t>
            </w:r>
          </w:p>
        </w:tc>
        <w:tc>
          <w:tcPr>
            <w:tcW w:w="760" w:type="dxa"/>
            <w:vAlign w:val="bottom"/>
            <w:tcBorders>
              <w:top w:val="single" w:sz="8" w:color="auto"/>
              <w:bottom w:val="single" w:sz="8" w:color="auto"/>
              <w:right w:val="single" w:sz="8" w:color="auto"/>
            </w:tcBorders>
          </w:tcPr>
          <w:p>
            <w:pPr>
              <w:spacing w:after="0"/>
              <w:rPr>
                <w:sz w:val="23"/>
                <w:szCs w:val="23"/>
                <w:color w:val="auto"/>
              </w:rPr>
            </w:pPr>
          </w:p>
        </w:tc>
      </w:tr>
      <w:tr>
        <w:trPr>
          <w:trHeight w:val="136"/>
        </w:trPr>
        <w:tc>
          <w:tcPr>
            <w:tcW w:w="1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5"/>
                <w:szCs w:val="15"/>
                <w:color w:val="auto"/>
              </w:rPr>
              <w:t>Mean Fold</w:t>
            </w:r>
          </w:p>
        </w:tc>
        <w:tc>
          <w:tcPr>
            <w:tcW w:w="120" w:type="dxa"/>
            <w:vAlign w:val="bottom"/>
          </w:tcPr>
          <w:p>
            <w:pPr>
              <w:spacing w:after="0"/>
              <w:rPr>
                <w:sz w:val="11"/>
                <w:szCs w:val="11"/>
                <w:color w:val="auto"/>
              </w:rPr>
            </w:pPr>
          </w:p>
        </w:tc>
        <w:tc>
          <w:tcPr>
            <w:tcW w:w="700" w:type="dxa"/>
            <w:vAlign w:val="bottom"/>
            <w:tcBorders>
              <w:right w:val="single" w:sz="8" w:color="auto"/>
            </w:tcBorders>
          </w:tcPr>
          <w:p>
            <w:pPr>
              <w:jc w:val="center"/>
              <w:ind w:right="60"/>
              <w:spacing w:after="0" w:line="136" w:lineRule="exact"/>
              <w:rPr>
                <w:sz w:val="20"/>
                <w:szCs w:val="20"/>
                <w:color w:val="auto"/>
              </w:rPr>
            </w:pPr>
            <w:r>
              <w:rPr>
                <w:rFonts w:ascii="Arial" w:cs="Arial" w:eastAsia="Arial" w:hAnsi="Arial"/>
                <w:sz w:val="15"/>
                <w:szCs w:val="15"/>
                <w:color w:val="auto"/>
                <w:w w:val="94"/>
              </w:rPr>
              <w:t>P-value</w:t>
            </w:r>
          </w:p>
        </w:tc>
        <w:tc>
          <w:tcPr>
            <w:tcW w:w="10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60" w:type="dxa"/>
            <w:vAlign w:val="bottom"/>
          </w:tcPr>
          <w:p>
            <w:pPr>
              <w:spacing w:after="0"/>
              <w:rPr>
                <w:sz w:val="11"/>
                <w:szCs w:val="11"/>
                <w:color w:val="auto"/>
              </w:rPr>
            </w:pPr>
          </w:p>
        </w:tc>
        <w:tc>
          <w:tcPr>
            <w:tcW w:w="80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5"/>
                <w:szCs w:val="15"/>
                <w:color w:val="auto"/>
              </w:rPr>
              <w:t>P-value</w:t>
            </w:r>
          </w:p>
        </w:tc>
        <w:tc>
          <w:tcPr>
            <w:tcW w:w="9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rPr>
              <w:t>Mean Fold</w:t>
            </w:r>
          </w:p>
        </w:tc>
        <w:tc>
          <w:tcPr>
            <w:tcW w:w="900" w:type="dxa"/>
            <w:vAlign w:val="bottom"/>
            <w:tcBorders>
              <w:right w:val="single" w:sz="8" w:color="auto"/>
            </w:tcBorders>
          </w:tcPr>
          <w:p>
            <w:pPr>
              <w:ind w:left="200"/>
              <w:spacing w:after="0" w:line="136" w:lineRule="exact"/>
              <w:rPr>
                <w:sz w:val="20"/>
                <w:szCs w:val="20"/>
                <w:color w:val="auto"/>
              </w:rPr>
            </w:pPr>
            <w:r>
              <w:rPr>
                <w:rFonts w:ascii="Arial" w:cs="Arial" w:eastAsia="Arial" w:hAnsi="Arial"/>
                <w:sz w:val="15"/>
                <w:szCs w:val="15"/>
                <w:color w:val="auto"/>
              </w:rPr>
              <w:t>P-value</w:t>
            </w:r>
          </w:p>
        </w:tc>
        <w:tc>
          <w:tcPr>
            <w:tcW w:w="10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60" w:type="dxa"/>
            <w:vAlign w:val="bottom"/>
          </w:tcPr>
          <w:p>
            <w:pPr>
              <w:spacing w:after="0"/>
              <w:rPr>
                <w:sz w:val="11"/>
                <w:szCs w:val="11"/>
                <w:color w:val="auto"/>
              </w:rPr>
            </w:pPr>
          </w:p>
        </w:tc>
        <w:tc>
          <w:tcPr>
            <w:tcW w:w="7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5"/>
                <w:szCs w:val="15"/>
                <w:color w:val="auto"/>
              </w:rPr>
              <w:t>P-value</w:t>
            </w:r>
          </w:p>
        </w:tc>
        <w:tc>
          <w:tcPr>
            <w:tcW w:w="9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40" w:type="dxa"/>
            <w:vAlign w:val="bottom"/>
          </w:tcPr>
          <w:p>
            <w:pPr>
              <w:spacing w:after="0"/>
              <w:rPr>
                <w:sz w:val="11"/>
                <w:szCs w:val="11"/>
                <w:color w:val="auto"/>
              </w:rPr>
            </w:pPr>
          </w:p>
        </w:tc>
        <w:tc>
          <w:tcPr>
            <w:tcW w:w="7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5"/>
                <w:szCs w:val="15"/>
                <w:color w:val="auto"/>
              </w:rPr>
              <w:t>P-value</w:t>
            </w:r>
          </w:p>
        </w:tc>
      </w:tr>
      <w:tr>
        <w:trPr>
          <w:trHeight w:val="195"/>
        </w:trPr>
        <w:tc>
          <w:tcPr>
            <w:tcW w:w="17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9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r>
      <w:tr>
        <w:trPr>
          <w:trHeight w:val="193"/>
        </w:trPr>
        <w:tc>
          <w:tcPr>
            <w:tcW w:w="17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Day 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1.28</w:t>
            </w:r>
          </w:p>
        </w:tc>
        <w:tc>
          <w:tcPr>
            <w:tcW w:w="120" w:type="dxa"/>
            <w:vAlign w:val="bottom"/>
          </w:tcPr>
          <w:p>
            <w:pPr>
              <w:spacing w:after="0"/>
              <w:rPr>
                <w:sz w:val="16"/>
                <w:szCs w:val="16"/>
                <w:color w:val="auto"/>
              </w:rPr>
            </w:pPr>
          </w:p>
        </w:tc>
        <w:tc>
          <w:tcPr>
            <w:tcW w:w="700" w:type="dxa"/>
            <w:vAlign w:val="bottom"/>
            <w:tcBorders>
              <w:right w:val="single" w:sz="8" w:color="auto"/>
            </w:tcBorders>
          </w:tcPr>
          <w:p>
            <w:pPr>
              <w:jc w:val="center"/>
              <w:ind w:right="60"/>
              <w:spacing w:after="0"/>
              <w:rPr>
                <w:sz w:val="20"/>
                <w:szCs w:val="20"/>
                <w:color w:val="auto"/>
              </w:rPr>
            </w:pPr>
            <w:r>
              <w:rPr>
                <w:rFonts w:ascii="Arial" w:cs="Arial" w:eastAsia="Arial" w:hAnsi="Arial"/>
                <w:sz w:val="16"/>
                <w:szCs w:val="16"/>
                <w:color w:val="auto"/>
                <w:w w:val="89"/>
              </w:rPr>
              <w:t>0.3494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1.94</w:t>
            </w:r>
          </w:p>
        </w:tc>
        <w:tc>
          <w:tcPr>
            <w:tcW w:w="160" w:type="dxa"/>
            <w:vAlign w:val="bottom"/>
          </w:tcPr>
          <w:p>
            <w:pPr>
              <w:spacing w:after="0"/>
              <w:rPr>
                <w:sz w:val="16"/>
                <w:szCs w:val="16"/>
                <w:color w:val="auto"/>
              </w:rPr>
            </w:pPr>
          </w:p>
        </w:tc>
        <w:tc>
          <w:tcPr>
            <w:tcW w:w="80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3"/>
              </w:rPr>
              <w:t>0.0135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0.0063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2.06</w:t>
            </w:r>
          </w:p>
        </w:tc>
        <w:tc>
          <w:tcPr>
            <w:tcW w:w="160" w:type="dxa"/>
            <w:vAlign w:val="bottom"/>
          </w:tcPr>
          <w:p>
            <w:pPr>
              <w:spacing w:after="0"/>
              <w:rPr>
                <w:sz w:val="16"/>
                <w:szCs w:val="16"/>
                <w:color w:val="auto"/>
              </w:rPr>
            </w:pPr>
          </w:p>
        </w:tc>
        <w:tc>
          <w:tcPr>
            <w:tcW w:w="76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0.0072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2.29</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0.0025</w:t>
            </w:r>
          </w:p>
        </w:tc>
      </w:tr>
      <w:tr>
        <w:trPr>
          <w:trHeight w:val="23"/>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00"/>
        </w:trPr>
        <w:tc>
          <w:tcPr>
            <w:tcW w:w="17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Day 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1.20</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center"/>
              <w:ind w:right="60"/>
              <w:spacing w:after="0"/>
              <w:rPr>
                <w:sz w:val="20"/>
                <w:szCs w:val="20"/>
                <w:color w:val="auto"/>
              </w:rPr>
            </w:pPr>
            <w:r>
              <w:rPr>
                <w:rFonts w:ascii="Arial" w:cs="Arial" w:eastAsia="Arial" w:hAnsi="Arial"/>
                <w:sz w:val="16"/>
                <w:szCs w:val="16"/>
                <w:color w:val="auto"/>
                <w:w w:val="89"/>
              </w:rPr>
              <w:t>0.5122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2.45</w:t>
            </w:r>
          </w:p>
        </w:tc>
        <w:tc>
          <w:tcPr>
            <w:tcW w:w="160" w:type="dxa"/>
            <w:vAlign w:val="bottom"/>
          </w:tcPr>
          <w:p>
            <w:pPr>
              <w:spacing w:after="0"/>
              <w:rPr>
                <w:sz w:val="17"/>
                <w:szCs w:val="17"/>
                <w:color w:val="auto"/>
              </w:rPr>
            </w:pPr>
          </w:p>
        </w:tc>
        <w:tc>
          <w:tcPr>
            <w:tcW w:w="80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3"/>
              </w:rPr>
              <w:t>0.0025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3.54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&lt;0.0001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5.63</w:t>
            </w:r>
          </w:p>
        </w:tc>
        <w:tc>
          <w:tcPr>
            <w:tcW w:w="160" w:type="dxa"/>
            <w:vAlign w:val="bottom"/>
          </w:tcPr>
          <w:p>
            <w:pPr>
              <w:spacing w:after="0"/>
              <w:rPr>
                <w:sz w:val="17"/>
                <w:szCs w:val="17"/>
                <w:color w:val="auto"/>
              </w:rPr>
            </w:pPr>
          </w:p>
        </w:tc>
        <w:tc>
          <w:tcPr>
            <w:tcW w:w="76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2"/>
              </w:rPr>
              <w:t>&lt;0.0001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6.15</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2"/>
              </w:rPr>
              <w:t>&lt;0.0001</w:t>
            </w:r>
          </w:p>
        </w:tc>
      </w:tr>
      <w:tr>
        <w:trPr>
          <w:trHeight w:val="37"/>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146"/>
        </w:trPr>
        <w:tc>
          <w:tcPr>
            <w:tcW w:w="1760" w:type="dxa"/>
            <w:vAlign w:val="bottom"/>
            <w:tcBorders>
              <w:left w:val="single" w:sz="8" w:color="auto"/>
              <w:right w:val="single" w:sz="8" w:color="auto"/>
            </w:tcBorders>
          </w:tcPr>
          <w:p>
            <w:pPr>
              <w:jc w:val="right"/>
              <w:ind w:right="39"/>
              <w:spacing w:after="0" w:line="146" w:lineRule="exact"/>
              <w:rPr>
                <w:sz w:val="20"/>
                <w:szCs w:val="20"/>
                <w:color w:val="auto"/>
              </w:rPr>
            </w:pPr>
            <w:r>
              <w:rPr>
                <w:rFonts w:ascii="Arial" w:cs="Arial" w:eastAsia="Arial" w:hAnsi="Arial"/>
                <w:sz w:val="16"/>
                <w:szCs w:val="16"/>
                <w:color w:val="auto"/>
              </w:rPr>
              <w:t>Safety Follow-up (Day</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1.21</w:t>
            </w:r>
          </w:p>
        </w:tc>
        <w:tc>
          <w:tcPr>
            <w:tcW w:w="120" w:type="dxa"/>
            <w:vAlign w:val="bottom"/>
          </w:tcPr>
          <w:p>
            <w:pPr>
              <w:spacing w:after="0"/>
              <w:rPr>
                <w:sz w:val="12"/>
                <w:szCs w:val="12"/>
                <w:color w:val="auto"/>
              </w:rPr>
            </w:pPr>
          </w:p>
        </w:tc>
        <w:tc>
          <w:tcPr>
            <w:tcW w:w="700" w:type="dxa"/>
            <w:vAlign w:val="bottom"/>
            <w:tcBorders>
              <w:right w:val="single" w:sz="8" w:color="auto"/>
            </w:tcBorders>
          </w:tcPr>
          <w:p>
            <w:pPr>
              <w:jc w:val="center"/>
              <w:ind w:right="60"/>
              <w:spacing w:after="0" w:line="146" w:lineRule="exact"/>
              <w:rPr>
                <w:sz w:val="20"/>
                <w:szCs w:val="20"/>
                <w:color w:val="auto"/>
              </w:rPr>
            </w:pPr>
            <w:r>
              <w:rPr>
                <w:rFonts w:ascii="Arial" w:cs="Arial" w:eastAsia="Arial" w:hAnsi="Arial"/>
                <w:sz w:val="16"/>
                <w:szCs w:val="16"/>
                <w:color w:val="auto"/>
                <w:w w:val="89"/>
              </w:rPr>
              <w:t>0.3736</w:t>
            </w:r>
          </w:p>
        </w:tc>
        <w:tc>
          <w:tcPr>
            <w:tcW w:w="10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2.75</w:t>
            </w:r>
          </w:p>
        </w:tc>
        <w:tc>
          <w:tcPr>
            <w:tcW w:w="160" w:type="dxa"/>
            <w:vAlign w:val="bottom"/>
          </w:tcPr>
          <w:p>
            <w:pPr>
              <w:spacing w:after="0"/>
              <w:rPr>
                <w:sz w:val="12"/>
                <w:szCs w:val="12"/>
                <w:color w:val="auto"/>
              </w:rPr>
            </w:pPr>
          </w:p>
        </w:tc>
        <w:tc>
          <w:tcPr>
            <w:tcW w:w="800" w:type="dxa"/>
            <w:vAlign w:val="bottom"/>
            <w:tcBorders>
              <w:right w:val="single" w:sz="8" w:color="auto"/>
            </w:tcBorders>
          </w:tcPr>
          <w:p>
            <w:pPr>
              <w:jc w:val="center"/>
              <w:ind w:right="100"/>
              <w:spacing w:after="0" w:line="146" w:lineRule="exact"/>
              <w:rPr>
                <w:sz w:val="20"/>
                <w:szCs w:val="20"/>
                <w:color w:val="auto"/>
              </w:rPr>
            </w:pPr>
            <w:r>
              <w:rPr>
                <w:rFonts w:ascii="Arial" w:cs="Arial" w:eastAsia="Arial" w:hAnsi="Arial"/>
                <w:sz w:val="16"/>
                <w:szCs w:val="16"/>
                <w:color w:val="auto"/>
                <w:w w:val="92"/>
              </w:rPr>
              <w:t>&lt;0.0001</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3.22</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&lt;0.0001</w:t>
            </w: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6.45</w:t>
            </w:r>
          </w:p>
        </w:tc>
        <w:tc>
          <w:tcPr>
            <w:tcW w:w="160" w:type="dxa"/>
            <w:vAlign w:val="bottom"/>
          </w:tcPr>
          <w:p>
            <w:pPr>
              <w:spacing w:after="0"/>
              <w:rPr>
                <w:sz w:val="12"/>
                <w:szCs w:val="12"/>
                <w:color w:val="auto"/>
              </w:rPr>
            </w:pPr>
          </w:p>
        </w:tc>
        <w:tc>
          <w:tcPr>
            <w:tcW w:w="760" w:type="dxa"/>
            <w:vAlign w:val="bottom"/>
            <w:tcBorders>
              <w:right w:val="single" w:sz="8" w:color="auto"/>
            </w:tcBorders>
          </w:tcPr>
          <w:p>
            <w:pPr>
              <w:jc w:val="center"/>
              <w:ind w:right="100"/>
              <w:spacing w:after="0" w:line="146" w:lineRule="exact"/>
              <w:rPr>
                <w:sz w:val="20"/>
                <w:szCs w:val="20"/>
                <w:color w:val="auto"/>
              </w:rPr>
            </w:pPr>
            <w:r>
              <w:rPr>
                <w:rFonts w:ascii="Arial" w:cs="Arial" w:eastAsia="Arial" w:hAnsi="Arial"/>
                <w:sz w:val="16"/>
                <w:szCs w:val="16"/>
                <w:color w:val="auto"/>
                <w:w w:val="92"/>
              </w:rPr>
              <w:t>&lt;0.0001</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6.13</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center"/>
              <w:ind w:right="100"/>
              <w:spacing w:after="0" w:line="146" w:lineRule="exact"/>
              <w:rPr>
                <w:sz w:val="20"/>
                <w:szCs w:val="20"/>
                <w:color w:val="auto"/>
              </w:rPr>
            </w:pPr>
            <w:r>
              <w:rPr>
                <w:rFonts w:ascii="Arial" w:cs="Arial" w:eastAsia="Arial" w:hAnsi="Arial"/>
                <w:sz w:val="16"/>
                <w:szCs w:val="16"/>
                <w:color w:val="auto"/>
                <w:w w:val="92"/>
              </w:rPr>
              <w:t>&lt;0.0001</w:t>
            </w:r>
          </w:p>
        </w:tc>
      </w:tr>
      <w:tr>
        <w:trPr>
          <w:trHeight w:val="199"/>
        </w:trPr>
        <w:tc>
          <w:tcPr>
            <w:tcW w:w="17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9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380" w:firstLine="509"/>
        <w:spacing w:after="0" w:line="294" w:lineRule="auto"/>
        <w:rPr>
          <w:sz w:val="20"/>
          <w:szCs w:val="20"/>
          <w:color w:val="auto"/>
        </w:rPr>
      </w:pPr>
      <w:r>
        <w:rPr>
          <w:rFonts w:ascii="Arial" w:cs="Arial" w:eastAsia="Arial" w:hAnsi="Arial"/>
          <w:sz w:val="16"/>
          <w:szCs w:val="16"/>
          <w:color w:val="auto"/>
        </w:rPr>
        <w:t>As shown in the chart below, HbF containing F-cells, or F-reticulocytes, also increased starting at day 14 and continued to increase at the safety follow-up visit, which was seven to 10 days after conclusion of dosing. Notably, increases in F-reticulocytes of any magnitude are a first indicator that HBG mRNA is translating to HbF protein production but fold changes in F-reticulocytes are not correlated with fold changes in HbF.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F-Reticulocyte Mean Fold Increase for FTX-6058 versus Placebo</w:t>
      </w:r>
    </w:p>
    <w:tbl>
      <w:tblPr>
        <w:tblLayout w:type="fixed"/>
        <w:tblInd w:w="10" w:type="dxa"/>
        <w:tblCellMar>
          <w:top w:w="0" w:type="dxa"/>
          <w:left w:w="0" w:type="dxa"/>
          <w:bottom w:w="0" w:type="dxa"/>
          <w:right w:w="0" w:type="dxa"/>
        </w:tblCellMar>
      </w:tblPr>
      <w:tr>
        <w:trPr>
          <w:trHeight w:val="270"/>
        </w:trPr>
        <w:tc>
          <w:tcPr>
            <w:tcW w:w="2140" w:type="dxa"/>
            <w:vAlign w:val="bottom"/>
            <w:tcBorders>
              <w:top w:val="single" w:sz="8" w:color="auto"/>
              <w:right w:val="single" w:sz="8" w:color="auto"/>
            </w:tcBorders>
          </w:tcPr>
          <w:p>
            <w:pPr>
              <w:spacing w:after="0"/>
              <w:rPr>
                <w:sz w:val="23"/>
                <w:szCs w:val="23"/>
                <w:color w:val="auto"/>
              </w:rPr>
            </w:pPr>
          </w:p>
        </w:tc>
        <w:tc>
          <w:tcPr>
            <w:tcW w:w="96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6"/>
                <w:szCs w:val="16"/>
                <w:color w:val="auto"/>
                <w:w w:val="96"/>
              </w:rPr>
              <w:t>2mg*</w:t>
            </w:r>
          </w:p>
        </w:tc>
        <w:tc>
          <w:tcPr>
            <w:tcW w:w="640" w:type="dxa"/>
            <w:vAlign w:val="bottom"/>
            <w:tcBorders>
              <w:top w:val="single" w:sz="8" w:color="auto"/>
              <w:bottom w:val="single" w:sz="8" w:color="auto"/>
              <w:right w:val="single" w:sz="8" w:color="auto"/>
            </w:tcBorders>
          </w:tcPr>
          <w:p>
            <w:pPr>
              <w:spacing w:after="0"/>
              <w:rPr>
                <w:sz w:val="23"/>
                <w:szCs w:val="23"/>
                <w:color w:val="auto"/>
              </w:rPr>
            </w:pPr>
          </w:p>
        </w:tc>
        <w:tc>
          <w:tcPr>
            <w:tcW w:w="1240" w:type="dxa"/>
            <w:vAlign w:val="bottom"/>
            <w:tcBorders>
              <w:top w:val="single" w:sz="8" w:color="auto"/>
              <w:bottom w:val="single" w:sz="8" w:color="auto"/>
            </w:tcBorders>
            <w:gridSpan w:val="2"/>
          </w:tcPr>
          <w:p>
            <w:pPr>
              <w:ind w:left="820"/>
              <w:spacing w:after="0"/>
              <w:rPr>
                <w:sz w:val="20"/>
                <w:szCs w:val="20"/>
                <w:color w:val="auto"/>
              </w:rPr>
            </w:pPr>
            <w:r>
              <w:rPr>
                <w:rFonts w:ascii="Arial" w:cs="Arial" w:eastAsia="Arial" w:hAnsi="Arial"/>
                <w:sz w:val="16"/>
                <w:szCs w:val="16"/>
                <w:color w:val="auto"/>
              </w:rPr>
              <w:t>6mg*</w:t>
            </w:r>
          </w:p>
        </w:tc>
        <w:tc>
          <w:tcPr>
            <w:tcW w:w="800" w:type="dxa"/>
            <w:vAlign w:val="bottom"/>
            <w:tcBorders>
              <w:top w:val="single" w:sz="8" w:color="auto"/>
              <w:bottom w:val="single" w:sz="8" w:color="auto"/>
              <w:right w:val="single" w:sz="8" w:color="auto"/>
            </w:tcBorders>
          </w:tcPr>
          <w:p>
            <w:pPr>
              <w:spacing w:after="0"/>
              <w:rPr>
                <w:sz w:val="23"/>
                <w:szCs w:val="23"/>
                <w:color w:val="auto"/>
              </w:rPr>
            </w:pPr>
          </w:p>
        </w:tc>
        <w:tc>
          <w:tcPr>
            <w:tcW w:w="1860" w:type="dxa"/>
            <w:vAlign w:val="bottom"/>
            <w:tcBorders>
              <w:top w:val="single" w:sz="8" w:color="auto"/>
              <w:bottom w:val="single" w:sz="8" w:color="auto"/>
              <w:right w:val="single" w:sz="8" w:color="auto"/>
            </w:tcBorders>
            <w:gridSpan w:val="2"/>
          </w:tcPr>
          <w:p>
            <w:pPr>
              <w:ind w:left="700"/>
              <w:spacing w:after="0"/>
              <w:rPr>
                <w:sz w:val="20"/>
                <w:szCs w:val="20"/>
                <w:color w:val="auto"/>
              </w:rPr>
            </w:pPr>
            <w:r>
              <w:rPr>
                <w:rFonts w:ascii="Arial" w:cs="Arial" w:eastAsia="Arial" w:hAnsi="Arial"/>
                <w:sz w:val="16"/>
                <w:szCs w:val="16"/>
                <w:color w:val="auto"/>
              </w:rPr>
              <w:t>10mg*</w:t>
            </w:r>
          </w:p>
        </w:tc>
        <w:tc>
          <w:tcPr>
            <w:tcW w:w="176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Arial" w:cs="Arial" w:eastAsia="Arial" w:hAnsi="Arial"/>
                <w:sz w:val="16"/>
                <w:szCs w:val="16"/>
                <w:color w:val="auto"/>
              </w:rPr>
              <w:t>20 mg</w:t>
            </w:r>
          </w:p>
        </w:tc>
        <w:tc>
          <w:tcPr>
            <w:tcW w:w="11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6"/>
                <w:szCs w:val="16"/>
                <w:color w:val="auto"/>
                <w:w w:val="94"/>
              </w:rPr>
              <w:t>30mg</w:t>
            </w:r>
          </w:p>
        </w:tc>
        <w:tc>
          <w:tcPr>
            <w:tcW w:w="740" w:type="dxa"/>
            <w:vAlign w:val="bottom"/>
            <w:tcBorders>
              <w:top w:val="single" w:sz="8" w:color="auto"/>
              <w:bottom w:val="single" w:sz="8" w:color="auto"/>
              <w:right w:val="single" w:sz="8" w:color="auto"/>
            </w:tcBorders>
          </w:tcPr>
          <w:p>
            <w:pPr>
              <w:spacing w:after="0"/>
              <w:rPr>
                <w:sz w:val="23"/>
                <w:szCs w:val="23"/>
                <w:color w:val="auto"/>
              </w:rPr>
            </w:pPr>
          </w:p>
        </w:tc>
      </w:tr>
      <w:tr>
        <w:trPr>
          <w:trHeight w:val="136"/>
        </w:trPr>
        <w:tc>
          <w:tcPr>
            <w:tcW w:w="2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20" w:type="dxa"/>
            <w:vAlign w:val="bottom"/>
          </w:tcPr>
          <w:p>
            <w:pPr>
              <w:spacing w:after="0"/>
              <w:rPr>
                <w:sz w:val="11"/>
                <w:szCs w:val="11"/>
                <w:color w:val="auto"/>
              </w:rPr>
            </w:pPr>
          </w:p>
        </w:tc>
        <w:tc>
          <w:tcPr>
            <w:tcW w:w="640" w:type="dxa"/>
            <w:vAlign w:val="bottom"/>
            <w:tcBorders>
              <w:right w:val="single" w:sz="8" w:color="auto"/>
            </w:tcBorders>
          </w:tcPr>
          <w:p>
            <w:pPr>
              <w:jc w:val="center"/>
              <w:ind w:right="60"/>
              <w:spacing w:after="0" w:line="136" w:lineRule="exact"/>
              <w:rPr>
                <w:sz w:val="20"/>
                <w:szCs w:val="20"/>
                <w:color w:val="auto"/>
              </w:rPr>
            </w:pPr>
            <w:r>
              <w:rPr>
                <w:rFonts w:ascii="Arial" w:cs="Arial" w:eastAsia="Arial" w:hAnsi="Arial"/>
                <w:sz w:val="15"/>
                <w:szCs w:val="15"/>
                <w:color w:val="auto"/>
                <w:w w:val="98"/>
              </w:rPr>
              <w:t>P-value</w:t>
            </w:r>
          </w:p>
        </w:tc>
        <w:tc>
          <w:tcPr>
            <w:tcW w:w="10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rPr>
              <w:t>Mean Fold</w:t>
            </w:r>
          </w:p>
        </w:tc>
        <w:tc>
          <w:tcPr>
            <w:tcW w:w="180" w:type="dxa"/>
            <w:vAlign w:val="bottom"/>
          </w:tcPr>
          <w:p>
            <w:pPr>
              <w:spacing w:after="0"/>
              <w:rPr>
                <w:sz w:val="11"/>
                <w:szCs w:val="11"/>
                <w:color w:val="auto"/>
              </w:rPr>
            </w:pPr>
          </w:p>
        </w:tc>
        <w:tc>
          <w:tcPr>
            <w:tcW w:w="800" w:type="dxa"/>
            <w:vAlign w:val="bottom"/>
            <w:tcBorders>
              <w:right w:val="single" w:sz="8" w:color="auto"/>
            </w:tcBorders>
          </w:tcPr>
          <w:p>
            <w:pPr>
              <w:jc w:val="center"/>
              <w:ind w:right="100"/>
              <w:spacing w:after="0" w:line="136" w:lineRule="exact"/>
              <w:rPr>
                <w:sz w:val="20"/>
                <w:szCs w:val="20"/>
                <w:color w:val="auto"/>
              </w:rPr>
            </w:pPr>
            <w:r>
              <w:rPr>
                <w:rFonts w:ascii="Arial" w:cs="Arial" w:eastAsia="Arial" w:hAnsi="Arial"/>
                <w:sz w:val="15"/>
                <w:szCs w:val="15"/>
                <w:color w:val="auto"/>
                <w:w w:val="98"/>
              </w:rPr>
              <w:t>P-value</w:t>
            </w:r>
          </w:p>
        </w:tc>
        <w:tc>
          <w:tcPr>
            <w:tcW w:w="8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98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5"/>
                <w:szCs w:val="15"/>
                <w:color w:val="auto"/>
              </w:rPr>
              <w:t>P-value</w:t>
            </w:r>
          </w:p>
        </w:tc>
        <w:tc>
          <w:tcPr>
            <w:tcW w:w="8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P-value</w:t>
            </w:r>
          </w:p>
        </w:tc>
        <w:tc>
          <w:tcPr>
            <w:tcW w:w="10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rPr>
              <w:t>Mean Fold</w:t>
            </w:r>
          </w:p>
        </w:tc>
        <w:tc>
          <w:tcPr>
            <w:tcW w:w="120" w:type="dxa"/>
            <w:vAlign w:val="bottom"/>
          </w:tcPr>
          <w:p>
            <w:pPr>
              <w:spacing w:after="0"/>
              <w:rPr>
                <w:sz w:val="11"/>
                <w:szCs w:val="11"/>
                <w:color w:val="auto"/>
              </w:rPr>
            </w:pPr>
          </w:p>
        </w:tc>
        <w:tc>
          <w:tcPr>
            <w:tcW w:w="740" w:type="dxa"/>
            <w:vAlign w:val="bottom"/>
            <w:tcBorders>
              <w:right w:val="single" w:sz="8" w:color="auto"/>
            </w:tcBorders>
          </w:tcPr>
          <w:p>
            <w:pPr>
              <w:jc w:val="center"/>
              <w:ind w:right="80"/>
              <w:spacing w:after="0" w:line="136" w:lineRule="exact"/>
              <w:rPr>
                <w:sz w:val="20"/>
                <w:szCs w:val="20"/>
                <w:color w:val="auto"/>
              </w:rPr>
            </w:pPr>
            <w:r>
              <w:rPr>
                <w:rFonts w:ascii="Arial" w:cs="Arial" w:eastAsia="Arial" w:hAnsi="Arial"/>
                <w:sz w:val="15"/>
                <w:szCs w:val="15"/>
                <w:color w:val="auto"/>
                <w:w w:val="98"/>
              </w:rPr>
              <w:t>P-value</w:t>
            </w:r>
          </w:p>
        </w:tc>
      </w:tr>
      <w:tr>
        <w:trPr>
          <w:trHeight w:val="195"/>
        </w:trPr>
        <w:tc>
          <w:tcPr>
            <w:tcW w:w="21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9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193"/>
        </w:trPr>
        <w:tc>
          <w:tcPr>
            <w:tcW w:w="214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Day 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0.53</w:t>
            </w:r>
          </w:p>
        </w:tc>
        <w:tc>
          <w:tcPr>
            <w:tcW w:w="120" w:type="dxa"/>
            <w:vAlign w:val="bottom"/>
          </w:tcPr>
          <w:p>
            <w:pPr>
              <w:spacing w:after="0"/>
              <w:rPr>
                <w:sz w:val="16"/>
                <w:szCs w:val="16"/>
                <w:color w:val="auto"/>
              </w:rPr>
            </w:pPr>
          </w:p>
        </w:tc>
        <w:tc>
          <w:tcPr>
            <w:tcW w:w="6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89"/>
              </w:rPr>
              <w:t>0.1070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1.02</w:t>
            </w:r>
          </w:p>
        </w:tc>
        <w:tc>
          <w:tcPr>
            <w:tcW w:w="180" w:type="dxa"/>
            <w:vAlign w:val="bottom"/>
          </w:tcPr>
          <w:p>
            <w:pPr>
              <w:spacing w:after="0"/>
              <w:rPr>
                <w:sz w:val="16"/>
                <w:szCs w:val="16"/>
                <w:color w:val="auto"/>
              </w:rPr>
            </w:pPr>
          </w:p>
        </w:tc>
        <w:tc>
          <w:tcPr>
            <w:tcW w:w="80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0.9524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0.83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0.6214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0.71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0.3831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1.50</w:t>
            </w:r>
          </w:p>
        </w:tc>
        <w:tc>
          <w:tcPr>
            <w:tcW w:w="120" w:type="dxa"/>
            <w:vAlign w:val="bottom"/>
          </w:tcPr>
          <w:p>
            <w:pPr>
              <w:spacing w:after="0"/>
              <w:rPr>
                <w:sz w:val="16"/>
                <w:szCs w:val="16"/>
                <w:color w:val="auto"/>
              </w:rPr>
            </w:pPr>
          </w:p>
        </w:tc>
        <w:tc>
          <w:tcPr>
            <w:tcW w:w="7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93"/>
              </w:rPr>
              <w:t>0.2928</w:t>
            </w:r>
          </w:p>
        </w:tc>
      </w:tr>
      <w:tr>
        <w:trPr>
          <w:trHeight w:val="2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00"/>
        </w:trPr>
        <w:tc>
          <w:tcPr>
            <w:tcW w:w="214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Day 14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0.88</w:t>
            </w:r>
          </w:p>
        </w:tc>
        <w:tc>
          <w:tcPr>
            <w:tcW w:w="120" w:type="dxa"/>
            <w:vAlign w:val="bottom"/>
          </w:tcPr>
          <w:p>
            <w:pPr>
              <w:spacing w:after="0"/>
              <w:rPr>
                <w:sz w:val="17"/>
                <w:szCs w:val="17"/>
                <w:color w:val="auto"/>
              </w:rPr>
            </w:pPr>
          </w:p>
        </w:tc>
        <w:tc>
          <w:tcPr>
            <w:tcW w:w="6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89"/>
              </w:rPr>
              <w:t>0.6881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1.25</w:t>
            </w:r>
          </w:p>
        </w:tc>
        <w:tc>
          <w:tcPr>
            <w:tcW w:w="180" w:type="dxa"/>
            <w:vAlign w:val="bottom"/>
          </w:tcPr>
          <w:p>
            <w:pPr>
              <w:spacing w:after="0"/>
              <w:rPr>
                <w:sz w:val="17"/>
                <w:szCs w:val="17"/>
                <w:color w:val="auto"/>
              </w:rPr>
            </w:pPr>
          </w:p>
        </w:tc>
        <w:tc>
          <w:tcPr>
            <w:tcW w:w="80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0.4895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2.23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0.0180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0.9880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1.71</w:t>
            </w:r>
          </w:p>
        </w:tc>
        <w:tc>
          <w:tcPr>
            <w:tcW w:w="120" w:type="dxa"/>
            <w:vAlign w:val="bottom"/>
          </w:tcPr>
          <w:p>
            <w:pPr>
              <w:spacing w:after="0"/>
              <w:rPr>
                <w:sz w:val="17"/>
                <w:szCs w:val="17"/>
                <w:color w:val="auto"/>
              </w:rPr>
            </w:pPr>
          </w:p>
        </w:tc>
        <w:tc>
          <w:tcPr>
            <w:tcW w:w="7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93"/>
              </w:rPr>
              <w:t>0.1049</w:t>
            </w:r>
          </w:p>
        </w:tc>
      </w:tr>
      <w:tr>
        <w:trPr>
          <w:trHeight w:val="37"/>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00"/>
        </w:trPr>
        <w:tc>
          <w:tcPr>
            <w:tcW w:w="214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w w:val="97"/>
              </w:rPr>
              <w:t>Safety Follow-up (Day 21-24)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0.63</w:t>
            </w:r>
          </w:p>
        </w:tc>
        <w:tc>
          <w:tcPr>
            <w:tcW w:w="120" w:type="dxa"/>
            <w:vAlign w:val="bottom"/>
          </w:tcPr>
          <w:p>
            <w:pPr>
              <w:spacing w:after="0"/>
              <w:rPr>
                <w:sz w:val="17"/>
                <w:szCs w:val="17"/>
                <w:color w:val="auto"/>
              </w:rPr>
            </w:pPr>
          </w:p>
        </w:tc>
        <w:tc>
          <w:tcPr>
            <w:tcW w:w="6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89"/>
              </w:rPr>
              <w:t>0.2167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1.65</w:t>
            </w:r>
          </w:p>
        </w:tc>
        <w:tc>
          <w:tcPr>
            <w:tcW w:w="180" w:type="dxa"/>
            <w:vAlign w:val="bottom"/>
          </w:tcPr>
          <w:p>
            <w:pPr>
              <w:spacing w:after="0"/>
              <w:rPr>
                <w:sz w:val="17"/>
                <w:szCs w:val="17"/>
                <w:color w:val="auto"/>
              </w:rPr>
            </w:pPr>
          </w:p>
        </w:tc>
        <w:tc>
          <w:tcPr>
            <w:tcW w:w="80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0.0943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3.93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&lt;0.0001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0.0591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2.38</w:t>
            </w:r>
          </w:p>
        </w:tc>
        <w:tc>
          <w:tcPr>
            <w:tcW w:w="120" w:type="dxa"/>
            <w:vAlign w:val="bottom"/>
          </w:tcPr>
          <w:p>
            <w:pPr>
              <w:spacing w:after="0"/>
              <w:rPr>
                <w:sz w:val="17"/>
                <w:szCs w:val="17"/>
                <w:color w:val="auto"/>
              </w:rPr>
            </w:pPr>
          </w:p>
        </w:tc>
        <w:tc>
          <w:tcPr>
            <w:tcW w:w="7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93"/>
              </w:rPr>
              <w:t>0.0059</w:t>
            </w:r>
          </w:p>
        </w:tc>
      </w:tr>
      <w:tr>
        <w:trPr>
          <w:trHeight w:val="37"/>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0"/>
          <w:szCs w:val="20"/>
          <w:color w:val="auto"/>
        </w:rPr>
      </w:pPr>
    </w:p>
    <w:p>
      <w:pPr>
        <w:ind w:right="660" w:firstLine="517"/>
        <w:spacing w:after="0" w:line="261" w:lineRule="auto"/>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Fold changes from these cohorts were updated to reflect the fold-increase over pooled placebo data across all cohorts from 2-30mg versus previously reported fold changes over pooled placebo data across 2-10mg cohorts.</w:t>
      </w:r>
    </w:p>
    <w:p>
      <w:pPr>
        <w:spacing w:after="0" w:line="171"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initiated a Phase 1b clinical trial of FTX-6058 in people with SCD in the fourth quarter of 2021, with the aim of establishing early proof of concept in SCD. The open label trial is designed to assess safety, tolerability, PK and PD effects, including HbF protein induction of up to three doses, starting with 6mg once daily dose, to inform dose selection for future development. Each dose cohort will have up to 10 patients who will be treated for up to three months. We expect to report initial data, including HbF protein levels, from the trial in the second quarter of 2022.</w:t>
      </w:r>
    </w:p>
    <w:p>
      <w:pPr>
        <w:spacing w:after="0" w:line="17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According to the National Institutes of Health, or NIH, there are approximately 7,000 rare, genetically defined human diseases, many of which have inadequate or no approved treatments. Our current drug target identification and development efforts are focused on rare muscular, hematologic and neurologic, disorders. We also anticipate utilizing FulcrumSeek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utilizing FulcrumSeek to discover drug targets within a targeted indication within the pulmonary disease space under our collaboration and license agreement with Acceleron, a wholly owned subsidiary of Merck, and for the potential treatment of certain genetically defined cardiomyopathies under our collaboration and license agreement with MyoKardia, a wholly-owned subsidiary of Bristol-Myers Squibb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Pipeline</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Using FulcrumSeek, we have generated a pipeline of disease-modifying therapies that address the known root cause of rare genetic diseases. The following chart summarizes key information about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143510</wp:posOffset>
            </wp:positionV>
            <wp:extent cx="5760720" cy="2588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We are leveraging the broad applicability of our proprietary product engine to discover and develop small molecule therapies that modulate gene expression to address the known root cause of genetically defined rare diseases in areas of high unmet medical need. We believe that our initial product candidates for the treatment of FSHD, SCD and ß-thalassemia may have the potential to treat patients with these debilitating and, in some cases, life-threatening illnesses. The key components of our strategy include:</w:t>
      </w:r>
    </w:p>
    <w:p>
      <w:pPr>
        <w:spacing w:after="0" w:line="80" w:lineRule="exact"/>
        <w:rPr>
          <w:sz w:val="20"/>
          <w:szCs w:val="20"/>
          <w:color w:val="auto"/>
        </w:rPr>
      </w:pPr>
    </w:p>
    <w:p>
      <w:pPr>
        <w:ind w:left="900" w:right="80" w:hanging="383"/>
        <w:spacing w:after="0" w:line="24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develop losmapimod for the treatment of FSHD. </w:t>
      </w:r>
      <w:r>
        <w:rPr>
          <w:rFonts w:ascii="Arial" w:cs="Arial" w:eastAsia="Arial" w:hAnsi="Arial"/>
          <w:sz w:val="18"/>
          <w:szCs w:val="18"/>
          <w:color w:val="auto"/>
        </w:rPr>
        <w:t>We aim to rapidly develop losmapimod for the treatment of FSHD through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regulatory approval. In the second quarter of 2022, we plan to initiate a randomized, double-blind, placebo-controlled, 48-week Phase 3 trial to evaluate the efficacy and safety of losmapimod for the treatment of FSHD.</w:t>
      </w:r>
    </w:p>
    <w:p>
      <w:pPr>
        <w:spacing w:after="0" w:line="73" w:lineRule="exact"/>
        <w:rPr>
          <w:rFonts w:ascii="Arial" w:cs="Arial" w:eastAsia="Arial" w:hAnsi="Arial"/>
          <w:sz w:val="18"/>
          <w:szCs w:val="18"/>
          <w:color w:val="auto"/>
        </w:rPr>
      </w:pPr>
    </w:p>
    <w:p>
      <w:pPr>
        <w:ind w:left="900" w:right="20" w:hanging="383"/>
        <w:spacing w:after="0" w:line="243"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develop FTX-6058 for the treatment of select hemoglobinopathies. </w:t>
      </w:r>
      <w:r>
        <w:rPr>
          <w:rFonts w:ascii="Arial" w:cs="Arial" w:eastAsia="Arial" w:hAnsi="Arial"/>
          <w:sz w:val="18"/>
          <w:szCs w:val="18"/>
          <w:color w:val="auto"/>
        </w:rPr>
        <w:t>We have initiated a Phase 1b clinical trial of FTX-6058 in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SCD and expect to report initial data from the trial in the second quarter of 2022. We submitted an IND to the FDA in the fourth quarter of 2021 for FTX-6058 in other select hemoglobinopathies, including ß-thalassemia, and expect to initiate a Phase 1b study in the second quarter of 2022.</w:t>
      </w:r>
    </w:p>
    <w:p>
      <w:pPr>
        <w:spacing w:after="0" w:line="79" w:lineRule="exact"/>
        <w:rPr>
          <w:rFonts w:ascii="Arial" w:cs="Arial" w:eastAsia="Arial" w:hAnsi="Arial"/>
          <w:sz w:val="18"/>
          <w:szCs w:val="18"/>
          <w:color w:val="auto"/>
        </w:rPr>
      </w:pPr>
    </w:p>
    <w:p>
      <w:pPr>
        <w:ind w:left="900" w:right="180" w:hanging="383"/>
        <w:spacing w:after="0" w:line="262"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apply FulcrumSeek to grow our portfolio of product candidates for the treatment of genetically defined diseases. </w:t>
      </w:r>
      <w:r>
        <w:rPr>
          <w:rFonts w:ascii="Arial" w:cs="Arial" w:eastAsia="Arial" w:hAnsi="Arial"/>
          <w:sz w:val="17"/>
          <w:szCs w:val="17"/>
          <w:color w:val="auto"/>
        </w:rPr>
        <w:t>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 rigorous assessment and selection process to determine which of the approximately 7,000 rare, genetically defined diseases we intend to evaluate in drug target identification activities. We are applying FulcrumSeek to discover drug targets to modulate gene expression and develop product candidates for the potential treatment of the root cause of disease.</w:t>
      </w:r>
    </w:p>
    <w:p>
      <w:pPr>
        <w:spacing w:after="0" w:line="64" w:lineRule="exact"/>
        <w:rPr>
          <w:rFonts w:ascii="Arial" w:cs="Arial" w:eastAsia="Arial" w:hAnsi="Arial"/>
          <w:sz w:val="17"/>
          <w:szCs w:val="17"/>
          <w:color w:val="auto"/>
        </w:rPr>
      </w:pPr>
    </w:p>
    <w:p>
      <w:pPr>
        <w:ind w:left="900" w:hanging="383"/>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expand our product engine capabilities. </w:t>
      </w:r>
      <w:r>
        <w:rPr>
          <w:rFonts w:ascii="Arial" w:cs="Arial" w:eastAsia="Arial" w:hAnsi="Arial"/>
          <w:sz w:val="16"/>
          <w:szCs w:val="16"/>
          <w:color w:val="auto"/>
        </w:rPr>
        <w:t>We have significantly enhanced the scale and power of FulcrumSeek to increase the pace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discovery and we intend to further expand our capabilities to enhance the therapeutic reach and productivity of our drug discovery process. We expect to name our next development candidate in 2022 to support our fourth IND by the end of the first quarter of 2023.</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9" w:name="page10"/>
    <w:bookmarkEnd w:id="9"/>
    <w:p>
      <w:pPr>
        <w:ind w:left="900" w:right="140" w:hanging="383"/>
        <w:spacing w:after="0" w:line="24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commercial potential of our product candidates. </w:t>
      </w:r>
      <w:r>
        <w:rPr>
          <w:rFonts w:ascii="Arial" w:cs="Arial" w:eastAsia="Arial" w:hAnsi="Arial"/>
          <w:sz w:val="18"/>
          <w:szCs w:val="18"/>
          <w:color w:val="auto"/>
        </w:rPr>
        <w:t>We have retained all rights to our lead product candidates focused on rare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genetically defined diseases, and plan to commercialize any approved product for such rare genetically defined diseases using a targeted sales infrastructure. We may in the future pursue commercialization partnerships for certain product candidates and/or markets outside the United States.</w:t>
      </w:r>
    </w:p>
    <w:p>
      <w:pPr>
        <w:spacing w:after="0" w:line="79" w:lineRule="exact"/>
        <w:rPr>
          <w:rFonts w:ascii="Arial" w:cs="Arial" w:eastAsia="Arial" w:hAnsi="Arial"/>
          <w:sz w:val="18"/>
          <w:szCs w:val="18"/>
          <w:color w:val="auto"/>
        </w:rPr>
      </w:pPr>
    </w:p>
    <w:p>
      <w:pPr>
        <w:ind w:left="900" w:right="60" w:hanging="383"/>
        <w:spacing w:after="0" w:line="25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enter into strategic partnerships to maximize the value of our product engine and pipeline. </w:t>
      </w:r>
      <w:r>
        <w:rPr>
          <w:rFonts w:ascii="Arial" w:cs="Arial" w:eastAsia="Arial" w:hAnsi="Arial"/>
          <w:sz w:val="17"/>
          <w:szCs w:val="17"/>
          <w:color w:val="auto"/>
        </w:rPr>
        <w:t>Given the breadth of opportunities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proprietary product engine to discover drug targets and develop product candidates for genetically defined diseases, we may enter into strategic partnerships for certain drug targets, product candidates or disease areas, such as our collaboration and license agreements with Acceleron, a wholly-owned subsidiary of Merck, and MyoKardia, a wholly-owned subsidiary of Bristol Myers Squibb. Partnerships may provide an attractive avenue for expanding the impact of our proprietary product engine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Regulation</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misexpression, aberrant expression or silencing of a gene that may lead to or is closely associated with disease.</w:t>
      </w:r>
    </w:p>
    <w:p>
      <w:pPr>
        <w:spacing w:after="0" w:line="18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5726430" cy="3694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2643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90"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We have the ability to develop, scale and characterize complex cellular models of human disorders of gene misexpression and mis-regulation. Our current drug target identification and development efforts are focused on rare muscular, hematologic and neurologic disorders. We also anticipate utilizing FulcrumSeek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 defined diseases with 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77" w:lineRule="exact"/>
        <w:rPr>
          <w:sz w:val="20"/>
          <w:szCs w:val="20"/>
          <w:color w:val="auto"/>
        </w:rPr>
      </w:pPr>
    </w:p>
    <w:p>
      <w:pPr>
        <w:ind w:right="20" w:firstLine="509"/>
        <w:spacing w:after="0" w:line="236" w:lineRule="auto"/>
        <w:rPr>
          <w:sz w:val="20"/>
          <w:szCs w:val="20"/>
          <w:color w:val="auto"/>
        </w:rPr>
      </w:pPr>
      <w:r>
        <w:rPr>
          <w:rFonts w:ascii="Arial" w:cs="Arial" w:eastAsia="Arial" w:hAnsi="Arial"/>
          <w:sz w:val="17"/>
          <w:szCs w:val="17"/>
          <w:color w:val="auto"/>
        </w:rPr>
        <w:t>We are continuing to expand our proprietary library of highly annotated small molecules to facilitate the process by which we assess diseases and generate drug target hypotheses through our computational biology expertise. We screen our proprietary small molecule library and customized CRISPR or RNAi libraries in patient-derived tissue and disease-relevant cell models, such as skeletal muscle cells, cardiac muscle cells, brain cells and blood cells. FulcrumSeek is designed to provide a unique understanding into gene regulatory and signaling pathways that may be relevant for the activation or repression of a particular gene associated with the disease of interest. To achieve this, we profile many features that are impacted when a cell of interest is treated with a perturbagen, such as a small molecule probe, CRISPR guide, siRNA, or microRNAs. These features include a comprehensive assessment of transcripts that are modulated (quantified by RNA sequencing, or RNAseq) and cellular processes that are measured by imaging techniques. We expect that the data from these screens will allow us to develop a broader understanding of biology that may be relevant in disease. With the completion of each additional screening, FulcrumSeek increases in size, and our insights and knowledge are further expanded. Moreover, with the initiation of our collaborations with Acceleron and MyoKardia, we are further demonstrating the scope of our disease modeling and target identification capabilities with the expansion into pulmonary and cardiovascular disease.</w:t>
      </w:r>
    </w:p>
    <w:p>
      <w:pPr>
        <w:spacing w:after="0" w:line="181" w:lineRule="exact"/>
        <w:rPr>
          <w:sz w:val="20"/>
          <w:szCs w:val="20"/>
          <w:color w:val="auto"/>
        </w:rPr>
      </w:pPr>
    </w:p>
    <w:p>
      <w:pPr>
        <w:ind w:right="160" w:firstLine="509"/>
        <w:spacing w:after="0" w:line="246" w:lineRule="auto"/>
        <w:rPr>
          <w:sz w:val="20"/>
          <w:szCs w:val="20"/>
          <w:color w:val="auto"/>
        </w:rPr>
      </w:pPr>
      <w:r>
        <w:rPr>
          <w:rFonts w:ascii="Arial" w:cs="Arial" w:eastAsia="Arial" w:hAnsi="Arial"/>
          <w:sz w:val="17"/>
          <w:szCs w:val="17"/>
          <w:color w:val="auto"/>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screening with our proprietary small molecule library and customized CRISPR or RNAi libraries, could be broadly applied to the identification of drug targets that have the potential to balance the expression of many genes known to drive or ameliorate disease.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94" w:lineRule="exact"/>
        <w:rPr>
          <w:sz w:val="20"/>
          <w:szCs w:val="20"/>
          <w:color w:val="auto"/>
        </w:rPr>
      </w:pPr>
    </w:p>
    <w:p>
      <w:pPr>
        <w:ind w:right="140" w:firstLine="509"/>
        <w:spacing w:after="0" w:line="231" w:lineRule="auto"/>
        <w:rPr>
          <w:sz w:val="20"/>
          <w:szCs w:val="20"/>
          <w:color w:val="auto"/>
        </w:rPr>
      </w:pPr>
      <w:r>
        <w:rPr>
          <w:rFonts w:ascii="Arial" w:cs="Arial" w:eastAsia="Arial" w:hAnsi="Arial"/>
          <w:sz w:val="18"/>
          <w:szCs w:val="18"/>
          <w:color w:val="auto"/>
        </w:rPr>
        <w:t>The ability to intervene in gene regulatory pathways that control gene expression provides the basis of FulcrumSeek.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67" w:lineRule="exact"/>
        <w:rPr>
          <w:sz w:val="20"/>
          <w:szCs w:val="20"/>
          <w:color w:val="auto"/>
        </w:rPr>
      </w:pPr>
    </w:p>
    <w:p>
      <w:pPr>
        <w:ind w:left="900" w:right="700" w:hanging="383"/>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Unmet medical need and market opportunity</w:t>
      </w:r>
      <w:r>
        <w:rPr>
          <w:rFonts w:ascii="Arial" w:cs="Arial" w:eastAsia="Arial" w:hAnsi="Arial"/>
          <w:sz w:val="18"/>
          <w:szCs w:val="18"/>
          <w:color w:val="auto"/>
        </w:rPr>
        <w:t>: we consider the severity of disease, the number of patients who could be treated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landscape.</w:t>
      </w:r>
    </w:p>
    <w:p>
      <w:pPr>
        <w:spacing w:after="0" w:line="61" w:lineRule="exact"/>
        <w:rPr>
          <w:rFonts w:ascii="Arial" w:cs="Arial" w:eastAsia="Arial" w:hAnsi="Arial"/>
          <w:sz w:val="18"/>
          <w:szCs w:val="18"/>
          <w:color w:val="auto"/>
        </w:rPr>
      </w:pPr>
    </w:p>
    <w:p>
      <w:pPr>
        <w:ind w:left="900" w:right="280" w:hanging="383"/>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Clear mechanistic link between a root cause genetic defect and disease</w:t>
      </w:r>
      <w:r>
        <w:rPr>
          <w:rFonts w:ascii="Arial" w:cs="Arial" w:eastAsia="Arial" w:hAnsi="Arial"/>
          <w:sz w:val="18"/>
          <w:szCs w:val="18"/>
          <w:color w:val="auto"/>
        </w:rPr>
        <w:t>: we evaluate whether there is genetic validation of the gene’s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and the effect of gene modulation on disease.</w:t>
      </w:r>
    </w:p>
    <w:p>
      <w:pPr>
        <w:spacing w:after="0" w:line="61" w:lineRule="exact"/>
        <w:rPr>
          <w:rFonts w:ascii="Arial" w:cs="Arial" w:eastAsia="Arial" w:hAnsi="Arial"/>
          <w:sz w:val="18"/>
          <w:szCs w:val="18"/>
          <w:color w:val="auto"/>
        </w:rPr>
      </w:pPr>
    </w:p>
    <w:p>
      <w:pPr>
        <w:ind w:left="900" w:right="20" w:hanging="383"/>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Drug discovery execution</w:t>
      </w:r>
      <w:r>
        <w:rPr>
          <w:rFonts w:ascii="Arial" w:cs="Arial" w:eastAsia="Arial" w:hAnsi="Arial"/>
          <w:sz w:val="18"/>
          <w:szCs w:val="18"/>
          <w:color w:val="auto"/>
        </w:rPr>
        <w:t>: we consider whether relevant patient-derived, tissue-specific cell models and assays are available or whether we can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such models using our expertise.</w:t>
      </w:r>
    </w:p>
    <w:p>
      <w:pPr>
        <w:spacing w:after="0" w:line="61" w:lineRule="exact"/>
        <w:rPr>
          <w:rFonts w:ascii="Arial" w:cs="Arial" w:eastAsia="Arial" w:hAnsi="Arial"/>
          <w:sz w:val="18"/>
          <w:szCs w:val="18"/>
          <w:color w:val="auto"/>
        </w:rPr>
      </w:pPr>
    </w:p>
    <w:p>
      <w:pPr>
        <w:ind w:left="900" w:right="60" w:hanging="383"/>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Clinical feasibility</w:t>
      </w:r>
      <w:r>
        <w:rPr>
          <w:rFonts w:ascii="Arial" w:cs="Arial" w:eastAsia="Arial" w:hAnsi="Arial"/>
          <w:sz w:val="18"/>
          <w:szCs w:val="18"/>
          <w:color w:val="auto"/>
        </w:rPr>
        <w:t>: we evaluate potential biomarker and clinical endpoints, whether there is a meaningful treatment window and whether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an accessible patient population to undertake clinical trials in a reasonable time frame.</w:t>
      </w:r>
    </w:p>
    <w:p>
      <w:pPr>
        <w:spacing w:after="0" w:line="170" w:lineRule="exact"/>
        <w:rPr>
          <w:sz w:val="20"/>
          <w:szCs w:val="20"/>
          <w:color w:val="auto"/>
        </w:rPr>
      </w:pPr>
    </w:p>
    <w:p>
      <w:pPr>
        <w:ind w:right="60" w:firstLine="509"/>
        <w:spacing w:after="0" w:line="239" w:lineRule="auto"/>
        <w:rPr>
          <w:sz w:val="20"/>
          <w:szCs w:val="20"/>
          <w:color w:val="auto"/>
        </w:rPr>
      </w:pPr>
      <w:r>
        <w:rPr>
          <w:rFonts w:ascii="Arial" w:cs="Arial" w:eastAsia="Arial" w:hAnsi="Arial"/>
          <w:sz w:val="17"/>
          <w:szCs w:val="17"/>
          <w:color w:val="auto"/>
        </w:rPr>
        <w:t>FulcrumSeek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7"/>
          <w:szCs w:val="17"/>
          <w:i w:val="1"/>
          <w:iCs w:val="1"/>
          <w:color w:val="auto"/>
        </w:rPr>
        <w:t>e.g., DUX4</w:t>
      </w:r>
      <w:r>
        <w:rPr>
          <w:rFonts w:ascii="Arial" w:cs="Arial" w:eastAsia="Arial" w:hAnsi="Arial"/>
          <w:sz w:val="17"/>
          <w:szCs w:val="17"/>
          <w:color w:val="auto"/>
        </w:rPr>
        <w:t xml:space="preserve"> in FSHD), increasing the expression of an under-expressed gene or expressing a compensatory gene (</w:t>
      </w:r>
      <w:r>
        <w:rPr>
          <w:rFonts w:ascii="Arial" w:cs="Arial" w:eastAsia="Arial" w:hAnsi="Arial"/>
          <w:sz w:val="17"/>
          <w:szCs w:val="17"/>
          <w:i w:val="1"/>
          <w:iCs w:val="1"/>
          <w:color w:val="auto"/>
        </w:rPr>
        <w:t>e.g., HBG1/2</w:t>
      </w:r>
      <w:r>
        <w:rPr>
          <w:rFonts w:ascii="Arial" w:cs="Arial" w:eastAsia="Arial" w:hAnsi="Arial"/>
          <w:sz w:val="17"/>
          <w:szCs w:val="17"/>
          <w:color w:val="auto"/>
        </w:rPr>
        <w:t xml:space="preserve"> in SCD and ß-thalassemia).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Lead Product Candidates</w:t>
      </w:r>
    </w:p>
    <w:p>
      <w:pPr>
        <w:spacing w:after="0" w:line="10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We have used our proprietary product engine and screening efforts to identify drug targets for our lead product candidates.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134620</wp:posOffset>
            </wp:positionV>
            <wp:extent cx="5760720" cy="119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FSHD - Losmapimod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Facioscapulohumeral Muscular Dystrophy</w:t>
      </w:r>
    </w:p>
    <w:p>
      <w:pPr>
        <w:spacing w:after="0" w:line="90"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independence, including impacts to facial muscles that can cause problems with communication,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48" w:right="519" w:bottom="1440" w:gutter="0" w:footer="0" w:header="0"/>
        </w:sectPr>
      </w:pPr>
    </w:p>
    <w:bookmarkStart w:id="12" w:name="page13"/>
    <w:bookmarkEnd w:id="12"/>
    <w:p>
      <w:pPr>
        <w:ind w:right="120" w:firstLine="509"/>
        <w:spacing w:after="0" w:line="261" w:lineRule="auto"/>
        <w:rPr>
          <w:sz w:val="20"/>
          <w:szCs w:val="20"/>
          <w:color w:val="auto"/>
        </w:rPr>
      </w:pPr>
      <w:r>
        <w:rPr>
          <w:rFonts w:ascii="Arial" w:cs="Arial" w:eastAsia="Arial" w:hAnsi="Arial"/>
          <w:sz w:val="16"/>
          <w:szCs w:val="16"/>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Biology</w:t>
      </w:r>
    </w:p>
    <w:p>
      <w:pPr>
        <w:spacing w:after="0" w:line="90" w:lineRule="exact"/>
        <w:rPr>
          <w:sz w:val="20"/>
          <w:szCs w:val="20"/>
          <w:color w:val="auto"/>
        </w:rPr>
      </w:pPr>
    </w:p>
    <w:p>
      <w:pPr>
        <w:ind w:firstLine="509"/>
        <w:spacing w:after="0" w:line="252" w:lineRule="auto"/>
        <w:rPr>
          <w:sz w:val="20"/>
          <w:szCs w:val="20"/>
          <w:color w:val="auto"/>
        </w:rPr>
      </w:pPr>
      <w:r>
        <w:rPr>
          <w:rFonts w:ascii="Arial" w:cs="Arial" w:eastAsia="Arial" w:hAnsi="Arial"/>
          <w:sz w:val="16"/>
          <w:szCs w:val="16"/>
          <w:color w:val="auto"/>
        </w:rPr>
        <w:t xml:space="preserve">FSHD is caused by aberrant expression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in skeletal muscle resulting in the inappropriate presence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protein, a transcription factor causing the expression of other genes. Normally DUX4-driven gene expression is limited to early embryonic development, after which time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silenced. In patients with FSHD, aberrant production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protein in skeletal muscle regulates other genes encoding proteins, some of which are toxic to the muscle. The result of aberrant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FSHD is death of muscle and its replacement by fat, resulting in skeletal muscle weakness and progressive disability. We believe that reducing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and its downstream transcriptional program could provide a disease-modifying therapeutic approach for the treatment of FSHD at its root cause. Published preclinical and human data, in addition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that we have conducted, suggest that any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may be beneficial for patients. In preclinical studies, we have demonstrated that there is a direct relationship between muscle cell death (apoptosis) and the level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a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 leads to a concomitant decrease in apoptosis. As illustrated in the graphic below, in animal models where expression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in skeletal muscle is induced, a corresponding loss of function is observed with increasing levels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these animal models where low levels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are expressed, the animals performed similarly to healthy animals in a mobility assessment, suggesting that complete </w:t>
      </w:r>
      <w:r>
        <w:rPr>
          <w:rFonts w:ascii="Arial" w:cs="Arial" w:eastAsia="Arial" w:hAnsi="Arial"/>
          <w:sz w:val="16"/>
          <w:szCs w:val="16"/>
          <w:i w:val="1"/>
          <w:iCs w:val="1"/>
          <w:color w:val="auto"/>
        </w:rPr>
        <w:t>DUX4</w:t>
      </w:r>
      <w:r>
        <w:rPr>
          <w:rFonts w:ascii="Arial" w:cs="Arial" w:eastAsia="Arial" w:hAnsi="Arial"/>
          <w:sz w:val="16"/>
          <w:szCs w:val="16"/>
          <w:color w:val="auto"/>
        </w:rPr>
        <w:t xml:space="preserve"> reduction is not required for a functional benefit. Data from human muscle biopsies likewise indicated that increased </w:t>
      </w:r>
      <w:r>
        <w:rPr>
          <w:rFonts w:ascii="Arial" w:cs="Arial" w:eastAsia="Arial" w:hAnsi="Arial"/>
          <w:sz w:val="16"/>
          <w:szCs w:val="16"/>
          <w:i w:val="1"/>
          <w:iCs w:val="1"/>
          <w:color w:val="auto"/>
        </w:rPr>
        <w:t>DUX4</w:t>
      </w:r>
      <w:r>
        <w:rPr>
          <w:rFonts w:ascii="Arial" w:cs="Arial" w:eastAsia="Arial" w:hAnsi="Arial"/>
          <w:sz w:val="16"/>
          <w:szCs w:val="16"/>
          <w:color w:val="auto"/>
        </w:rPr>
        <w:t xml:space="preserve"> activity is related to worsening muscle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208915</wp:posOffset>
            </wp:positionV>
            <wp:extent cx="2811780" cy="1714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117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In all patients with FSHD,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Patients with FSHD2 do not have meaningful D4Z4 repeat contraction, but have mutations in a regulatory gene, known as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that normally contributes to the repression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via DNA methylation.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FulcrumSeek Identified the Drug Target for FSHD</w:t>
      </w:r>
    </w:p>
    <w:p>
      <w:pPr>
        <w:spacing w:after="0" w:line="10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 xml:space="preserve">We utilized patient-derived FSHD1 muscle cells, known as myotubes, and screened them with our small molecule probe library to identify drug targets that reduced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p38α/ß, which had been studied extensively in other diseases, but had not been reported to be linked to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or FSHD until we conducted our screening efforts. We evaluated multiple small molecule p38α/ß inhibitors and observed a consistent reduction of both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and DUX4-driven gene transcripts with each p38α/ß inhibitor. We conducted further validation experiments to confirm that inhibition of p38α using genetic approaches such as siRNA and CRISPR single-guide RNAs, also led to a reduction in </w:t>
      </w:r>
      <w:r>
        <w:rPr>
          <w:rFonts w:ascii="Arial" w:cs="Arial" w:eastAsia="Arial" w:hAnsi="Arial"/>
          <w:sz w:val="18"/>
          <w:szCs w:val="18"/>
          <w:i w:val="1"/>
          <w:iCs w:val="1"/>
          <w:color w:val="auto"/>
        </w:rPr>
        <w:t>DUX4</w:t>
      </w:r>
      <w:r>
        <w:rPr>
          <w:rFonts w:ascii="Arial" w:cs="Arial" w:eastAsia="Arial" w:hAnsi="Arial"/>
          <w:sz w:val="18"/>
          <w:szCs w:val="18"/>
          <w:color w:val="auto"/>
        </w:rPr>
        <w:t xml:space="preserve"> expression. Additionally, researchers from Saint Louis University independently published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 xml:space="preserve">the results of a study which concluded that inhibitors of p38α/ß, including losmapimod, suppressed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cellular and animal FSHD models.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Losmapimod Overview</w:t>
      </w:r>
    </w:p>
    <w:p>
      <w:pPr>
        <w:spacing w:after="0" w:line="10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auto"/>
        </w:rPr>
        <w:t xml:space="preserve">After identifying p38α/ß as a potential drug target, we evaluated multiple small molecule inhibitors of p38α/ß. Each of these inhibitors had previously been evaluated in clinical trials for the treatment of various diseases but never in muscle disorders. As a result of our evaluation and relative to other p38α/ß inhibitors, we identified losmapimod as the preferred development candidate based on substantial and attractive preclinical and clinical data regarding safety, PK and target inhibition, and its advanced stage of development. Losmapimod was originally evaluated by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 Additionally, we observed in preclinical studies using losmapimod that inhibition of the p38α/ß pathway reduced </w:t>
      </w:r>
      <w:r>
        <w:rPr>
          <w:rFonts w:ascii="Arial" w:cs="Arial" w:eastAsia="Arial" w:hAnsi="Arial"/>
          <w:sz w:val="16"/>
          <w:szCs w:val="16"/>
          <w:i w:val="1"/>
          <w:iCs w:val="1"/>
          <w:color w:val="auto"/>
        </w:rPr>
        <w:t xml:space="preserve">DUX4 </w:t>
      </w:r>
      <w:r>
        <w:rPr>
          <w:rFonts w:ascii="Arial" w:cs="Arial" w:eastAsia="Arial" w:hAnsi="Arial"/>
          <w:sz w:val="16"/>
          <w:szCs w:val="16"/>
          <w:color w:val="auto"/>
        </w:rPr>
        <w:t>expression and downstream gene expression. After identifying losmapimod, we in-licensed the molecule from GSK because we believed that its</w:t>
      </w:r>
      <w:r>
        <w:rPr>
          <w:rFonts w:ascii="Arial" w:cs="Arial" w:eastAsia="Arial" w:hAnsi="Arial"/>
          <w:sz w:val="16"/>
          <w:szCs w:val="16"/>
          <w:i w:val="1"/>
          <w:iCs w:val="1"/>
          <w:color w:val="auto"/>
        </w:rPr>
        <w:t xml:space="preserve"> </w:t>
      </w:r>
      <w:r>
        <w:rPr>
          <w:rFonts w:ascii="Arial" w:cs="Arial" w:eastAsia="Arial" w:hAnsi="Arial"/>
          <w:sz w:val="16"/>
          <w:szCs w:val="16"/>
          <w:color w:val="auto"/>
        </w:rPr>
        <w:t>safety and pharmacology history would significantly expedite our development plan and enhance our future regulatory submissions.</w:t>
      </w:r>
    </w:p>
    <w:p>
      <w:pPr>
        <w:spacing w:after="0" w:line="6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June 2021, we reported full data from the randomized, double-blind placebo-controlled multicenter international Phase 2b clinical trial, or ReDUX4. Although the primary endpoint was not met, we demonstrated slowing of disease progression and improved function in FSHD patients treated with losmapimod compared to placebo. In the second quarter of 2022, we expect to initiate a randomized, double-blind, placebo-controlled, 48-week Phase 3 trial to evaluate the efficacy of losmapimod for the treatment of FSHD.</w:t>
      </w:r>
    </w:p>
    <w:p>
      <w:pPr>
        <w:spacing w:after="0" w:line="80"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In January 2020, the FDA granted orphan drug designation to losmapimod for the treatment of FSHD. In March 2020, the EMA granted orphan drug designation to losmapimod for the treatment of FSHD. In May 2021, the FDA granted fast track designation to losmapimod for the treatment of FSHD.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2b (ReDUX4)</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June 2021, at the FSHD International Research Congress, we presented full data from our randomized, double-blind, placebo-controlled multicenter international Phase 2b clinical trial, the ReDUX4 trial, in 80 patients with FSHD1 and clinical severity scores of two to four on the Ricci scale. In this trial, we evaluated treatment with 15 mg of losmapimod or placebo tablets twice per day over a 24 or 48-week period. Enrollment was completed in February 2020. Patients were randomized 1:1 between the treatment and placebo arms. The FDA accepted the IND for losmapimod in June 2019, and we also submitted CTAs at various dates during 2019 to conduct the trial at sites in Europe and Canada, all of which were accepted. We presented data from a pre-specified interim analysis in August 2020. We completed the ReDUX4 trial in January 2021 and presented full data from the trial at the FSHD International Research Congress on June 24, 2021.</w:t>
      </w:r>
    </w:p>
    <w:p>
      <w:pPr>
        <w:spacing w:after="0" w:line="83"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 xml:space="preserve">The primary endpoint was the change in </w:t>
      </w:r>
      <w:r>
        <w:rPr>
          <w:rFonts w:ascii="Arial" w:cs="Arial" w:eastAsia="Arial" w:hAnsi="Arial"/>
          <w:sz w:val="16"/>
          <w:szCs w:val="16"/>
          <w:i w:val="1"/>
          <w:iCs w:val="1"/>
          <w:color w:val="auto"/>
        </w:rPr>
        <w:t>DUX4</w:t>
      </w:r>
      <w:r>
        <w:rPr>
          <w:rFonts w:ascii="Arial" w:cs="Arial" w:eastAsia="Arial" w:hAnsi="Arial"/>
          <w:sz w:val="16"/>
          <w:szCs w:val="16"/>
          <w:color w:val="auto"/>
        </w:rPr>
        <w:t>-driven gene expression in affected skeletal muscle at 16 or 36 weeks, which was included as an experimental biomarker. The trial was also designed to capture a wide range of data relating to FSHD progression in addition to safety, target engagement and PK data. The secondary endpoints were evaluation of safety and tolerability in FSHD patients, PK in blood, losmapimod concentration in skeletal muscle biopsies, target engagement in blood and in muscle biopsies, and efficacy based on the whole-body skeletal muscle MRI biomarker. The whole-body MRI scans evaluated changes in MFI , muscle fat fraction and lean muscle volume. The muscles evaluated in the trial were classified as normal appearing (not affected by disease), intermediate (clearly affected by disease but not so severely fat replaced to have lost all function) or end stage (severely fat replaced and have lost most if not all function). The exploratory endpoints included RWS, timed up and go, or TUG test, an optimized timed up and go test for FSHD, or FSHD TUG, muscle strength measured by hand-held dynamometry, other muscle function measures and patient reported outcomes.</w:t>
      </w:r>
    </w:p>
    <w:p>
      <w:pPr>
        <w:spacing w:after="0" w:line="60"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original design of ReDUX4 included a muscle biopsy at week 16 during the 24-week treatment period followed by an open label extension. Sixteen of the 80 subjects in trial completed the 24-week treatment period and rolled over to the open label extension portion of the trial. As a result of the ongoing COVID-19 pandemic, we extended the ReDUX4 treatment period from 24 to 48 weeks through a protocol amendment to ensure the safety of the subjects and to allow for the opportunity for a biopsy at week 16 as originally intended or at week 36. Approximately 64 subjects who did not complete the original 24-week treatment period continued in the 48-week treatment period in the randomized portion of the trial. The extension from 24 to 48 weeks also allowed for a longer assessment in a placebo-controlled design of the skeletal muscle MRI secondary endpoint and the various exploratory clinical endpoints, such as RWS, optimized FSHD TUG test, muscle function measures and patient reported outcomes.</w:t>
      </w:r>
    </w:p>
    <w:p>
      <w:pPr>
        <w:spacing w:after="0" w:line="55"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 xml:space="preserve">In August 2020, we announced results from a pre-specified interim analysis of the primary endpoint of the ReDUX4 trial, which is the reduction from baseline of </w:t>
      </w:r>
      <w:r>
        <w:rPr>
          <w:rFonts w:ascii="Arial" w:cs="Arial" w:eastAsia="Arial" w:hAnsi="Arial"/>
          <w:sz w:val="18"/>
          <w:szCs w:val="18"/>
          <w:i w:val="1"/>
          <w:iCs w:val="1"/>
          <w:color w:val="auto"/>
        </w:rPr>
        <w:t>DUX4</w:t>
      </w:r>
      <w:r>
        <w:rPr>
          <w:rFonts w:ascii="Arial" w:cs="Arial" w:eastAsia="Arial" w:hAnsi="Arial"/>
          <w:sz w:val="18"/>
          <w:szCs w:val="18"/>
          <w:color w:val="auto"/>
        </w:rPr>
        <w:t>-driven gene expression in affected skeletal muscle after subjects have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 w:name="page15"/>
    <w:bookmarkEnd w:id="14"/>
    <w:p>
      <w:pPr>
        <w:ind w:right="40"/>
        <w:spacing w:after="0" w:line="241" w:lineRule="auto"/>
        <w:rPr>
          <w:sz w:val="20"/>
          <w:szCs w:val="20"/>
          <w:color w:val="auto"/>
        </w:rPr>
      </w:pPr>
      <w:r>
        <w:rPr>
          <w:rFonts w:ascii="Arial" w:cs="Arial" w:eastAsia="Arial" w:hAnsi="Arial"/>
          <w:sz w:val="18"/>
          <w:szCs w:val="18"/>
          <w:color w:val="auto"/>
        </w:rPr>
        <w:t xml:space="preserve">been treated with losmapimod or placebo. Secondary and exploratory endpoints were not assessed as part of this analysis. Results from the interim analysis in the first 29 randomized subjects indicate that </w:t>
      </w:r>
      <w:r>
        <w:rPr>
          <w:rFonts w:ascii="Arial" w:cs="Arial" w:eastAsia="Arial" w:hAnsi="Arial"/>
          <w:sz w:val="18"/>
          <w:szCs w:val="18"/>
          <w:i w:val="1"/>
          <w:iCs w:val="1"/>
          <w:color w:val="auto"/>
        </w:rPr>
        <w:t>DUX4</w:t>
      </w:r>
      <w:r>
        <w:rPr>
          <w:rFonts w:ascii="Arial" w:cs="Arial" w:eastAsia="Arial" w:hAnsi="Arial"/>
          <w:sz w:val="18"/>
          <w:szCs w:val="18"/>
          <w:color w:val="auto"/>
        </w:rPr>
        <w:t xml:space="preserve">-driven gene expression did not show a separation from placebo at 16 weeks. However, in a pre-specified sensitivity analysis, those with the highest pre-treatment </w:t>
      </w:r>
      <w:r>
        <w:rPr>
          <w:rFonts w:ascii="Arial" w:cs="Arial" w:eastAsia="Arial" w:hAnsi="Arial"/>
          <w:sz w:val="18"/>
          <w:szCs w:val="18"/>
          <w:i w:val="1"/>
          <w:iCs w:val="1"/>
          <w:color w:val="auto"/>
        </w:rPr>
        <w:t>DUX4</w:t>
      </w:r>
      <w:r>
        <w:rPr>
          <w:rFonts w:ascii="Arial" w:cs="Arial" w:eastAsia="Arial" w:hAnsi="Arial"/>
          <w:sz w:val="18"/>
          <w:szCs w:val="18"/>
          <w:color w:val="auto"/>
        </w:rPr>
        <w:t xml:space="preserve">-driven gene expression in their muscle biopsy sample showed a large reduction in </w:t>
      </w:r>
      <w:r>
        <w:rPr>
          <w:rFonts w:ascii="Arial" w:cs="Arial" w:eastAsia="Arial" w:hAnsi="Arial"/>
          <w:sz w:val="18"/>
          <w:szCs w:val="18"/>
          <w:i w:val="1"/>
          <w:iCs w:val="1"/>
          <w:color w:val="auto"/>
        </w:rPr>
        <w:t>DUX4</w:t>
      </w:r>
      <w:r>
        <w:rPr>
          <w:rFonts w:ascii="Arial" w:cs="Arial" w:eastAsia="Arial" w:hAnsi="Arial"/>
          <w:sz w:val="18"/>
          <w:szCs w:val="18"/>
          <w:color w:val="auto"/>
        </w:rPr>
        <w:t>-driven gene expression following treatment with losmapimod compared to placebo. The highest expressing muscle biopsies represent the top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quartile of biopsies assessed based on baseline </w:t>
      </w:r>
      <w:r>
        <w:rPr>
          <w:rFonts w:ascii="Arial" w:cs="Arial" w:eastAsia="Arial" w:hAnsi="Arial"/>
          <w:sz w:val="18"/>
          <w:szCs w:val="18"/>
          <w:i w:val="1"/>
          <w:iCs w:val="1"/>
          <w:color w:val="auto"/>
        </w:rPr>
        <w:t>DUX4</w:t>
      </w:r>
      <w:r>
        <w:rPr>
          <w:rFonts w:ascii="Arial" w:cs="Arial" w:eastAsia="Arial" w:hAnsi="Arial"/>
          <w:sz w:val="18"/>
          <w:szCs w:val="18"/>
          <w:color w:val="auto"/>
        </w:rPr>
        <w:t>-driven gene expression.</w:t>
      </w:r>
    </w:p>
    <w:p>
      <w:pPr>
        <w:spacing w:after="0" w:line="81"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 xml:space="preserve">The interim results included an analysis of the first 29 subjects who completed their 16-week biopsy. PK,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-driven gene expression in the muscle biopsies of subjects whose baseline biopsy showed the highest levels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expression (38-fold decrease with losmapimod, n=3, and 5.4 fold-decrease with placebo, n=5), the population level data analysis of the reduction in </w:t>
      </w:r>
      <w:r>
        <w:rPr>
          <w:rFonts w:ascii="Arial" w:cs="Arial" w:eastAsia="Arial" w:hAnsi="Arial"/>
          <w:sz w:val="16"/>
          <w:szCs w:val="16"/>
          <w:i w:val="1"/>
          <w:iCs w:val="1"/>
          <w:color w:val="auto"/>
        </w:rPr>
        <w:t>DUX4</w:t>
      </w:r>
      <w:r>
        <w:rPr>
          <w:rFonts w:ascii="Arial" w:cs="Arial" w:eastAsia="Arial" w:hAnsi="Arial"/>
          <w:sz w:val="16"/>
          <w:szCs w:val="16"/>
          <w:color w:val="auto"/>
        </w:rPr>
        <w:t xml:space="preserve">-driven gene expression from all 29 subjects did not show a separation of losmapimod from placebo (3.7 fold increase with losmapimod, n=15, and 2.8 fold increase with placebo, n=14). Results suggested that muscle biopsies within the higher range of </w:t>
      </w:r>
      <w:r>
        <w:rPr>
          <w:rFonts w:ascii="Arial" w:cs="Arial" w:eastAsia="Arial" w:hAnsi="Arial"/>
          <w:sz w:val="16"/>
          <w:szCs w:val="16"/>
          <w:i w:val="1"/>
          <w:iCs w:val="1"/>
          <w:color w:val="auto"/>
        </w:rPr>
        <w:t>DUX4</w:t>
      </w:r>
      <w:r>
        <w:rPr>
          <w:rFonts w:ascii="Arial" w:cs="Arial" w:eastAsia="Arial" w:hAnsi="Arial"/>
          <w:sz w:val="16"/>
          <w:szCs w:val="16"/>
          <w:color w:val="auto"/>
        </w:rPr>
        <w:t>-driven gene expression at baseline may be needed to observe a reduction.</w:t>
      </w:r>
    </w:p>
    <w:p>
      <w:pPr>
        <w:spacing w:after="0" w:line="55"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 xml:space="preserve">In June 2021, we reported full results from ReDUX4. The trial did not meet the primary endpoint, change from baseline in </w:t>
      </w:r>
      <w:r>
        <w:rPr>
          <w:rFonts w:ascii="Arial" w:cs="Arial" w:eastAsia="Arial" w:hAnsi="Arial"/>
          <w:sz w:val="16"/>
          <w:szCs w:val="16"/>
          <w:i w:val="1"/>
          <w:iCs w:val="1"/>
          <w:color w:val="auto"/>
        </w:rPr>
        <w:t>DUX4</w:t>
      </w:r>
      <w:r>
        <w:rPr>
          <w:rFonts w:ascii="Arial" w:cs="Arial" w:eastAsia="Arial" w:hAnsi="Arial"/>
          <w:sz w:val="16"/>
          <w:szCs w:val="16"/>
          <w:color w:val="auto"/>
        </w:rPr>
        <w:t>-driven gene expression in affected skeletal muscle at Week 16 or Week 36. Secondary and exploratory endpoints showed clinically relevant and nominally statistically significant benefits in the losmapimod treated group versus placebo on multiple measures of structural and functional FSHD progression and patient reported outcomes at 48 weeks. As the primary endpoint was not met, all comparative analyses are reported with nominal statistical p-values.</w:t>
      </w:r>
    </w:p>
    <w:p>
      <w:pPr>
        <w:spacing w:after="0" w:line="47" w:lineRule="exact"/>
        <w:rPr>
          <w:sz w:val="20"/>
          <w:szCs w:val="20"/>
          <w:color w:val="auto"/>
        </w:rPr>
      </w:pPr>
    </w:p>
    <w:p>
      <w:pPr>
        <w:ind w:left="1020" w:right="80" w:hanging="503"/>
        <w:spacing w:after="0" w:line="24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Losmapimod-treated participants showed decreased progression in the treatment efficacy composite measure of MFI as measured in intermediate muscles, those most likely to change (p=0.01). Normal appearing muscles appeared to be preserved in the losmapimod group versus placebo based on a post hoc analysis. MFI is a measure of diffuse fatty infiltration in lean muscle tissue that is correlated with disease severity in FSHD.</w:t>
      </w:r>
    </w:p>
    <w:p>
      <w:pPr>
        <w:spacing w:after="0" w:line="79"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Treatment with losmapimod was shown to slow the rate of decline and improve accessible surface area in RWS measures (p&lt;0.05). RWS is a measure of function that assesses upper extremity range of motion. Prior studies have shown that RWS correlates with changes in the ability of patients to independently perform activities of daily living. Based on published results, RWS is an important measure of independence.</w:t>
      </w:r>
    </w:p>
    <w:p>
      <w:pPr>
        <w:ind w:left="1020" w:right="60"/>
        <w:spacing w:after="0" w:line="237" w:lineRule="auto"/>
        <w:rPr>
          <w:rFonts w:ascii="Arial" w:cs="Arial" w:eastAsia="Arial" w:hAnsi="Arial"/>
          <w:sz w:val="16"/>
          <w:szCs w:val="16"/>
          <w:color w:val="auto"/>
        </w:rPr>
      </w:pPr>
      <w:r>
        <w:rPr>
          <w:rFonts w:ascii="Arial" w:cs="Arial" w:eastAsia="Arial" w:hAnsi="Arial"/>
          <w:sz w:val="18"/>
          <w:szCs w:val="18"/>
          <w:color w:val="auto"/>
        </w:rPr>
        <w:t>The disease tends to progress from the upper body down, and loss of shoulder movement leads to loss of mobility. Participants in the losmapimod group showed improvements of up to 1.5 points from baseline in the accessible surface area when using a 500g weight on their wrist compared to placebo. Participants in the placebo group were able to access 2 to 4 points less total surface area (with and without 500g weights) measured by RWS after 48 weeks. The net difference between the groups at 48 weeks was 3.5 to 5 points, which in some patients is the difference between functional independence and dependence.</w:t>
      </w:r>
    </w:p>
    <w:p>
      <w:pPr>
        <w:spacing w:after="0" w:line="82" w:lineRule="exact"/>
        <w:rPr>
          <w:rFonts w:ascii="Arial" w:cs="Arial" w:eastAsia="Arial" w:hAnsi="Arial"/>
          <w:sz w:val="16"/>
          <w:szCs w:val="16"/>
          <w:color w:val="auto"/>
        </w:rPr>
      </w:pPr>
    </w:p>
    <w:p>
      <w:pPr>
        <w:ind w:left="1020" w:right="80" w:hanging="503"/>
        <w:spacing w:after="0" w:line="27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Participants reported feeling better when treated with losmapimod compared to placebo through the PGIC assessment (p=0.02). PGIC, a measure of self-reported change in how a patient feels and functions, showed that participants were able to recognize improvements after 48 weeks of treatment. More participants in the losmapimod group reported improvement at 48 weeks compared to placebo. Four times more losmapimod participants reported improvement over time as compared to participants treated with placebo. Importantly, fewer losmapimod participants reported worsening as compared to placebo, and no losmapimod participants reported being “much worse” as compared to more than 13% of placebo participants, who reported that their disease had become “much worse.”</w:t>
      </w:r>
    </w:p>
    <w:p>
      <w:pPr>
        <w:spacing w:after="0" w:line="40" w:lineRule="exact"/>
        <w:rPr>
          <w:sz w:val="20"/>
          <w:szCs w:val="20"/>
          <w:color w:val="auto"/>
        </w:rPr>
      </w:pPr>
    </w:p>
    <w:p>
      <w:pPr>
        <w:ind w:firstLine="509"/>
        <w:spacing w:after="0" w:line="255" w:lineRule="auto"/>
        <w:rPr>
          <w:sz w:val="20"/>
          <w:szCs w:val="20"/>
          <w:color w:val="auto"/>
        </w:rPr>
      </w:pPr>
      <w:r>
        <w:rPr>
          <w:rFonts w:ascii="Arial" w:cs="Arial" w:eastAsia="Arial" w:hAnsi="Arial"/>
          <w:sz w:val="16"/>
          <w:szCs w:val="16"/>
          <w:color w:val="auto"/>
        </w:rPr>
        <w:t>Additional secondary and exploratory endpoints measuring disease progression and function demonstrated differences between losmapimod and placebo at week 48. In a post hoc analysis, dynamometry, which measures muscle strength, demonstrated that participants in the losmapimod group showed non-statistically significant trends of slower progression, as well as meaningful improvements (12-27%) in the strength of bilateral shoulder abductors and ankle dorsiflexors, two muscle groups particularly affected in FSHD, compared to placebo. Functional scales including RWS and TUG showed improvements in limb function consistent with dynamometry results. Two recently designed scales (FSHD TUG, and FSHD Health Index), did not demonstrate changes from baseline in either group or differences between losmapimod and placebo groups, suggesting that these tests are not sensitive to change over the 48-week time period. Motor function measure also showed no changes in either group or differences between the groups over 48 weeks. There was no difference in muscle fat fraction or lean muscle volume between losmapimod and placebo groups at 48 weeks in intermediate muscles.</w:t>
      </w:r>
    </w:p>
    <w:p>
      <w:pPr>
        <w:spacing w:after="0" w:line="56" w:lineRule="exact"/>
        <w:rPr>
          <w:sz w:val="20"/>
          <w:szCs w:val="20"/>
          <w:color w:val="auto"/>
        </w:rPr>
      </w:pPr>
    </w:p>
    <w:p>
      <w:pPr>
        <w:jc w:val="both"/>
        <w:ind w:right="100" w:firstLine="509"/>
        <w:spacing w:after="0" w:line="231" w:lineRule="auto"/>
        <w:rPr>
          <w:sz w:val="20"/>
          <w:szCs w:val="20"/>
          <w:color w:val="auto"/>
        </w:rPr>
      </w:pPr>
      <w:r>
        <w:rPr>
          <w:rFonts w:ascii="Arial" w:cs="Arial" w:eastAsia="Arial" w:hAnsi="Arial"/>
          <w:sz w:val="18"/>
          <w:szCs w:val="18"/>
          <w:color w:val="auto"/>
        </w:rPr>
        <w:t>Safety and tolerability data were consistent with previously reported results with no drug-related SAEs reported. Losmapimod was generally well-tolerated and the majority of TEAEs were deemed unlikely related or not related to study drug by the investigator. There were three SAEs (post-op wound infection, alcohol poisoning and a suicide attempt) reported in two participants in the losmapimod group, each assessed as unrelated to losmapimod. There were no deaths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right="120"/>
        <w:spacing w:after="0" w:line="246" w:lineRule="auto"/>
        <w:rPr>
          <w:sz w:val="20"/>
          <w:szCs w:val="20"/>
          <w:color w:val="auto"/>
        </w:rPr>
      </w:pPr>
      <w:r>
        <w:rPr>
          <w:rFonts w:ascii="Arial" w:cs="Arial" w:eastAsia="Arial" w:hAnsi="Arial"/>
          <w:sz w:val="18"/>
          <w:szCs w:val="18"/>
          <w:color w:val="auto"/>
        </w:rPr>
        <w:t>discontinuations due to adverse events. Losmapimod has now been evaluated in over 3,600 subjects in clinical trials across multiple indications, including FSHD.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REACH, a Phase 3 Registrational Trial</w:t>
      </w:r>
    </w:p>
    <w:p>
      <w:pPr>
        <w:spacing w:after="0" w:line="90" w:lineRule="exact"/>
        <w:rPr>
          <w:sz w:val="20"/>
          <w:szCs w:val="20"/>
          <w:color w:val="auto"/>
        </w:rPr>
      </w:pPr>
    </w:p>
    <w:p>
      <w:pPr>
        <w:ind w:right="60" w:firstLine="509"/>
        <w:spacing w:after="0" w:line="239" w:lineRule="auto"/>
        <w:rPr>
          <w:sz w:val="20"/>
          <w:szCs w:val="20"/>
          <w:color w:val="auto"/>
        </w:rPr>
      </w:pPr>
      <w:r>
        <w:rPr>
          <w:rFonts w:ascii="Arial" w:cs="Arial" w:eastAsia="Arial" w:hAnsi="Arial"/>
          <w:sz w:val="17"/>
          <w:szCs w:val="17"/>
          <w:color w:val="auto"/>
        </w:rPr>
        <w:t>We plan to initiate REACH, a Phase 3 trial of losmapimod in FSHD, in the second quarter of 2022. Based on data from the ReDUX4 Phase 2b study, we engaged with U.S. and EU regulatory agencies, including the FDA, and gained alignment on key aspects of the design of a Phase 3 trial intended to support a full registration approval. REACH will be a randomized, double-blind, placebo-controlled, multi-national trial to evaluate the efficacy and safety of losmapimod for the treatment of FSHD. The trial is expected to enroll approximately 230 adults with FSHD. Patients will be randomized 1:1 to receive either losmapimod, administered orally as a 15 mg tablet twice a day, or placebo, and evaluated over a 48-week treatment period. The primary endpoint of the study is the absolute change from baseline in RWS. Secondary endpoints include MFI, PGIC, and Neuro QoL UE. The trial will also include patient-centered assessments of healthcare utilization.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ReDUX4 Open Label Extension</w:t>
      </w:r>
    </w:p>
    <w:p>
      <w:pPr>
        <w:spacing w:after="0" w:line="90" w:lineRule="exact"/>
        <w:rPr>
          <w:sz w:val="20"/>
          <w:szCs w:val="20"/>
          <w:color w:val="auto"/>
        </w:rPr>
      </w:pPr>
    </w:p>
    <w:p>
      <w:pPr>
        <w:ind w:right="20" w:firstLine="509"/>
        <w:spacing w:after="0" w:line="228" w:lineRule="auto"/>
        <w:rPr>
          <w:sz w:val="20"/>
          <w:szCs w:val="20"/>
          <w:color w:val="auto"/>
        </w:rPr>
      </w:pPr>
      <w:r>
        <w:rPr>
          <w:rFonts w:ascii="Arial" w:cs="Arial" w:eastAsia="Arial" w:hAnsi="Arial"/>
          <w:sz w:val="18"/>
          <w:szCs w:val="18"/>
          <w:color w:val="auto"/>
        </w:rPr>
        <w:t>In February 2020 we initiated an open label extension of the ReDUX4 trial to enable patients who have completed the 24-week or 48-week treatment period with losmapimod or placebo in ReDUX4 to receive long term treatment with losmapimod. This open label extension includes clinical assessments of safety and efficacy every three months, whole-body musculoskeletal MRI every six months, and a muscle needle biopsy once after six months of treatment. We anticipate that this trial will continue until such time as the drug is approved and available in the commercial setting or the clinical development of losmapimod in FSHD is terminated.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2 Open Label Study Trial</w:t>
      </w:r>
    </w:p>
    <w:p>
      <w:pPr>
        <w:spacing w:after="0" w:line="90"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In parallel with the ReDUX4 Phase 2b clinical trial, we also initiated in August 2019 an open label, single center Phase 2 clinical trial of losmapimod in up to 16 patients with FSHD and clinical severity scores of two to four on the Ricci scale. In the first part of the trial, patients receive tablets containing 15 mg of losmapimod twice per day for up to 52 weeks. The treatment period is preceded by eight weeks of pre-treatment assessments to establish a baseline for musculoskeletal MRI biomarkers and clinical outcome assessments. We also performed an outpatient mobility assessment using wearable sensors. We are conducting the trial at a single center in the Netherlands. After the 52-week treatment period, participants had the option to elect to continue in an extension of the study, which is ongoing.</w:t>
      </w:r>
    </w:p>
    <w:p>
      <w:pPr>
        <w:spacing w:after="0" w:line="67" w:lineRule="exact"/>
        <w:rPr>
          <w:sz w:val="20"/>
          <w:szCs w:val="20"/>
          <w:color w:val="auto"/>
        </w:rPr>
      </w:pPr>
    </w:p>
    <w:p>
      <w:pPr>
        <w:ind w:right="80" w:firstLine="509"/>
        <w:spacing w:after="0" w:line="227" w:lineRule="auto"/>
        <w:rPr>
          <w:sz w:val="20"/>
          <w:szCs w:val="20"/>
          <w:color w:val="auto"/>
        </w:rPr>
      </w:pPr>
      <w:r>
        <w:rPr>
          <w:rFonts w:ascii="Arial" w:cs="Arial" w:eastAsia="Arial" w:hAnsi="Arial"/>
          <w:sz w:val="18"/>
          <w:szCs w:val="18"/>
          <w:color w:val="auto"/>
        </w:rPr>
        <w:t xml:space="preserve">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p38α/ß during the dosing period. This trial is also designed to provide initial data regarding changes in </w:t>
      </w:r>
      <w:r>
        <w:rPr>
          <w:rFonts w:ascii="Arial" w:cs="Arial" w:eastAsia="Arial" w:hAnsi="Arial"/>
          <w:sz w:val="18"/>
          <w:szCs w:val="18"/>
          <w:i w:val="1"/>
          <w:iCs w:val="1"/>
          <w:color w:val="auto"/>
        </w:rPr>
        <w:t>DUX4</w:t>
      </w:r>
      <w:r>
        <w:rPr>
          <w:rFonts w:ascii="Arial" w:cs="Arial" w:eastAsia="Arial" w:hAnsi="Arial"/>
          <w:sz w:val="18"/>
          <w:szCs w:val="18"/>
          <w:color w:val="auto"/>
        </w:rPr>
        <w:t>-driven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67" w:lineRule="exact"/>
        <w:rPr>
          <w:sz w:val="20"/>
          <w:szCs w:val="20"/>
          <w:color w:val="auto"/>
        </w:rPr>
      </w:pPr>
    </w:p>
    <w:p>
      <w:pPr>
        <w:ind w:right="20" w:firstLine="509"/>
        <w:spacing w:after="0" w:line="246" w:lineRule="auto"/>
        <w:rPr>
          <w:sz w:val="20"/>
          <w:szCs w:val="20"/>
          <w:color w:val="auto"/>
        </w:rPr>
      </w:pPr>
      <w:r>
        <w:rPr>
          <w:rFonts w:ascii="Arial" w:cs="Arial" w:eastAsia="Arial" w:hAnsi="Arial"/>
          <w:sz w:val="17"/>
          <w:szCs w:val="17"/>
          <w:color w:val="auto"/>
        </w:rPr>
        <w:t xml:space="preserve">In the 52-week treatment period, we measured </w:t>
      </w:r>
      <w:r>
        <w:rPr>
          <w:rFonts w:ascii="Arial" w:cs="Arial" w:eastAsia="Arial" w:hAnsi="Arial"/>
          <w:sz w:val="17"/>
          <w:szCs w:val="17"/>
          <w:i w:val="1"/>
          <w:iCs w:val="1"/>
          <w:color w:val="auto"/>
        </w:rPr>
        <w:t>DUX4</w:t>
      </w:r>
      <w:r>
        <w:rPr>
          <w:rFonts w:ascii="Arial" w:cs="Arial" w:eastAsia="Arial" w:hAnsi="Arial"/>
          <w:sz w:val="17"/>
          <w:szCs w:val="17"/>
          <w:color w:val="auto"/>
        </w:rPr>
        <w:t>-driven gene expression before and during treatment using muscle needle biopsies in affected muscles. All patients had a pre-treatment biopsy and we will obtain a second muscle needle biopsy from each patient after four or eight weeks of treatment. The original trial design included an additional biopsy during chronic treatment at week 48, but we have removed this assessment from the trial protocol because the open label extension of ReDUX4 includes a biopsy during chronic treatment.</w:t>
      </w:r>
    </w:p>
    <w:p>
      <w:pPr>
        <w:spacing w:after="0" w:line="63"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We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are RWS, FSHD-TUG, muscle strength, motor function ability and generic and FSHD-specific patient reports of quality of life and activities of daily living. Other exploratory assessments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include the six minute walk test, spirometry, and muscle ultrasound. There is also an assessment of day-to-day mobility using wearable sensors.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ReSOLVE Natural History Study</w:t>
      </w:r>
    </w:p>
    <w:p>
      <w:pPr>
        <w:spacing w:after="0" w:line="77" w:lineRule="exact"/>
        <w:rPr>
          <w:sz w:val="20"/>
          <w:szCs w:val="20"/>
          <w:color w:val="auto"/>
        </w:rPr>
      </w:pPr>
    </w:p>
    <w:p>
      <w:pPr>
        <w:ind w:firstLine="509"/>
        <w:spacing w:after="0" w:line="237" w:lineRule="auto"/>
        <w:rPr>
          <w:sz w:val="20"/>
          <w:szCs w:val="20"/>
          <w:color w:val="auto"/>
        </w:rPr>
      </w:pPr>
      <w:r>
        <w:rPr>
          <w:rFonts w:ascii="Arial" w:cs="Arial" w:eastAsia="Arial" w:hAnsi="Arial"/>
          <w:sz w:val="16"/>
          <w:szCs w:val="16"/>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up to 160 subjects for 24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60 subjects for 24 months.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67" w:lineRule="exact"/>
        <w:rPr>
          <w:sz w:val="20"/>
          <w:szCs w:val="20"/>
          <w:color w:val="auto"/>
        </w:rPr>
      </w:pPr>
    </w:p>
    <w:p>
      <w:pPr>
        <w:ind w:firstLine="509"/>
        <w:spacing w:after="0" w:line="212" w:lineRule="auto"/>
        <w:rPr>
          <w:sz w:val="20"/>
          <w:szCs w:val="20"/>
          <w:color w:val="auto"/>
        </w:rPr>
      </w:pPr>
      <w:r>
        <w:rPr>
          <w:rFonts w:ascii="Arial" w:cs="Arial" w:eastAsia="Arial" w:hAnsi="Arial"/>
          <w:sz w:val="18"/>
          <w:szCs w:val="18"/>
          <w:color w:val="auto"/>
        </w:rPr>
        <w:t>In connection with the ReSOLVE study, we have funded the addition of a clinical outcome assessment, which we refer to as RWS. RWS is a measure of function that assesses upper extremity range of motion. Specifically, it evaluates total shoulder and proximal arm mobility by utilizing 3D motion sensor technology. Preserving function, as assessed by RWS, is critical for maintaining abilities for self-care and other activities of daily living that directly influence quality of life. Based on published results, RWS is an important measure of independence. The RWS assessments are analyzed by a central reader. We have provided standardized hardware, software, and testing conditions to evaluate RWS at eight sites that are part of the ReSOLVE study in the United States and at three European sites. Furthermore, the RWS assessment has been registered as a medical device in the United States, Canada and Europe.</w:t>
      </w:r>
    </w:p>
    <w:p>
      <w:pPr>
        <w:spacing w:after="0" w:line="165" w:lineRule="exact"/>
        <w:rPr>
          <w:sz w:val="20"/>
          <w:szCs w:val="20"/>
          <w:color w:val="auto"/>
        </w:rPr>
      </w:pPr>
    </w:p>
    <w:p>
      <w:pPr>
        <w:ind w:right="80" w:firstLine="509"/>
        <w:spacing w:after="0" w:line="219" w:lineRule="auto"/>
        <w:rPr>
          <w:sz w:val="20"/>
          <w:szCs w:val="20"/>
          <w:color w:val="auto"/>
        </w:rPr>
      </w:pPr>
      <w:r>
        <w:rPr>
          <w:rFonts w:ascii="Arial" w:cs="Arial" w:eastAsia="Arial" w:hAnsi="Arial"/>
          <w:sz w:val="18"/>
          <w:szCs w:val="18"/>
          <w:color w:val="auto"/>
        </w:rPr>
        <w:t>A recent third-party study assessed changes in RWS for 18 subjects with FSHD for up to five years. As illustrated in the figure below, the study concluded that the RWS measure is able to detect slow declines in upper extremity function in subjects with FSHD as early as 1 year. The study also found that the most notable declines in RWS were in above-the-shoulder level quadrants with no significant changes in lower quadrants and that RWS declined more significantly if the subjects wore 500-gram weights on their wrists.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120650</wp:posOffset>
            </wp:positionV>
            <wp:extent cx="2511425" cy="216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14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 figure above illustrates RWS in four quadrants. The optimized RWS includes an additional domain for the lower back, as illustrated in the figure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2411095</wp:posOffset>
            </wp:positionH>
            <wp:positionV relativeFrom="page">
              <wp:posOffset>286385</wp:posOffset>
            </wp:positionV>
            <wp:extent cx="2691765" cy="1842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69176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1</w:t>
      </w:r>
    </w:p>
    <w:p>
      <w:pPr>
        <w:spacing w:after="0" w:line="77" w:lineRule="exact"/>
        <w:rPr>
          <w:sz w:val="20"/>
          <w:szCs w:val="20"/>
          <w:color w:val="auto"/>
        </w:rPr>
      </w:pPr>
    </w:p>
    <w:p>
      <w:pPr>
        <w:ind w:firstLine="509"/>
        <w:spacing w:after="0" w:line="219" w:lineRule="auto"/>
        <w:rPr>
          <w:sz w:val="20"/>
          <w:szCs w:val="20"/>
          <w:color w:val="auto"/>
        </w:rPr>
      </w:pPr>
      <w:r>
        <w:rPr>
          <w:rFonts w:ascii="Arial" w:cs="Arial" w:eastAsia="Arial" w:hAnsi="Arial"/>
          <w:sz w:val="18"/>
          <w:szCs w:val="18"/>
          <w:color w:val="auto"/>
        </w:rPr>
        <w:t>We conducted a randomized Phase 1 clinical trial of losmapimod in healthy adult volunteers and patients with FSHD in Europe under a CTA that we filed in December 2018. The primary objective of the trial was to investigate the safety and tolerability of losmapimod in healthy volunteers and in FSHD patients. The secondary objective was to evaluate repeated dose PK, and target engagement in FSHD patients in blood and muscle. This trial completed dosing in September 2019 and we presented unblinded data in March 2020.</w:t>
      </w:r>
    </w:p>
    <w:p>
      <w:pPr>
        <w:spacing w:after="0" w:line="1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 the first cohort, 10 healthy volunteers were randomized to a single oral dose of 7.5 mg of losmapimod (n=8) followed by a single oral dose of 15 mg after a wash out period or to single oral dose placebo (n=2) in both dosing periods. In the second cohort, 15 FSHD patients were randomized and treated with placebo (n=3) or 7.5 mg of losmapimod (n=6) or 15 mg of losmapimod (n=6) taken orally twice daily for 14 days. The third cohort was open label with five FSHD patients treated with 15 mg of losmapimod twice daily for 14 days. Biopsies of normal appearing (second cohort) and actively involved (STIR+) muscle (third cohort) were performed at baseline and during treatment.</w:t>
      </w:r>
    </w:p>
    <w:p>
      <w:pPr>
        <w:spacing w:after="0" w:line="17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 xml:space="preserve">Losmapimod was well tolerated with no serious adverse events reported. Similar tolerability, safety and PK were observed in healthy volunteers and patients with FSHD. Treatment with losmapimod demonstrated dose-dependent PK and target engagement in blood. FSHD patients treated with losmapimod also achieved dose-dependent concentrations in skeletal muscle, with a muscle to plasma exposure ratio of approximately 1:1. Evidence of dose-dependent target engagement was also observed in skeletal muscle. The losmapimod 15 mg dose taken orally twice daily demonstrated sustained drug concentrations that in preclinical models with human FSHD myotubes resulted in a robust reduction of </w:t>
      </w:r>
      <w:r>
        <w:rPr>
          <w:rFonts w:ascii="Arial" w:cs="Arial" w:eastAsia="Arial" w:hAnsi="Arial"/>
          <w:sz w:val="18"/>
          <w:szCs w:val="18"/>
          <w:i w:val="1"/>
          <w:iCs w:val="1"/>
          <w:color w:val="auto"/>
        </w:rPr>
        <w:t>DUX4</w:t>
      </w:r>
      <w:r>
        <w:rPr>
          <w:rFonts w:ascii="Arial" w:cs="Arial" w:eastAsia="Arial" w:hAnsi="Arial"/>
          <w:sz w:val="18"/>
          <w:szCs w:val="18"/>
          <w:color w:val="auto"/>
        </w:rPr>
        <w:t>-driven gene expression. These data support the selection of the 15 mg dose of losmapimod taken orally twice daily in our ongoing Phase 2b placebo-controlled clinical trial and Phase 2 open label clinical trial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147320</wp:posOffset>
            </wp:positionV>
            <wp:extent cx="1757045" cy="1697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57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We manufactured the losmapimod capsules for this trial prior to our license agreement with GSK. For our ongoing Phase 2 clinical trials, we are using losmapimod tablets that were manufactured by GSK. We confirmed that the PK of the losmapimod capsules were consistent with published data on the PK of the losmapimod tablets manufactured by GSK. We also confirmed that the p38α/ß target engagement in blood from our losmapimod capsules is consistent with the previous data on target engagement of the losmapimod tablets manufactured by GSK.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Prior Clinical Development of Losmapimod by GSK</w:t>
      </w:r>
    </w:p>
    <w:p>
      <w:pPr>
        <w:spacing w:after="0" w:line="10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are using a dose of 15 mg twice per day in our clinical trials of losmapimod in FSHD. GSK did not conduct a clinical trial of losmapimod in patients with FSHD or any other muscle disorder.</w:t>
      </w:r>
    </w:p>
    <w:p>
      <w:pPr>
        <w:spacing w:after="0" w:line="66"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54" w:lineRule="exact"/>
        <w:rPr>
          <w:sz w:val="20"/>
          <w:szCs w:val="20"/>
          <w:color w:val="auto"/>
        </w:rPr>
      </w:pPr>
    </w:p>
    <w:p>
      <w:pPr>
        <w:ind w:right="540" w:firstLine="509"/>
        <w:spacing w:after="0" w:line="243" w:lineRule="auto"/>
        <w:rPr>
          <w:sz w:val="20"/>
          <w:szCs w:val="20"/>
          <w:color w:val="auto"/>
        </w:rPr>
      </w:pPr>
      <w:r>
        <w:rPr>
          <w:rFonts w:ascii="Arial" w:cs="Arial" w:eastAsia="Arial" w:hAnsi="Arial"/>
          <w:sz w:val="18"/>
          <w:szCs w:val="18"/>
          <w:color w:val="auto"/>
        </w:rPr>
        <w:t>The largest placebo-controlled clinical trial of losmapimod conducted by GSK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and SAEs in the placebo group as compared to the losmapimod group.</w:t>
      </w:r>
    </w:p>
    <w:p>
      <w:pPr>
        <w:spacing w:after="0" w:line="80"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There were also ten SAEs of fatality in the placebo group and 13 SAEs of fatality in the losmapimod group. In the placebo group, the SAEs of fatality were infections and infestations (two), general disorders and administrative site conditions (two), respiratory, thoracic and mediastinal disorders (three), cardiac disorder (one), gastrointestinal disorder (one) and neoplasm (one). In the losmapimod group, the SAEs of fatatity were infections and infestations (four), general disorders and administrative site conditions (three), respiratory, thoracic and mediastinal disorders (two), cardiac disorder (one), injury poisoning and procedural complications (one), gastrointestinal disorder (one) and neoplasm (one).</w:t>
      </w:r>
    </w:p>
    <w:p>
      <w:pPr>
        <w:spacing w:after="0" w:line="6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Among the total of 14 Phase 1 and Phase2 placebo-controlled clinical trials of losmapimod (N=1327 on losmapimod; N=735 on placebo), the distribution of SAEs was similar among losmapimod-treated and placebo-treated subjects. The most common SAEs were cardiac disorders (2% placebo; 3% losmapimod) and respiratory, thoracic and mediastinal disorders (1% placebo; 2% losmapimod). SAEs were reported in 11 of these 14 trials; 3 trials reported no SAEs.</w:t>
      </w:r>
    </w:p>
    <w:p>
      <w:pPr>
        <w:spacing w:after="0" w:line="80"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In prior studies, GSK observed that the p38α/ß target inhibition in humans was approximately 10%, 30% and 50% at trough and 40%, 60% and 70% at peak following twice per day doses of 2.5 mg, 7.5 mg and 15 mg, respectively. In addition, based 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from our studies in FSHD myotubes with losmapimod, we believe that the muscle exposures that we have achieved in rodents, which are similar to concentrations in human blood from the 15 mg twice per day dose, will result in robust p38α/ß target engagement and will reduce </w:t>
      </w:r>
      <w:r>
        <w:rPr>
          <w:rFonts w:ascii="Arial" w:cs="Arial" w:eastAsia="Arial" w:hAnsi="Arial"/>
          <w:sz w:val="18"/>
          <w:szCs w:val="18"/>
          <w:i w:val="1"/>
          <w:iCs w:val="1"/>
          <w:color w:val="auto"/>
        </w:rPr>
        <w:t>DUX4</w:t>
      </w:r>
      <w:r>
        <w:rPr>
          <w:rFonts w:ascii="Arial" w:cs="Arial" w:eastAsia="Arial" w:hAnsi="Arial"/>
          <w:sz w:val="18"/>
          <w:szCs w:val="18"/>
          <w:color w:val="auto"/>
        </w:rPr>
        <w:t>-driven gene expression in FSHD skeletal muscle by more than 50%. We believe that this data supports our determination that 15 mg of losmapimod twice per day is an appropriate dose for the treatment of patients with FSHD.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Hemoglobinopathies - FTX-6058</w:t>
      </w:r>
    </w:p>
    <w:p>
      <w:pPr>
        <w:spacing w:after="0" w:line="77" w:lineRule="exact"/>
        <w:rPr>
          <w:sz w:val="20"/>
          <w:szCs w:val="20"/>
          <w:color w:val="auto"/>
        </w:rPr>
      </w:pPr>
    </w:p>
    <w:p>
      <w:pPr>
        <w:ind w:right="320" w:firstLine="509"/>
        <w:spacing w:after="0" w:line="228" w:lineRule="auto"/>
        <w:rPr>
          <w:sz w:val="20"/>
          <w:szCs w:val="20"/>
          <w:color w:val="auto"/>
        </w:rPr>
      </w:pPr>
      <w:r>
        <w:rPr>
          <w:rFonts w:ascii="Arial" w:cs="Arial" w:eastAsia="Arial" w:hAnsi="Arial"/>
          <w:sz w:val="17"/>
          <w:szCs w:val="17"/>
          <w:color w:val="auto"/>
        </w:rPr>
        <w:t>Hemoglobinopathies are a category of genetic disorders affecting hemoglobin, a critical component of RBCs. The function of hemoglobin is to delivery oxygen to tissues: hemoglobin picks up oxygen as RBCs circulate through the lungs and then drops off oxygen to the tissues so that they may function normally. Hemoglobinopathies result in either abnormal (mutant) hemoglobin or low levels of hemoglobin, and both of these conditions are associated with significant morbidity and mortality risks. We are developing FTX-6058, which is designed elevate the level of HbF for the treatment of patients with SCD and select other hemoglobinopathies, including ß-thalassemia.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Sickle Cell Disease</w:t>
      </w:r>
    </w:p>
    <w:p>
      <w:pPr>
        <w:spacing w:after="0" w:line="90"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Sickle cell disease is a genetic disorder of RBCs. The root cause of SCD is a mutant hemoglobin that polymerizes in low oxygen conditions. This polymerization creates the abnormal, elongated, or sickle, shape of the RBC and results in, ultimately, hemolysis and vascular injury that causes major morbidities and significantly limits lifespan in people with SCD.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9" w:name="page20"/>
    <w:bookmarkEnd w:id="19"/>
    <w:p>
      <w:pPr>
        <w:jc w:val="both"/>
        <w:ind w:right="140"/>
        <w:spacing w:after="0" w:line="262" w:lineRule="auto"/>
        <w:rPr>
          <w:sz w:val="20"/>
          <w:szCs w:val="20"/>
          <w:color w:val="auto"/>
        </w:rPr>
      </w:pPr>
      <w:r>
        <w:rPr>
          <w:rFonts w:ascii="Arial" w:cs="Arial" w:eastAsia="Arial" w:hAnsi="Arial"/>
          <w:sz w:val="17"/>
          <w:szCs w:val="17"/>
          <w:color w:val="auto"/>
        </w:rPr>
        <w:t>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6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the United States, where newborn screening for SCD is mandatory, the estimated prevalence is approximately 100,000 individuals. In Europe, the estimated prevalence is approximately 134,000 individuals according to the EMA. According to the World Health Organization, the global incidence is estimated to be approximately 300,000 births annually. SCD is most prevalent in Africa and the Middle East.</w:t>
      </w:r>
    </w:p>
    <w:p>
      <w:pPr>
        <w:spacing w:after="0" w:line="83" w:lineRule="exact"/>
        <w:rPr>
          <w:sz w:val="20"/>
          <w:szCs w:val="20"/>
          <w:color w:val="auto"/>
        </w:rPr>
      </w:pPr>
    </w:p>
    <w:p>
      <w:pPr>
        <w:ind w:right="320" w:firstLine="509"/>
        <w:spacing w:after="0" w:line="275" w:lineRule="auto"/>
        <w:rPr>
          <w:sz w:val="20"/>
          <w:szCs w:val="20"/>
          <w:color w:val="auto"/>
        </w:rPr>
      </w:pPr>
      <w:r>
        <w:rPr>
          <w:rFonts w:ascii="Arial" w:cs="Arial" w:eastAsia="Arial" w:hAnsi="Arial"/>
          <w:sz w:val="16"/>
          <w:szCs w:val="16"/>
          <w:color w:val="auto"/>
        </w:rPr>
        <w:t>Approved drug treatments for SCD focus primarily on the management and reduction of pain episodes, vaso-occlusive crises, and inhibition of hemoglobin S polymerization. The four drug treatments approved in the United States are hydroxyurea, voxelotor, crizanlizumab, and L-glutamine. 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Voxelotor, marketed by Global Blood Therapeutics, is approved under accelerated approval as a hemoglobin polymerization inhibitor. This approach maintains or increases the total amount of HbS, the mutant hemoglobin in SCD, by holding on to oxygen longer. Crizanlizumab, a P-selectin inhibitor marketed by Novartis AG, or Novartis, is approved for the reduction in the frequency of vaso-occlusive crises.</w:t>
      </w:r>
    </w:p>
    <w:p>
      <w:pPr>
        <w:spacing w:after="0" w:line="55"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66"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While multiple experimental approaches to treat SCD are being explored in clinical trials, the majority are focused on symptomatic relief or as last-line gene therapy approaches. Symptomatic approaches under investigation aim to affect issues associated with cell adhesion, sickling, thrombosis and iron homeostasis. We anticipate that a novel oral HbF inducer that affects the root cause of SCD by inhibiting the pathological polymerization caused by the mutant hemoglobin may become the standard of care for SCD. Novartis and Global Blood Therapeutics, Inc. have received approval for therapies aiming to provide relief for specific elements of SCD (low hemoglobin and VOCs respectively). Several gene therapy approaches to treat SCD are focused on elevating HbF,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HbF.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SCD Biology</w:t>
      </w:r>
    </w:p>
    <w:p>
      <w:pPr>
        <w:spacing w:after="0" w:line="104"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 xml:space="preserve">SCD is caused by a mutation in the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This gene encodes a protein that is a key component of hemoglobin, a protein complex whose function is to transport oxygen in the body. Hemoglobin in adults is a complex of four proteins, two hemoglobin ß-subunits and two hemoglobin α-subunits. In patients with SCD, hemoglobin is composed of two mutant ß-subunits and two α-subunits and the result is the formation of HbS.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51"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 xml:space="preserve">During fetal development, the major form of hemoglobin is HbF. Similar to hemoglobin in adults, HbF is also a complex of four proteins, two α-subunits and two γ-subunits. Shortly after birth, the genes encoding the γ-subunits, the </w:t>
      </w:r>
      <w:r>
        <w:rPr>
          <w:rFonts w:ascii="Arial" w:cs="Arial" w:eastAsia="Arial" w:hAnsi="Arial"/>
          <w:sz w:val="18"/>
          <w:szCs w:val="18"/>
          <w:i w:val="1"/>
          <w:iCs w:val="1"/>
          <w:color w:val="auto"/>
        </w:rPr>
        <w:t>HBG1</w:t>
      </w:r>
      <w:r>
        <w:rPr>
          <w:rFonts w:ascii="Arial" w:cs="Arial" w:eastAsia="Arial" w:hAnsi="Arial"/>
          <w:sz w:val="18"/>
          <w:szCs w:val="18"/>
          <w:color w:val="auto"/>
        </w:rPr>
        <w:t xml:space="preserve"> and </w:t>
      </w:r>
      <w:r>
        <w:rPr>
          <w:rFonts w:ascii="Arial" w:cs="Arial" w:eastAsia="Arial" w:hAnsi="Arial"/>
          <w:sz w:val="18"/>
          <w:szCs w:val="18"/>
          <w:i w:val="1"/>
          <w:iCs w:val="1"/>
          <w:color w:val="auto"/>
        </w:rPr>
        <w:t>HBG2</w:t>
      </w:r>
      <w:r>
        <w:rPr>
          <w:rFonts w:ascii="Arial" w:cs="Arial" w:eastAsia="Arial" w:hAnsi="Arial"/>
          <w:sz w:val="18"/>
          <w:szCs w:val="18"/>
          <w:color w:val="auto"/>
        </w:rPr>
        <w:t xml:space="preserve"> genes, are silenced and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is activated. As described above, SCD is caused by a mutation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that gives rise to mutated ß-subunits.</w:t>
      </w:r>
    </w:p>
    <w:p>
      <w:pPr>
        <w:spacing w:after="0" w:line="7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 small subset of individuals with the sickle cell mutation continue to produce high levels of HbF due to inheritance of additional genetic mutations, which is called Hereditary Persistence of HbF, or HPFH. Patients with elevated HbF exhibit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ind w:right="400"/>
        <w:spacing w:after="0" w:line="261" w:lineRule="auto"/>
        <w:rPr>
          <w:sz w:val="20"/>
          <w:szCs w:val="20"/>
          <w:color w:val="auto"/>
        </w:rPr>
      </w:pPr>
      <w:r>
        <w:rPr>
          <w:rFonts w:ascii="Arial" w:cs="Arial" w:eastAsia="Arial" w:hAnsi="Arial"/>
          <w:sz w:val="18"/>
          <w:szCs w:val="18"/>
          <w:color w:val="auto"/>
        </w:rPr>
        <w:t>minimal clinical manifestations of SCD. HbF levels as low as 3% over baseline in patients without HPFH, due to either therapeutic intervention or the inheritance of other genetic traits, can result in reduced clinical manifestations of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134620</wp:posOffset>
            </wp:positionV>
            <wp:extent cx="5760720" cy="255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to Address the Root Cause of SCD</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Our strategy to address the root cause of SCD was to identify a drug mechanism that induces expression of HbF. We believe that FTX-6058 may address the root cause of SCD through this mechanism of 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Overview of </w:t>
      </w:r>
      <w:r>
        <w:rPr>
          <w:rFonts w:ascii="Arial" w:cs="Arial" w:eastAsia="Arial" w:hAnsi="Arial"/>
          <w:sz w:val="18"/>
          <w:szCs w:val="18"/>
          <w:color w:val="auto"/>
        </w:rPr>
        <w:t>ß</w:t>
      </w:r>
      <w:r>
        <w:rPr>
          <w:rFonts w:ascii="Arial" w:cs="Arial" w:eastAsia="Arial" w:hAnsi="Arial"/>
          <w:sz w:val="18"/>
          <w:szCs w:val="18"/>
          <w:i w:val="1"/>
          <w:iCs w:val="1"/>
          <w:color w:val="auto"/>
        </w:rPr>
        <w:t>-Thalassemia</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6"/>
          <w:szCs w:val="16"/>
          <w:color w:val="auto"/>
        </w:rPr>
        <w:t xml:space="preserve">ß-thalassemia is a rare blood disorder associated with the absence or reduced production of ß-globin, which is one of the two proteins that comprise adult hemoglobin. This results in an abnormally low level of hemoglobin as well as an excess of α-globin chains that cause destruction of RBCs. The severity of the phenotype is related to the degree of imbalance between α- and non-α-globin chain synthesis. The absence of ß-globin due to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deletions is referred to as ß</w:t>
      </w:r>
      <w:r>
        <w:rPr>
          <w:rFonts w:ascii="Arial" w:cs="Arial" w:eastAsia="Arial" w:hAnsi="Arial"/>
          <w:sz w:val="21"/>
          <w:szCs w:val="21"/>
          <w:color w:val="auto"/>
          <w:vertAlign w:val="superscript"/>
        </w:rPr>
        <w:t>0</w:t>
      </w:r>
      <w:r>
        <w:rPr>
          <w:rFonts w:ascii="Arial" w:cs="Arial" w:eastAsia="Arial" w:hAnsi="Arial"/>
          <w:sz w:val="16"/>
          <w:szCs w:val="16"/>
          <w:color w:val="auto"/>
        </w:rPr>
        <w:t xml:space="preserve"> thalassemia. Other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alterations allow some ß-globin to be produced but in reduced amounts. A reduced amount of ß-globin is called ß</w:t>
      </w:r>
      <w:r>
        <w:rPr>
          <w:rFonts w:ascii="Arial" w:cs="Arial" w:eastAsia="Arial" w:hAnsi="Arial"/>
          <w:sz w:val="21"/>
          <w:szCs w:val="21"/>
          <w:color w:val="auto"/>
          <w:vertAlign w:val="superscript"/>
        </w:rPr>
        <w:t>+</w:t>
      </w:r>
      <w:r>
        <w:rPr>
          <w:rFonts w:ascii="Arial" w:cs="Arial" w:eastAsia="Arial" w:hAnsi="Arial"/>
          <w:sz w:val="16"/>
          <w:szCs w:val="16"/>
          <w:color w:val="auto"/>
        </w:rPr>
        <w:t>thalassemia. Many patients with ß-thalassemia require chronic blood transfusions due to severe anemia that results from low hemoglobin levels, which are referred to as transfusion-dependent patients. It is estimated that 40,000 babies are born worldwide with ß-thalassemia per year of whom 25,000 require blood transfusions. Patients with ß-thalassemia are primarily treated by hematologists.</w:t>
      </w:r>
    </w:p>
    <w:p>
      <w:pPr>
        <w:spacing w:after="0" w:line="76" w:lineRule="exact"/>
        <w:rPr>
          <w:sz w:val="20"/>
          <w:szCs w:val="20"/>
          <w:color w:val="auto"/>
        </w:rPr>
      </w:pPr>
    </w:p>
    <w:p>
      <w:pPr>
        <w:ind w:firstLine="509"/>
        <w:spacing w:after="0" w:line="242" w:lineRule="auto"/>
        <w:rPr>
          <w:sz w:val="20"/>
          <w:szCs w:val="20"/>
          <w:color w:val="auto"/>
        </w:rPr>
      </w:pPr>
      <w:r>
        <w:rPr>
          <w:rFonts w:ascii="Arial" w:cs="Arial" w:eastAsia="Arial" w:hAnsi="Arial"/>
          <w:sz w:val="17"/>
          <w:szCs w:val="17"/>
          <w:color w:val="auto"/>
        </w:rPr>
        <w:t>ß-thalassemia has been clinically characterized into three forms, depending on disease severity: major, intermedia and minor. The most severe form, ß-thalassemia major (also known as Cooley’s anemia), is generally diagnosed shortly after birth and patients have life-threatening anemia. Pediatric patients do not grow and gain weight at the typical rates, and often have liver, heart and bone problems. Many ß-thalassemia major patients require frequent blood transfusions to prevent severe anemia, a treatment that itself can cause long-term problems due to a build-up of iron in the body. ß-thalassemia intermedia is a less severe form of the disease that results in mild to moderate anemia. These patients sometimes require blood transfusions depending on the severity of the symptoms. Patients with ß-thalassemia minor suffer from very mild anemia and generally do not require treatment. Having either ß</w:t>
      </w:r>
      <w:r>
        <w:rPr>
          <w:rFonts w:ascii="Arial" w:cs="Arial" w:eastAsia="Arial" w:hAnsi="Arial"/>
          <w:sz w:val="23"/>
          <w:szCs w:val="23"/>
          <w:color w:val="auto"/>
          <w:vertAlign w:val="superscript"/>
        </w:rPr>
        <w:t>0</w:t>
      </w:r>
      <w:r>
        <w:rPr>
          <w:rFonts w:ascii="Arial" w:cs="Arial" w:eastAsia="Arial" w:hAnsi="Arial"/>
          <w:sz w:val="17"/>
          <w:szCs w:val="17"/>
          <w:color w:val="auto"/>
        </w:rPr>
        <w:t xml:space="preserve"> or ß</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thalassemia does not necessarily predict clinical disease severity as people with both types have been diagnosed with thalassemia major and thalassemia intermedia. Any increase in HbF has the potential to ameliorate the disease.</w:t>
      </w:r>
    </w:p>
    <w:p>
      <w:pPr>
        <w:spacing w:after="0" w:line="82"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The current standard of care for many patients with ß-thalassemia is frequent blood transfusions to manage anemia. The only potentially curative therapy for ß-thalassemia is allogeneic hematopoietic stem cell transplant, which is associated with risks of complications, including mortality, and is limited to patients with a suitable donor. The European Commission granted conditional marketing authorization for ZYNTEGLO, a gene therapy developed by bluebird bio, Inc., or bluebird, for the treatment of adult and adolescent patients with transfusion-dependent ß-thalassemia and with certain genotypes, in Europe in June 2019. bluebird has initiated a rolling biologics license application, or BLA, submission for betibeglogene autotemcel in the United States. The FDA accepted the BLA for betibeglogene autotemcel for priority review in November 2021, with a PDUFA goal date of May 20, 2022. Acceleron in collaboration with Celgene Corp., or Celgene, received FDA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1" w:name="page22"/>
    <w:bookmarkEnd w:id="21"/>
    <w:p>
      <w:pPr>
        <w:ind w:right="240"/>
        <w:spacing w:after="0" w:line="284" w:lineRule="auto"/>
        <w:rPr>
          <w:sz w:val="20"/>
          <w:szCs w:val="20"/>
          <w:color w:val="auto"/>
        </w:rPr>
      </w:pPr>
      <w:r>
        <w:rPr>
          <w:rFonts w:ascii="Arial" w:cs="Arial" w:eastAsia="Arial" w:hAnsi="Arial"/>
          <w:sz w:val="16"/>
          <w:szCs w:val="16"/>
          <w:color w:val="auto"/>
        </w:rPr>
        <w:t>and EMA approval for luspatercept, an erythroid maturation agent for the treatment of adult patients with anemia associated with ß-thalassemia and who require frequent transfusions. There are also multiple other experimental approaches to treat ß-thalassemia being explored in clinical trials, including approaches that use small molecule, gene therapy and gene editing approaches. Despite ongoing efforts to develop new therapies for ß-thalassemia, we believe there is still a high unmet need that could be addressed by a small molecule, oral therapy to treatment the disease by increasing HbF.</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Biology of ß-Thalassemia</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 xml:space="preserve">ß-thalassemia is caused by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The mutations interfere with the production of ß-globin. Some mutations result in no ß-globin being produced, while other mutations result in a decreased amount of ß-globin being produced.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to Address the Root Cause of ß-Thalassemia</w:t>
      </w:r>
    </w:p>
    <w:p>
      <w:pPr>
        <w:spacing w:after="0" w:line="104"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We believe that some types of ß-thalassemia may be treated by a therapy that upregulates HbF. Babies born with ß-thalassemia major generally do not have any symptoms shortly after birth because they have HbF in their blood. As the HbF levels decrease after birth and the ß-globin fails to increase, anemia appears and the babies with ß-thalassemia begin to exhibit symptoms of the disease. Patients with ß-thalassemia intermedia that have higher levels of HbFhave fewer symptoms than patients with low levels of HbF. We believe that FTX-6058 may be suitable for clinical development for the treatment of patients who are not ß</w:t>
      </w:r>
      <w:r>
        <w:rPr>
          <w:rFonts w:ascii="Arial" w:cs="Arial" w:eastAsia="Arial" w:hAnsi="Arial"/>
          <w:sz w:val="24"/>
          <w:szCs w:val="24"/>
          <w:color w:val="auto"/>
          <w:vertAlign w:val="superscript"/>
        </w:rPr>
        <w:t>0</w:t>
      </w:r>
      <w:r>
        <w:rPr>
          <w:rFonts w:ascii="Arial" w:cs="Arial" w:eastAsia="Arial" w:hAnsi="Arial"/>
          <w:sz w:val="18"/>
          <w:szCs w:val="18"/>
          <w:color w:val="auto"/>
        </w:rPr>
        <w:t xml:space="preserve"> but who are transfusion dependent.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FulcrumSeek Identified the Drug Target for SCD and ß-Thalassemia</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 xml:space="preserve">Applying FulcrumSeek, we conducted target identification and validation activities using human umbilical cord blood-derived erythroid progenitor 2, or HUDEP2, cells as a model to study HbF reactivation. HUDEP2 cells are immature RBCs. By screening our small molecule probe library and a CRISPR library, we identified several potential drug targets that activated the </w:t>
      </w:r>
      <w:r>
        <w:rPr>
          <w:rFonts w:ascii="Arial" w:cs="Arial" w:eastAsia="Arial" w:hAnsi="Arial"/>
          <w:sz w:val="17"/>
          <w:szCs w:val="17"/>
          <w:i w:val="1"/>
          <w:iCs w:val="1"/>
          <w:color w:val="auto"/>
        </w:rPr>
        <w:t>HBG1/2</w:t>
      </w:r>
      <w:r>
        <w:rPr>
          <w:rFonts w:ascii="Arial" w:cs="Arial" w:eastAsia="Arial" w:hAnsi="Arial"/>
          <w:sz w:val="17"/>
          <w:szCs w:val="17"/>
          <w:color w:val="auto"/>
        </w:rPr>
        <w:t xml:space="preserve"> genes and resulted in HbF elevation. Each screening approach identified the same protein complex which we believe plays an important role in the expression of genes responsible for the production of HbF. We conducted additional validation experiments in which we observed that inhibition of several components of this complex resulted in the desired elevation of HbF. We also observed that inhibition of these components did not adversely affect important cell health markers.</w:t>
      </w:r>
    </w:p>
    <w:p>
      <w:pPr>
        <w:spacing w:after="0" w:line="67"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target engagement assays, as well as enabled X-ray crystallography, to discover and develop FTX-6058, a novel small molecule inhibitor of the HbF drug target.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FTX-6058</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FTX -6058 is an oral HbF inducer that is in development for SCD and select other hemoglobinopathies, including ß-thalassemia. FTX-6058 is designed to bind to EED and inhibit the transcriptional silencing activity of the PRC2. By doing so, preclinical studies have shown that FTX-6058 downregulates key HbF repressors, including BCL11A and MYB, and upregulates HbF. We initiated our Phase 1b clinical trial of FTX-6058 in people with SCD in the fourth quarter of 2021. Additionally, we submitted an IND in the fourth quarter of 2021 for FTX-6058 in other select hemoglobinopathies, including ß-thalassemia, and expect to initiate a Phase 1b study in the second quarter of 2022. In February 2022, the FDA granted orphan drug designation to FTX-6058 for the treatment of SCD.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1 FTX-6058</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the fourth quarter of 2020, we initiated a Phase 1 clinical trial of FTX-6058 in healthy adult volunteers. The Phase 1 randomized, double-blind, placebo-controlled trial was designed to evaluate the safety, tolerability, and PK of ascending doses of FTX-6058. In the SAD cohorts, healthy volunteers received one dose of either placebo or 2, 4, 10, 20, 30, 40 or 60mg of FTX-6058. In the MAD cohorts, healthy volunteers received a once-daily dose of placebo or 2, 6, 10, 20 or 30mg of FTX-6058 for 14 consecutive days. Each MAD cohort had six subjects on drug and two on placebo. Food effect was also studied in a separate 20mg dose cohort. Exploratory measures were included in the MAD cohorts to assess target engagement, changes in HBG mRNA and HbF-containing reticulocytes (F-reticulocytes). A 6mg dose cohort in people with SCD was later added to this trial to further inform PK and PD modeling for future dose selection. All other cohorts in the trial have been completed.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jc w:val="both"/>
        <w:ind w:right="180" w:firstLine="509"/>
        <w:spacing w:after="0" w:line="248" w:lineRule="auto"/>
        <w:rPr>
          <w:sz w:val="20"/>
          <w:szCs w:val="20"/>
          <w:color w:val="auto"/>
        </w:rPr>
      </w:pPr>
      <w:r>
        <w:rPr>
          <w:rFonts w:ascii="Arial" w:cs="Arial" w:eastAsia="Arial" w:hAnsi="Arial"/>
          <w:sz w:val="18"/>
          <w:szCs w:val="18"/>
          <w:color w:val="auto"/>
        </w:rPr>
        <w:t>We reported data from the 2, 4, 10, 20, 30 and 40mg SAD cohorts and the 2, 6 and 10 mg MAD cohorts in healthy volunteers in August 2021, and we reported data from the 60 mg SAD cohort and the 20 and 30 mg MAD cohorts in healthy volunteers, as well as data from the 20 mg cohort assessing food effect in December 2021.</w:t>
      </w:r>
    </w:p>
    <w:p>
      <w:pPr>
        <w:spacing w:after="0" w:line="7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 xml:space="preserve">FTX-6058 was generally well-tolerated with no SAEs reported and no discontinuations due to TEAEs across all SAD and MAD cohorts. Data continued to show dose-proportional PK, with a mean half-life of approximately 6-7 hours in the MAD cohorts, supporting once-daily dosing, and no food effect was observed with FTX-6058. Data from the MAD cohorts continued to show robust target engagement, as evidenced by an approximately 75-95% reduction from baseline in H3K27me3 after 14 days of treatment. Based on our preclinical studies, this level of target engagement is predicted to result in robust induction of </w:t>
      </w:r>
      <w:r>
        <w:rPr>
          <w:rFonts w:ascii="Arial" w:cs="Arial" w:eastAsia="Arial" w:hAnsi="Arial"/>
          <w:sz w:val="17"/>
          <w:szCs w:val="17"/>
          <w:i w:val="1"/>
          <w:iCs w:val="1"/>
          <w:color w:val="auto"/>
        </w:rPr>
        <w:t>HBG1/2</w:t>
      </w:r>
      <w:r>
        <w:rPr>
          <w:rFonts w:ascii="Arial" w:cs="Arial" w:eastAsia="Arial" w:hAnsi="Arial"/>
          <w:sz w:val="17"/>
          <w:szCs w:val="17"/>
          <w:color w:val="auto"/>
        </w:rPr>
        <w:t xml:space="preserve"> and subsequently increase HbF production.</w:t>
      </w:r>
    </w:p>
    <w:p>
      <w:pPr>
        <w:spacing w:after="0" w:line="66"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Data from the MAD cohorts also showed time- and dose-dependent HBG mRNA induction, as shown in the chart below, demonstrating proof-of-biology. Persistent HBG mRNA induction was observed for 7-10 days after treatment. In preclinical studies of FTX-6058, increases in HBG mRNA have consistently translated to the same fold increases in HbF protein. Notably, human genetics show that 2-3-fold increases in HbF are associated with significantly improved outcomes, and even functional cures, in people with SCD. FTX-6058 has now demonstrated greater than a mean 2-fold induction starting with the 6mg dose.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HBG mRNA Mean Fold Induction for FTX-6058 versus Placebo</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760" w:type="dxa"/>
            <w:vAlign w:val="bottom"/>
            <w:tcBorders>
              <w:right w:val="single" w:sz="8" w:color="auto"/>
            </w:tcBorders>
          </w:tcPr>
          <w:p>
            <w:pPr>
              <w:spacing w:after="0"/>
              <w:rPr>
                <w:sz w:val="22"/>
                <w:szCs w:val="22"/>
                <w:color w:val="auto"/>
              </w:rPr>
            </w:pPr>
          </w:p>
        </w:tc>
        <w:tc>
          <w:tcPr>
            <w:tcW w:w="108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6"/>
                <w:szCs w:val="16"/>
                <w:color w:val="auto"/>
              </w:rPr>
              <w:t>2mg*</w:t>
            </w:r>
          </w:p>
        </w:tc>
        <w:tc>
          <w:tcPr>
            <w:tcW w:w="700" w:type="dxa"/>
            <w:vAlign w:val="bottom"/>
            <w:tcBorders>
              <w:top w:val="single" w:sz="8" w:color="auto"/>
              <w:bottom w:val="single" w:sz="8" w:color="auto"/>
              <w:right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2"/>
          </w:tcPr>
          <w:p>
            <w:pPr>
              <w:ind w:left="820"/>
              <w:spacing w:after="0"/>
              <w:rPr>
                <w:sz w:val="20"/>
                <w:szCs w:val="20"/>
                <w:color w:val="auto"/>
              </w:rPr>
            </w:pPr>
            <w:r>
              <w:rPr>
                <w:rFonts w:ascii="Arial" w:cs="Arial" w:eastAsia="Arial" w:hAnsi="Arial"/>
                <w:sz w:val="16"/>
                <w:szCs w:val="16"/>
                <w:color w:val="auto"/>
              </w:rPr>
              <w:t>6mg*</w:t>
            </w:r>
          </w:p>
        </w:tc>
        <w:tc>
          <w:tcPr>
            <w:tcW w:w="800" w:type="dxa"/>
            <w:vAlign w:val="bottom"/>
            <w:tcBorders>
              <w:top w:val="single" w:sz="8" w:color="auto"/>
              <w:bottom w:val="single" w:sz="8" w:color="auto"/>
              <w:right w:val="single" w:sz="8" w:color="auto"/>
            </w:tcBorders>
          </w:tcPr>
          <w:p>
            <w:pPr>
              <w:spacing w:after="0"/>
              <w:rPr>
                <w:sz w:val="22"/>
                <w:szCs w:val="22"/>
                <w:color w:val="auto"/>
              </w:rPr>
            </w:pPr>
          </w:p>
        </w:tc>
        <w:tc>
          <w:tcPr>
            <w:tcW w:w="1880" w:type="dxa"/>
            <w:vAlign w:val="bottom"/>
            <w:tcBorders>
              <w:top w:val="single" w:sz="8" w:color="auto"/>
              <w:bottom w:val="single" w:sz="8" w:color="auto"/>
              <w:right w:val="single" w:sz="8" w:color="auto"/>
            </w:tcBorders>
            <w:gridSpan w:val="2"/>
          </w:tcPr>
          <w:p>
            <w:pPr>
              <w:ind w:left="700"/>
              <w:spacing w:after="0"/>
              <w:rPr>
                <w:sz w:val="20"/>
                <w:szCs w:val="20"/>
                <w:color w:val="auto"/>
              </w:rPr>
            </w:pPr>
            <w:r>
              <w:rPr>
                <w:rFonts w:ascii="Arial" w:cs="Arial" w:eastAsia="Arial" w:hAnsi="Arial"/>
                <w:sz w:val="16"/>
                <w:szCs w:val="16"/>
                <w:color w:val="auto"/>
              </w:rPr>
              <w:t>10mg*</w:t>
            </w:r>
          </w:p>
        </w:tc>
        <w:tc>
          <w:tcPr>
            <w:tcW w:w="120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6"/>
                <w:szCs w:val="16"/>
                <w:color w:val="auto"/>
                <w:w w:val="94"/>
              </w:rPr>
              <w:t>20 mg</w:t>
            </w:r>
          </w:p>
        </w:tc>
        <w:tc>
          <w:tcPr>
            <w:tcW w:w="760" w:type="dxa"/>
            <w:vAlign w:val="bottom"/>
            <w:tcBorders>
              <w:top w:val="single" w:sz="8" w:color="auto"/>
              <w:bottom w:val="single" w:sz="8" w:color="auto"/>
              <w:right w:val="single" w:sz="8" w:color="auto"/>
            </w:tcBorders>
          </w:tcPr>
          <w:p>
            <w:pPr>
              <w:spacing w:after="0"/>
              <w:rPr>
                <w:sz w:val="22"/>
                <w:szCs w:val="22"/>
                <w:color w:val="auto"/>
              </w:rPr>
            </w:pPr>
          </w:p>
        </w:tc>
        <w:tc>
          <w:tcPr>
            <w:tcW w:w="110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6"/>
                <w:szCs w:val="16"/>
                <w:color w:val="auto"/>
                <w:w w:val="89"/>
              </w:rPr>
              <w:t>30mg</w:t>
            </w:r>
          </w:p>
        </w:tc>
        <w:tc>
          <w:tcPr>
            <w:tcW w:w="760" w:type="dxa"/>
            <w:vAlign w:val="bottom"/>
            <w:tcBorders>
              <w:top w:val="single" w:sz="8" w:color="auto"/>
              <w:bottom w:val="single" w:sz="8" w:color="auto"/>
              <w:right w:val="single" w:sz="8" w:color="auto"/>
            </w:tcBorders>
          </w:tcPr>
          <w:p>
            <w:pPr>
              <w:spacing w:after="0"/>
              <w:rPr>
                <w:sz w:val="22"/>
                <w:szCs w:val="22"/>
                <w:color w:val="auto"/>
              </w:rPr>
            </w:pPr>
          </w:p>
        </w:tc>
      </w:tr>
      <w:tr>
        <w:trPr>
          <w:trHeight w:val="136"/>
        </w:trPr>
        <w:tc>
          <w:tcPr>
            <w:tcW w:w="1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ind w:left="100"/>
              <w:spacing w:after="0" w:line="136" w:lineRule="exact"/>
              <w:rPr>
                <w:sz w:val="20"/>
                <w:szCs w:val="20"/>
                <w:color w:val="auto"/>
              </w:rPr>
            </w:pPr>
            <w:r>
              <w:rPr>
                <w:rFonts w:ascii="Arial" w:cs="Arial" w:eastAsia="Arial" w:hAnsi="Arial"/>
                <w:sz w:val="15"/>
                <w:szCs w:val="15"/>
                <w:color w:val="auto"/>
              </w:rPr>
              <w:t>Mean Fold</w:t>
            </w:r>
          </w:p>
        </w:tc>
        <w:tc>
          <w:tcPr>
            <w:tcW w:w="120" w:type="dxa"/>
            <w:vAlign w:val="bottom"/>
          </w:tcPr>
          <w:p>
            <w:pPr>
              <w:spacing w:after="0"/>
              <w:rPr>
                <w:sz w:val="11"/>
                <w:szCs w:val="11"/>
                <w:color w:val="auto"/>
              </w:rPr>
            </w:pPr>
          </w:p>
        </w:tc>
        <w:tc>
          <w:tcPr>
            <w:tcW w:w="700" w:type="dxa"/>
            <w:vAlign w:val="bottom"/>
            <w:tcBorders>
              <w:right w:val="single" w:sz="8" w:color="auto"/>
            </w:tcBorders>
          </w:tcPr>
          <w:p>
            <w:pPr>
              <w:jc w:val="center"/>
              <w:ind w:right="60"/>
              <w:spacing w:after="0" w:line="136" w:lineRule="exact"/>
              <w:rPr>
                <w:sz w:val="20"/>
                <w:szCs w:val="20"/>
                <w:color w:val="auto"/>
              </w:rPr>
            </w:pPr>
            <w:r>
              <w:rPr>
                <w:rFonts w:ascii="Arial" w:cs="Arial" w:eastAsia="Arial" w:hAnsi="Arial"/>
                <w:sz w:val="15"/>
                <w:szCs w:val="15"/>
                <w:color w:val="auto"/>
                <w:w w:val="94"/>
              </w:rPr>
              <w:t>P-value</w:t>
            </w:r>
          </w:p>
        </w:tc>
        <w:tc>
          <w:tcPr>
            <w:tcW w:w="10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60" w:type="dxa"/>
            <w:vAlign w:val="bottom"/>
          </w:tcPr>
          <w:p>
            <w:pPr>
              <w:spacing w:after="0"/>
              <w:rPr>
                <w:sz w:val="11"/>
                <w:szCs w:val="11"/>
                <w:color w:val="auto"/>
              </w:rPr>
            </w:pPr>
          </w:p>
        </w:tc>
        <w:tc>
          <w:tcPr>
            <w:tcW w:w="800" w:type="dxa"/>
            <w:vAlign w:val="bottom"/>
            <w:tcBorders>
              <w:right w:val="single" w:sz="8" w:color="auto"/>
            </w:tcBorders>
          </w:tcPr>
          <w:p>
            <w:pPr>
              <w:ind w:left="60"/>
              <w:spacing w:after="0" w:line="136" w:lineRule="exact"/>
              <w:rPr>
                <w:sz w:val="20"/>
                <w:szCs w:val="20"/>
                <w:color w:val="auto"/>
              </w:rPr>
            </w:pPr>
            <w:r>
              <w:rPr>
                <w:rFonts w:ascii="Arial" w:cs="Arial" w:eastAsia="Arial" w:hAnsi="Arial"/>
                <w:sz w:val="15"/>
                <w:szCs w:val="15"/>
                <w:color w:val="auto"/>
              </w:rPr>
              <w:t>P-value</w:t>
            </w:r>
          </w:p>
        </w:tc>
        <w:tc>
          <w:tcPr>
            <w:tcW w:w="9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rPr>
              <w:t>Mean Fold</w:t>
            </w:r>
          </w:p>
        </w:tc>
        <w:tc>
          <w:tcPr>
            <w:tcW w:w="900" w:type="dxa"/>
            <w:vAlign w:val="bottom"/>
            <w:tcBorders>
              <w:right w:val="single" w:sz="8" w:color="auto"/>
            </w:tcBorders>
          </w:tcPr>
          <w:p>
            <w:pPr>
              <w:ind w:left="200"/>
              <w:spacing w:after="0" w:line="136" w:lineRule="exact"/>
              <w:rPr>
                <w:sz w:val="20"/>
                <w:szCs w:val="20"/>
                <w:color w:val="auto"/>
              </w:rPr>
            </w:pPr>
            <w:r>
              <w:rPr>
                <w:rFonts w:ascii="Arial" w:cs="Arial" w:eastAsia="Arial" w:hAnsi="Arial"/>
                <w:sz w:val="15"/>
                <w:szCs w:val="15"/>
                <w:color w:val="auto"/>
              </w:rPr>
              <w:t>P-value</w:t>
            </w:r>
          </w:p>
        </w:tc>
        <w:tc>
          <w:tcPr>
            <w:tcW w:w="10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60" w:type="dxa"/>
            <w:vAlign w:val="bottom"/>
          </w:tcPr>
          <w:p>
            <w:pPr>
              <w:spacing w:after="0"/>
              <w:rPr>
                <w:sz w:val="11"/>
                <w:szCs w:val="11"/>
                <w:color w:val="auto"/>
              </w:rPr>
            </w:pPr>
          </w:p>
        </w:tc>
        <w:tc>
          <w:tcPr>
            <w:tcW w:w="7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5"/>
                <w:szCs w:val="15"/>
                <w:color w:val="auto"/>
              </w:rPr>
              <w:t>P-value</w:t>
            </w:r>
          </w:p>
        </w:tc>
        <w:tc>
          <w:tcPr>
            <w:tcW w:w="9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40" w:type="dxa"/>
            <w:vAlign w:val="bottom"/>
          </w:tcPr>
          <w:p>
            <w:pPr>
              <w:spacing w:after="0"/>
              <w:rPr>
                <w:sz w:val="11"/>
                <w:szCs w:val="11"/>
                <w:color w:val="auto"/>
              </w:rPr>
            </w:pPr>
          </w:p>
        </w:tc>
        <w:tc>
          <w:tcPr>
            <w:tcW w:w="76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5"/>
                <w:szCs w:val="15"/>
                <w:color w:val="auto"/>
              </w:rPr>
              <w:t>P-value</w:t>
            </w:r>
          </w:p>
        </w:tc>
      </w:tr>
      <w:tr>
        <w:trPr>
          <w:trHeight w:val="196"/>
        </w:trPr>
        <w:tc>
          <w:tcPr>
            <w:tcW w:w="17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9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5"/>
              </w:rPr>
              <w:t>Induction</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r>
      <w:tr>
        <w:trPr>
          <w:trHeight w:val="193"/>
        </w:trPr>
        <w:tc>
          <w:tcPr>
            <w:tcW w:w="17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Day 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1.28</w:t>
            </w:r>
          </w:p>
        </w:tc>
        <w:tc>
          <w:tcPr>
            <w:tcW w:w="120" w:type="dxa"/>
            <w:vAlign w:val="bottom"/>
          </w:tcPr>
          <w:p>
            <w:pPr>
              <w:spacing w:after="0"/>
              <w:rPr>
                <w:sz w:val="16"/>
                <w:szCs w:val="16"/>
                <w:color w:val="auto"/>
              </w:rPr>
            </w:pPr>
          </w:p>
        </w:tc>
        <w:tc>
          <w:tcPr>
            <w:tcW w:w="700" w:type="dxa"/>
            <w:vAlign w:val="bottom"/>
            <w:tcBorders>
              <w:right w:val="single" w:sz="8" w:color="auto"/>
            </w:tcBorders>
          </w:tcPr>
          <w:p>
            <w:pPr>
              <w:jc w:val="center"/>
              <w:ind w:right="60"/>
              <w:spacing w:after="0"/>
              <w:rPr>
                <w:sz w:val="20"/>
                <w:szCs w:val="20"/>
                <w:color w:val="auto"/>
              </w:rPr>
            </w:pPr>
            <w:r>
              <w:rPr>
                <w:rFonts w:ascii="Arial" w:cs="Arial" w:eastAsia="Arial" w:hAnsi="Arial"/>
                <w:sz w:val="16"/>
                <w:szCs w:val="16"/>
                <w:color w:val="auto"/>
                <w:w w:val="89"/>
              </w:rPr>
              <w:t>0.3494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1.94</w:t>
            </w:r>
          </w:p>
        </w:tc>
        <w:tc>
          <w:tcPr>
            <w:tcW w:w="160" w:type="dxa"/>
            <w:vAlign w:val="bottom"/>
          </w:tcPr>
          <w:p>
            <w:pPr>
              <w:spacing w:after="0"/>
              <w:rPr>
                <w:sz w:val="16"/>
                <w:szCs w:val="16"/>
                <w:color w:val="auto"/>
              </w:rPr>
            </w:pPr>
          </w:p>
        </w:tc>
        <w:tc>
          <w:tcPr>
            <w:tcW w:w="80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3"/>
              </w:rPr>
              <w:t>0.0135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0.0063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2.06</w:t>
            </w:r>
          </w:p>
        </w:tc>
        <w:tc>
          <w:tcPr>
            <w:tcW w:w="160" w:type="dxa"/>
            <w:vAlign w:val="bottom"/>
          </w:tcPr>
          <w:p>
            <w:pPr>
              <w:spacing w:after="0"/>
              <w:rPr>
                <w:sz w:val="16"/>
                <w:szCs w:val="16"/>
                <w:color w:val="auto"/>
              </w:rPr>
            </w:pPr>
          </w:p>
        </w:tc>
        <w:tc>
          <w:tcPr>
            <w:tcW w:w="76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0.0072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2.29</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0.0025</w:t>
            </w:r>
          </w:p>
        </w:tc>
      </w:tr>
      <w:tr>
        <w:trPr>
          <w:trHeight w:val="23"/>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00"/>
        </w:trPr>
        <w:tc>
          <w:tcPr>
            <w:tcW w:w="176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Day 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1.20</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center"/>
              <w:ind w:right="60"/>
              <w:spacing w:after="0"/>
              <w:rPr>
                <w:sz w:val="20"/>
                <w:szCs w:val="20"/>
                <w:color w:val="auto"/>
              </w:rPr>
            </w:pPr>
            <w:r>
              <w:rPr>
                <w:rFonts w:ascii="Arial" w:cs="Arial" w:eastAsia="Arial" w:hAnsi="Arial"/>
                <w:sz w:val="16"/>
                <w:szCs w:val="16"/>
                <w:color w:val="auto"/>
                <w:w w:val="89"/>
              </w:rPr>
              <w:t>0.5122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2.45</w:t>
            </w:r>
          </w:p>
        </w:tc>
        <w:tc>
          <w:tcPr>
            <w:tcW w:w="160" w:type="dxa"/>
            <w:vAlign w:val="bottom"/>
          </w:tcPr>
          <w:p>
            <w:pPr>
              <w:spacing w:after="0"/>
              <w:rPr>
                <w:sz w:val="17"/>
                <w:szCs w:val="17"/>
                <w:color w:val="auto"/>
              </w:rPr>
            </w:pPr>
          </w:p>
        </w:tc>
        <w:tc>
          <w:tcPr>
            <w:tcW w:w="80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3"/>
              </w:rPr>
              <w:t>0.0025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3.54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&lt;0.0001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5.63</w:t>
            </w:r>
          </w:p>
        </w:tc>
        <w:tc>
          <w:tcPr>
            <w:tcW w:w="160" w:type="dxa"/>
            <w:vAlign w:val="bottom"/>
          </w:tcPr>
          <w:p>
            <w:pPr>
              <w:spacing w:after="0"/>
              <w:rPr>
                <w:sz w:val="17"/>
                <w:szCs w:val="17"/>
                <w:color w:val="auto"/>
              </w:rPr>
            </w:pPr>
          </w:p>
        </w:tc>
        <w:tc>
          <w:tcPr>
            <w:tcW w:w="76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2"/>
              </w:rPr>
              <w:t>&lt;0.0001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6.15</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center"/>
              <w:ind w:right="100"/>
              <w:spacing w:after="0"/>
              <w:rPr>
                <w:sz w:val="20"/>
                <w:szCs w:val="20"/>
                <w:color w:val="auto"/>
              </w:rPr>
            </w:pPr>
            <w:r>
              <w:rPr>
                <w:rFonts w:ascii="Arial" w:cs="Arial" w:eastAsia="Arial" w:hAnsi="Arial"/>
                <w:sz w:val="16"/>
                <w:szCs w:val="16"/>
                <w:color w:val="auto"/>
                <w:w w:val="92"/>
              </w:rPr>
              <w:t>&lt;0.0001</w:t>
            </w:r>
          </w:p>
        </w:tc>
      </w:tr>
      <w:tr>
        <w:trPr>
          <w:trHeight w:val="37"/>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146"/>
        </w:trPr>
        <w:tc>
          <w:tcPr>
            <w:tcW w:w="1760" w:type="dxa"/>
            <w:vAlign w:val="bottom"/>
            <w:tcBorders>
              <w:left w:val="single" w:sz="8" w:color="auto"/>
              <w:right w:val="single" w:sz="8" w:color="auto"/>
            </w:tcBorders>
          </w:tcPr>
          <w:p>
            <w:pPr>
              <w:jc w:val="right"/>
              <w:ind w:right="39"/>
              <w:spacing w:after="0" w:line="146" w:lineRule="exact"/>
              <w:rPr>
                <w:sz w:val="20"/>
                <w:szCs w:val="20"/>
                <w:color w:val="auto"/>
              </w:rPr>
            </w:pPr>
            <w:r>
              <w:rPr>
                <w:rFonts w:ascii="Arial" w:cs="Arial" w:eastAsia="Arial" w:hAnsi="Arial"/>
                <w:sz w:val="16"/>
                <w:szCs w:val="16"/>
                <w:color w:val="auto"/>
              </w:rPr>
              <w:t>Safety Follow-up (Day</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1.21</w:t>
            </w:r>
          </w:p>
        </w:tc>
        <w:tc>
          <w:tcPr>
            <w:tcW w:w="120" w:type="dxa"/>
            <w:vAlign w:val="bottom"/>
          </w:tcPr>
          <w:p>
            <w:pPr>
              <w:spacing w:after="0"/>
              <w:rPr>
                <w:sz w:val="12"/>
                <w:szCs w:val="12"/>
                <w:color w:val="auto"/>
              </w:rPr>
            </w:pPr>
          </w:p>
        </w:tc>
        <w:tc>
          <w:tcPr>
            <w:tcW w:w="700" w:type="dxa"/>
            <w:vAlign w:val="bottom"/>
            <w:tcBorders>
              <w:right w:val="single" w:sz="8" w:color="auto"/>
            </w:tcBorders>
          </w:tcPr>
          <w:p>
            <w:pPr>
              <w:jc w:val="center"/>
              <w:ind w:right="60"/>
              <w:spacing w:after="0" w:line="146" w:lineRule="exact"/>
              <w:rPr>
                <w:sz w:val="20"/>
                <w:szCs w:val="20"/>
                <w:color w:val="auto"/>
              </w:rPr>
            </w:pPr>
            <w:r>
              <w:rPr>
                <w:rFonts w:ascii="Arial" w:cs="Arial" w:eastAsia="Arial" w:hAnsi="Arial"/>
                <w:sz w:val="16"/>
                <w:szCs w:val="16"/>
                <w:color w:val="auto"/>
                <w:w w:val="89"/>
              </w:rPr>
              <w:t>0.3736</w:t>
            </w:r>
          </w:p>
        </w:tc>
        <w:tc>
          <w:tcPr>
            <w:tcW w:w="10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2.75</w:t>
            </w:r>
          </w:p>
        </w:tc>
        <w:tc>
          <w:tcPr>
            <w:tcW w:w="160" w:type="dxa"/>
            <w:vAlign w:val="bottom"/>
          </w:tcPr>
          <w:p>
            <w:pPr>
              <w:spacing w:after="0"/>
              <w:rPr>
                <w:sz w:val="12"/>
                <w:szCs w:val="12"/>
                <w:color w:val="auto"/>
              </w:rPr>
            </w:pPr>
          </w:p>
        </w:tc>
        <w:tc>
          <w:tcPr>
            <w:tcW w:w="800" w:type="dxa"/>
            <w:vAlign w:val="bottom"/>
            <w:tcBorders>
              <w:right w:val="single" w:sz="8" w:color="auto"/>
            </w:tcBorders>
          </w:tcPr>
          <w:p>
            <w:pPr>
              <w:jc w:val="center"/>
              <w:ind w:right="100"/>
              <w:spacing w:after="0" w:line="146" w:lineRule="exact"/>
              <w:rPr>
                <w:sz w:val="20"/>
                <w:szCs w:val="20"/>
                <w:color w:val="auto"/>
              </w:rPr>
            </w:pPr>
            <w:r>
              <w:rPr>
                <w:rFonts w:ascii="Arial" w:cs="Arial" w:eastAsia="Arial" w:hAnsi="Arial"/>
                <w:sz w:val="16"/>
                <w:szCs w:val="16"/>
                <w:color w:val="auto"/>
                <w:w w:val="92"/>
              </w:rPr>
              <w:t>&lt;0.0001</w:t>
            </w:r>
          </w:p>
        </w:tc>
        <w:tc>
          <w:tcPr>
            <w:tcW w:w="98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3.22</w:t>
            </w:r>
          </w:p>
        </w:tc>
        <w:tc>
          <w:tcPr>
            <w:tcW w:w="9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&lt;0.0001</w:t>
            </w:r>
          </w:p>
        </w:tc>
        <w:tc>
          <w:tcPr>
            <w:tcW w:w="10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6.45</w:t>
            </w:r>
          </w:p>
        </w:tc>
        <w:tc>
          <w:tcPr>
            <w:tcW w:w="160" w:type="dxa"/>
            <w:vAlign w:val="bottom"/>
          </w:tcPr>
          <w:p>
            <w:pPr>
              <w:spacing w:after="0"/>
              <w:rPr>
                <w:sz w:val="12"/>
                <w:szCs w:val="12"/>
                <w:color w:val="auto"/>
              </w:rPr>
            </w:pPr>
          </w:p>
        </w:tc>
        <w:tc>
          <w:tcPr>
            <w:tcW w:w="760" w:type="dxa"/>
            <w:vAlign w:val="bottom"/>
            <w:tcBorders>
              <w:right w:val="single" w:sz="8" w:color="auto"/>
            </w:tcBorders>
          </w:tcPr>
          <w:p>
            <w:pPr>
              <w:jc w:val="center"/>
              <w:ind w:right="100"/>
              <w:spacing w:after="0" w:line="146" w:lineRule="exact"/>
              <w:rPr>
                <w:sz w:val="20"/>
                <w:szCs w:val="20"/>
                <w:color w:val="auto"/>
              </w:rPr>
            </w:pPr>
            <w:r>
              <w:rPr>
                <w:rFonts w:ascii="Arial" w:cs="Arial" w:eastAsia="Arial" w:hAnsi="Arial"/>
                <w:sz w:val="16"/>
                <w:szCs w:val="16"/>
                <w:color w:val="auto"/>
                <w:w w:val="92"/>
              </w:rPr>
              <w:t>&lt;0.0001</w:t>
            </w:r>
          </w:p>
        </w:tc>
        <w:tc>
          <w:tcPr>
            <w:tcW w:w="9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6"/>
                <w:szCs w:val="16"/>
                <w:color w:val="auto"/>
                <w:w w:val="89"/>
              </w:rPr>
              <w:t>6.13</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center"/>
              <w:ind w:right="100"/>
              <w:spacing w:after="0" w:line="146" w:lineRule="exact"/>
              <w:rPr>
                <w:sz w:val="20"/>
                <w:szCs w:val="20"/>
                <w:color w:val="auto"/>
              </w:rPr>
            </w:pPr>
            <w:r>
              <w:rPr>
                <w:rFonts w:ascii="Arial" w:cs="Arial" w:eastAsia="Arial" w:hAnsi="Arial"/>
                <w:sz w:val="16"/>
                <w:szCs w:val="16"/>
                <w:color w:val="auto"/>
                <w:w w:val="92"/>
              </w:rPr>
              <w:t>&lt;0.0001</w:t>
            </w:r>
          </w:p>
        </w:tc>
      </w:tr>
      <w:tr>
        <w:trPr>
          <w:trHeight w:val="199"/>
        </w:trPr>
        <w:tc>
          <w:tcPr>
            <w:tcW w:w="17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9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As shown in the chart below, F-reticulocytes also increased as of the safety follow up visit, which was seven to 10 days after conclusion of dosing. Notably, increases in F-reticulocytes of any magnitude are a first indicator that HBG mRNA is translating to HbF protein production but fold changes in F-reticulocytes are not correlated with fold changes in HbF.</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F-Reticulocyte Mean Fold Increase for FTX-6058 versus Placebo</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140" w:type="dxa"/>
            <w:vAlign w:val="bottom"/>
            <w:tcBorders>
              <w:right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6"/>
                <w:szCs w:val="16"/>
                <w:color w:val="auto"/>
                <w:w w:val="96"/>
              </w:rPr>
              <w:t>2mg*</w:t>
            </w:r>
          </w:p>
        </w:tc>
        <w:tc>
          <w:tcPr>
            <w:tcW w:w="640" w:type="dxa"/>
            <w:vAlign w:val="bottom"/>
            <w:tcBorders>
              <w:top w:val="single" w:sz="8" w:color="auto"/>
              <w:bottom w:val="single" w:sz="8" w:color="auto"/>
              <w:right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2"/>
          </w:tcPr>
          <w:p>
            <w:pPr>
              <w:ind w:left="820"/>
              <w:spacing w:after="0"/>
              <w:rPr>
                <w:sz w:val="20"/>
                <w:szCs w:val="20"/>
                <w:color w:val="auto"/>
              </w:rPr>
            </w:pPr>
            <w:r>
              <w:rPr>
                <w:rFonts w:ascii="Arial" w:cs="Arial" w:eastAsia="Arial" w:hAnsi="Arial"/>
                <w:sz w:val="16"/>
                <w:szCs w:val="16"/>
                <w:color w:val="auto"/>
              </w:rPr>
              <w:t>6mg*</w:t>
            </w:r>
          </w:p>
        </w:tc>
        <w:tc>
          <w:tcPr>
            <w:tcW w:w="800" w:type="dxa"/>
            <w:vAlign w:val="bottom"/>
            <w:tcBorders>
              <w:top w:val="single" w:sz="8" w:color="auto"/>
              <w:bottom w:val="single" w:sz="8" w:color="auto"/>
              <w:right w:val="single" w:sz="8" w:color="auto"/>
            </w:tcBorders>
          </w:tcPr>
          <w:p>
            <w:pPr>
              <w:spacing w:after="0"/>
              <w:rPr>
                <w:sz w:val="22"/>
                <w:szCs w:val="22"/>
                <w:color w:val="auto"/>
              </w:rPr>
            </w:pPr>
          </w:p>
        </w:tc>
        <w:tc>
          <w:tcPr>
            <w:tcW w:w="1860" w:type="dxa"/>
            <w:vAlign w:val="bottom"/>
            <w:tcBorders>
              <w:top w:val="single" w:sz="8" w:color="auto"/>
              <w:bottom w:val="single" w:sz="8" w:color="auto"/>
              <w:right w:val="single" w:sz="8" w:color="auto"/>
            </w:tcBorders>
            <w:gridSpan w:val="2"/>
          </w:tcPr>
          <w:p>
            <w:pPr>
              <w:ind w:left="700"/>
              <w:spacing w:after="0"/>
              <w:rPr>
                <w:sz w:val="20"/>
                <w:szCs w:val="20"/>
                <w:color w:val="auto"/>
              </w:rPr>
            </w:pPr>
            <w:r>
              <w:rPr>
                <w:rFonts w:ascii="Arial" w:cs="Arial" w:eastAsia="Arial" w:hAnsi="Arial"/>
                <w:sz w:val="16"/>
                <w:szCs w:val="16"/>
                <w:color w:val="auto"/>
              </w:rPr>
              <w:t>10mg*</w:t>
            </w:r>
          </w:p>
        </w:tc>
        <w:tc>
          <w:tcPr>
            <w:tcW w:w="176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Arial" w:cs="Arial" w:eastAsia="Arial" w:hAnsi="Arial"/>
                <w:sz w:val="16"/>
                <w:szCs w:val="16"/>
                <w:color w:val="auto"/>
              </w:rPr>
              <w:t>20 mg</w:t>
            </w:r>
          </w:p>
        </w:tc>
        <w:tc>
          <w:tcPr>
            <w:tcW w:w="11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6"/>
                <w:szCs w:val="16"/>
                <w:color w:val="auto"/>
                <w:w w:val="94"/>
              </w:rPr>
              <w:t>30mg</w:t>
            </w:r>
          </w:p>
        </w:tc>
        <w:tc>
          <w:tcPr>
            <w:tcW w:w="740" w:type="dxa"/>
            <w:vAlign w:val="bottom"/>
            <w:tcBorders>
              <w:top w:val="single" w:sz="8" w:color="auto"/>
              <w:bottom w:val="single" w:sz="8" w:color="auto"/>
              <w:right w:val="single" w:sz="8" w:color="auto"/>
            </w:tcBorders>
          </w:tcPr>
          <w:p>
            <w:pPr>
              <w:spacing w:after="0"/>
              <w:rPr>
                <w:sz w:val="22"/>
                <w:szCs w:val="22"/>
                <w:color w:val="auto"/>
              </w:rPr>
            </w:pPr>
          </w:p>
        </w:tc>
      </w:tr>
      <w:tr>
        <w:trPr>
          <w:trHeight w:val="135"/>
        </w:trPr>
        <w:tc>
          <w:tcPr>
            <w:tcW w:w="2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120" w:type="dxa"/>
            <w:vAlign w:val="bottom"/>
          </w:tcPr>
          <w:p>
            <w:pPr>
              <w:spacing w:after="0"/>
              <w:rPr>
                <w:sz w:val="11"/>
                <w:szCs w:val="11"/>
                <w:color w:val="auto"/>
              </w:rPr>
            </w:pPr>
          </w:p>
        </w:tc>
        <w:tc>
          <w:tcPr>
            <w:tcW w:w="640" w:type="dxa"/>
            <w:vAlign w:val="bottom"/>
            <w:tcBorders>
              <w:right w:val="single" w:sz="8" w:color="auto"/>
            </w:tcBorders>
          </w:tcPr>
          <w:p>
            <w:pPr>
              <w:jc w:val="center"/>
              <w:ind w:right="60"/>
              <w:spacing w:after="0" w:line="136" w:lineRule="exact"/>
              <w:rPr>
                <w:sz w:val="20"/>
                <w:szCs w:val="20"/>
                <w:color w:val="auto"/>
              </w:rPr>
            </w:pPr>
            <w:r>
              <w:rPr>
                <w:rFonts w:ascii="Arial" w:cs="Arial" w:eastAsia="Arial" w:hAnsi="Arial"/>
                <w:sz w:val="15"/>
                <w:szCs w:val="15"/>
                <w:color w:val="auto"/>
                <w:w w:val="98"/>
              </w:rPr>
              <w:t>P-value</w:t>
            </w:r>
          </w:p>
        </w:tc>
        <w:tc>
          <w:tcPr>
            <w:tcW w:w="10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rPr>
              <w:t>Mean Fold</w:t>
            </w:r>
          </w:p>
        </w:tc>
        <w:tc>
          <w:tcPr>
            <w:tcW w:w="180" w:type="dxa"/>
            <w:vAlign w:val="bottom"/>
          </w:tcPr>
          <w:p>
            <w:pPr>
              <w:spacing w:after="0"/>
              <w:rPr>
                <w:sz w:val="11"/>
                <w:szCs w:val="11"/>
                <w:color w:val="auto"/>
              </w:rPr>
            </w:pPr>
          </w:p>
        </w:tc>
        <w:tc>
          <w:tcPr>
            <w:tcW w:w="800" w:type="dxa"/>
            <w:vAlign w:val="bottom"/>
            <w:tcBorders>
              <w:right w:val="single" w:sz="8" w:color="auto"/>
            </w:tcBorders>
          </w:tcPr>
          <w:p>
            <w:pPr>
              <w:jc w:val="center"/>
              <w:ind w:right="100"/>
              <w:spacing w:after="0" w:line="136" w:lineRule="exact"/>
              <w:rPr>
                <w:sz w:val="20"/>
                <w:szCs w:val="20"/>
                <w:color w:val="auto"/>
              </w:rPr>
            </w:pPr>
            <w:r>
              <w:rPr>
                <w:rFonts w:ascii="Arial" w:cs="Arial" w:eastAsia="Arial" w:hAnsi="Arial"/>
                <w:sz w:val="15"/>
                <w:szCs w:val="15"/>
                <w:color w:val="auto"/>
                <w:w w:val="98"/>
              </w:rPr>
              <w:t>P-value</w:t>
            </w:r>
          </w:p>
        </w:tc>
        <w:tc>
          <w:tcPr>
            <w:tcW w:w="8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98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5"/>
                <w:szCs w:val="15"/>
                <w:color w:val="auto"/>
              </w:rPr>
              <w:t>P-value</w:t>
            </w:r>
          </w:p>
        </w:tc>
        <w:tc>
          <w:tcPr>
            <w:tcW w:w="8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Mean Fold</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w w:val="98"/>
              </w:rPr>
              <w:t>P-value</w:t>
            </w:r>
          </w:p>
        </w:tc>
        <w:tc>
          <w:tcPr>
            <w:tcW w:w="10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5"/>
                <w:szCs w:val="15"/>
                <w:color w:val="auto"/>
              </w:rPr>
              <w:t>Mean Fold</w:t>
            </w:r>
          </w:p>
        </w:tc>
        <w:tc>
          <w:tcPr>
            <w:tcW w:w="120" w:type="dxa"/>
            <w:vAlign w:val="bottom"/>
          </w:tcPr>
          <w:p>
            <w:pPr>
              <w:spacing w:after="0"/>
              <w:rPr>
                <w:sz w:val="11"/>
                <w:szCs w:val="11"/>
                <w:color w:val="auto"/>
              </w:rPr>
            </w:pPr>
          </w:p>
        </w:tc>
        <w:tc>
          <w:tcPr>
            <w:tcW w:w="740" w:type="dxa"/>
            <w:vAlign w:val="bottom"/>
            <w:tcBorders>
              <w:right w:val="single" w:sz="8" w:color="auto"/>
            </w:tcBorders>
          </w:tcPr>
          <w:p>
            <w:pPr>
              <w:jc w:val="center"/>
              <w:ind w:right="80"/>
              <w:spacing w:after="0" w:line="136" w:lineRule="exact"/>
              <w:rPr>
                <w:sz w:val="20"/>
                <w:szCs w:val="20"/>
                <w:color w:val="auto"/>
              </w:rPr>
            </w:pPr>
            <w:r>
              <w:rPr>
                <w:rFonts w:ascii="Arial" w:cs="Arial" w:eastAsia="Arial" w:hAnsi="Arial"/>
                <w:sz w:val="15"/>
                <w:szCs w:val="15"/>
                <w:color w:val="auto"/>
                <w:w w:val="98"/>
              </w:rPr>
              <w:t>P-value</w:t>
            </w:r>
          </w:p>
        </w:tc>
      </w:tr>
      <w:tr>
        <w:trPr>
          <w:trHeight w:val="195"/>
        </w:trPr>
        <w:tc>
          <w:tcPr>
            <w:tcW w:w="21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9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90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87"/>
              </w:rPr>
              <w:t>Increase</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r>
      <w:tr>
        <w:trPr>
          <w:trHeight w:val="193"/>
        </w:trPr>
        <w:tc>
          <w:tcPr>
            <w:tcW w:w="214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Day 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0.53</w:t>
            </w:r>
          </w:p>
        </w:tc>
        <w:tc>
          <w:tcPr>
            <w:tcW w:w="120" w:type="dxa"/>
            <w:vAlign w:val="bottom"/>
          </w:tcPr>
          <w:p>
            <w:pPr>
              <w:spacing w:after="0"/>
              <w:rPr>
                <w:sz w:val="16"/>
                <w:szCs w:val="16"/>
                <w:color w:val="auto"/>
              </w:rPr>
            </w:pPr>
          </w:p>
        </w:tc>
        <w:tc>
          <w:tcPr>
            <w:tcW w:w="6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89"/>
              </w:rPr>
              <w:t>0.1070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1.02</w:t>
            </w:r>
          </w:p>
        </w:tc>
        <w:tc>
          <w:tcPr>
            <w:tcW w:w="180" w:type="dxa"/>
            <w:vAlign w:val="bottom"/>
          </w:tcPr>
          <w:p>
            <w:pPr>
              <w:spacing w:after="0"/>
              <w:rPr>
                <w:sz w:val="16"/>
                <w:szCs w:val="16"/>
                <w:color w:val="auto"/>
              </w:rPr>
            </w:pPr>
          </w:p>
        </w:tc>
        <w:tc>
          <w:tcPr>
            <w:tcW w:w="80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0.9524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0.83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0.6214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0.71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0.3831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1.50</w:t>
            </w:r>
          </w:p>
        </w:tc>
        <w:tc>
          <w:tcPr>
            <w:tcW w:w="120" w:type="dxa"/>
            <w:vAlign w:val="bottom"/>
          </w:tcPr>
          <w:p>
            <w:pPr>
              <w:spacing w:after="0"/>
              <w:rPr>
                <w:sz w:val="16"/>
                <w:szCs w:val="16"/>
                <w:color w:val="auto"/>
              </w:rPr>
            </w:pPr>
          </w:p>
        </w:tc>
        <w:tc>
          <w:tcPr>
            <w:tcW w:w="7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93"/>
              </w:rPr>
              <w:t>0.2928</w:t>
            </w:r>
          </w:p>
        </w:tc>
      </w:tr>
      <w:tr>
        <w:trPr>
          <w:trHeight w:val="23"/>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00"/>
        </w:trPr>
        <w:tc>
          <w:tcPr>
            <w:tcW w:w="214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Day 14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0.88</w:t>
            </w:r>
          </w:p>
        </w:tc>
        <w:tc>
          <w:tcPr>
            <w:tcW w:w="120" w:type="dxa"/>
            <w:vAlign w:val="bottom"/>
          </w:tcPr>
          <w:p>
            <w:pPr>
              <w:spacing w:after="0"/>
              <w:rPr>
                <w:sz w:val="17"/>
                <w:szCs w:val="17"/>
                <w:color w:val="auto"/>
              </w:rPr>
            </w:pPr>
          </w:p>
        </w:tc>
        <w:tc>
          <w:tcPr>
            <w:tcW w:w="6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89"/>
              </w:rPr>
              <w:t>0.6881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1.25</w:t>
            </w:r>
          </w:p>
        </w:tc>
        <w:tc>
          <w:tcPr>
            <w:tcW w:w="180" w:type="dxa"/>
            <w:vAlign w:val="bottom"/>
          </w:tcPr>
          <w:p>
            <w:pPr>
              <w:spacing w:after="0"/>
              <w:rPr>
                <w:sz w:val="17"/>
                <w:szCs w:val="17"/>
                <w:color w:val="auto"/>
              </w:rPr>
            </w:pPr>
          </w:p>
        </w:tc>
        <w:tc>
          <w:tcPr>
            <w:tcW w:w="80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0.4895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2.23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0.0180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0.9880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1.71</w:t>
            </w:r>
          </w:p>
        </w:tc>
        <w:tc>
          <w:tcPr>
            <w:tcW w:w="120" w:type="dxa"/>
            <w:vAlign w:val="bottom"/>
          </w:tcPr>
          <w:p>
            <w:pPr>
              <w:spacing w:after="0"/>
              <w:rPr>
                <w:sz w:val="17"/>
                <w:szCs w:val="17"/>
                <w:color w:val="auto"/>
              </w:rPr>
            </w:pPr>
          </w:p>
        </w:tc>
        <w:tc>
          <w:tcPr>
            <w:tcW w:w="7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93"/>
              </w:rPr>
              <w:t>0.1049</w:t>
            </w:r>
          </w:p>
        </w:tc>
      </w:tr>
      <w:tr>
        <w:trPr>
          <w:trHeight w:val="37"/>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r>
        <w:trPr>
          <w:trHeight w:val="200"/>
        </w:trPr>
        <w:tc>
          <w:tcPr>
            <w:tcW w:w="214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w w:val="97"/>
              </w:rPr>
              <w:t>Safety Follow-up (Day 21-24)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0.63</w:t>
            </w:r>
          </w:p>
        </w:tc>
        <w:tc>
          <w:tcPr>
            <w:tcW w:w="120" w:type="dxa"/>
            <w:vAlign w:val="bottom"/>
          </w:tcPr>
          <w:p>
            <w:pPr>
              <w:spacing w:after="0"/>
              <w:rPr>
                <w:sz w:val="17"/>
                <w:szCs w:val="17"/>
                <w:color w:val="auto"/>
              </w:rPr>
            </w:pPr>
          </w:p>
        </w:tc>
        <w:tc>
          <w:tcPr>
            <w:tcW w:w="6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89"/>
              </w:rPr>
              <w:t>0.2167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1.65</w:t>
            </w:r>
          </w:p>
        </w:tc>
        <w:tc>
          <w:tcPr>
            <w:tcW w:w="180" w:type="dxa"/>
            <w:vAlign w:val="bottom"/>
          </w:tcPr>
          <w:p>
            <w:pPr>
              <w:spacing w:after="0"/>
              <w:rPr>
                <w:sz w:val="17"/>
                <w:szCs w:val="17"/>
                <w:color w:val="auto"/>
              </w:rPr>
            </w:pPr>
          </w:p>
        </w:tc>
        <w:tc>
          <w:tcPr>
            <w:tcW w:w="800" w:type="dxa"/>
            <w:vAlign w:val="bottom"/>
            <w:tcBorders>
              <w:right w:val="single" w:sz="8" w:color="auto"/>
            </w:tcBorders>
          </w:tcPr>
          <w:p>
            <w:pPr>
              <w:jc w:val="center"/>
              <w:ind w:right="120"/>
              <w:spacing w:after="0"/>
              <w:rPr>
                <w:sz w:val="20"/>
                <w:szCs w:val="20"/>
                <w:color w:val="auto"/>
              </w:rPr>
            </w:pPr>
            <w:r>
              <w:rPr>
                <w:rFonts w:ascii="Arial" w:cs="Arial" w:eastAsia="Arial" w:hAnsi="Arial"/>
                <w:sz w:val="16"/>
                <w:szCs w:val="16"/>
                <w:color w:val="auto"/>
                <w:w w:val="89"/>
              </w:rPr>
              <w:t>0.0943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3.93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&lt;0.0001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1.79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0.0591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2.38</w:t>
            </w:r>
          </w:p>
        </w:tc>
        <w:tc>
          <w:tcPr>
            <w:tcW w:w="120" w:type="dxa"/>
            <w:vAlign w:val="bottom"/>
          </w:tcPr>
          <w:p>
            <w:pPr>
              <w:spacing w:after="0"/>
              <w:rPr>
                <w:sz w:val="17"/>
                <w:szCs w:val="17"/>
                <w:color w:val="auto"/>
              </w:rPr>
            </w:pPr>
          </w:p>
        </w:tc>
        <w:tc>
          <w:tcPr>
            <w:tcW w:w="740" w:type="dxa"/>
            <w:vAlign w:val="bottom"/>
            <w:tcBorders>
              <w:right w:val="single" w:sz="8" w:color="auto"/>
            </w:tcBorders>
          </w:tcPr>
          <w:p>
            <w:pPr>
              <w:jc w:val="center"/>
              <w:ind w:right="80"/>
              <w:spacing w:after="0"/>
              <w:rPr>
                <w:sz w:val="20"/>
                <w:szCs w:val="20"/>
                <w:color w:val="auto"/>
              </w:rPr>
            </w:pPr>
            <w:r>
              <w:rPr>
                <w:rFonts w:ascii="Arial" w:cs="Arial" w:eastAsia="Arial" w:hAnsi="Arial"/>
                <w:sz w:val="16"/>
                <w:szCs w:val="16"/>
                <w:color w:val="auto"/>
                <w:w w:val="93"/>
              </w:rPr>
              <w:t>0.0059</w:t>
            </w:r>
          </w:p>
        </w:tc>
      </w:tr>
      <w:tr>
        <w:trPr>
          <w:trHeight w:val="37"/>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r>
    </w:tbl>
    <w:p>
      <w:pPr>
        <w:ind w:right="360" w:firstLine="8"/>
        <w:spacing w:after="0" w:line="245" w:lineRule="auto"/>
        <w:tabs>
          <w:tab w:leader="none" w:pos="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Fold changes from these cohorts were updated to reflect the fold-increase over pooled placebo data across all cohorts from 2-30mg versus previously reported fold changes over pooled placebo data across 2-10mg cohorts.</w:t>
      </w:r>
    </w:p>
    <w:p>
      <w:pPr>
        <w:spacing w:after="0" w:line="76"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fourth quarter of 2021, we initiated a Phase 1b clinical trial in SCD patients and we expect to report initial data from that trial in the second quarter of 2022. This trial could provide an opportunity to demonstrate HbF protein induction in people living with SCD and will be used to help inform a potential Phase 2/3 trial, which we anticipate initiating in 2023. We also submitted an IND in the fourth quarter of 2021 to support the initiation of clinical development in non-SCD hemoglobinopathies, including ß-thalassemia. We anticipate initiating a Phase 1b trial in non-SCD hemoglobinopathies in the second quarter of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 xml:space="preserve">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in preclinical studies with FTX-6058. We observed that FTX-6058 elevated levels of HbF with minimal adverse effects on important cellular health markers. 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depicted in the graphic below, we also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upregulation of HbF in primary human CD34+ cells differentiated into RBCs from five different healthy human donors and one SCD donor after seven days of drug treatment. FTX-6058 showed a significant elevation of HbF over baseline in each of these six donor cell lines. We have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Notably, based on a review of data from other mechanisms, HbF fold induction in CD34+ cells has translated reliably into the clinic.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FTX-6058 treatment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150495</wp:posOffset>
            </wp:positionV>
            <wp:extent cx="2991485" cy="1971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9148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Additionally, we compared the effect of FTX-6058 in CD34+ derived cells relative to that of hydroxyurea. We observed that hydroxyurea had a minimal impact on HbF elevation, whereas we observed that FTX-6058 significantly elevated HbF. In cells treated with the combination of FTX-6058 and hydroxyurea, we observed an increased effect relative to either compound alone.</w:t>
      </w:r>
    </w:p>
    <w:p>
      <w:pPr>
        <w:spacing w:after="0" w:line="74"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Additionally, we studied FTX-6058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FTX-6058 resulted in a significant increase in HbFexpressing cells, or F-cells, and HbF protein levels after 13 days of dosing at 5 mg/kg once per day whereas hydroxyurea resulted in modest increases in F-cells and HbF.</w:t>
      </w:r>
    </w:p>
    <w:p>
      <w:pPr>
        <w:sectPr>
          <w:pgSz w:w="11900" w:h="16838" w:orient="portrait"/>
          <w:cols w:equalWidth="0" w:num="1">
            <w:col w:w="11200"/>
          </w:cols>
          <w:pgMar w:left="320" w:top="436" w:right="379" w:bottom="1440" w:gutter="0" w:footer="0" w:header="0"/>
        </w:sectPr>
      </w:pPr>
    </w:p>
    <w:p>
      <w:pPr>
        <w:spacing w:after="0" w:line="212" w:lineRule="exact"/>
        <w:rPr>
          <w:sz w:val="20"/>
          <w:szCs w:val="20"/>
          <w:color w:val="auto"/>
        </w:rPr>
      </w:pPr>
    </w:p>
    <w:p>
      <w:pPr>
        <w:jc w:val="center"/>
        <w:ind w:right="620"/>
        <w:spacing w:after="0"/>
        <w:rPr>
          <w:sz w:val="20"/>
          <w:szCs w:val="20"/>
          <w:color w:val="auto"/>
        </w:rPr>
      </w:pPr>
      <w:r>
        <w:rPr>
          <w:rFonts w:ascii="Arial" w:cs="Arial" w:eastAsia="Arial" w:hAnsi="Arial"/>
          <w:sz w:val="15"/>
          <w:szCs w:val="15"/>
          <w:b w:val="1"/>
          <w:bCs w:val="1"/>
          <w:color w:val="auto"/>
        </w:rPr>
        <w:t>Percentage of F-cells in Townes mice</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13335</wp:posOffset>
            </wp:positionV>
            <wp:extent cx="2983230" cy="1551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83230" cy="1551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HbF protein levels in Townes mice</w:t>
      </w:r>
    </w:p>
    <w:p>
      <w:pPr>
        <w:spacing w:after="0" w:line="12"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13335</wp:posOffset>
            </wp:positionV>
            <wp:extent cx="2537460" cy="1680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7460" cy="1680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940"/>
          </w:cols>
          <w:pgMar w:left="320" w:top="43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the graphic on the left, we quantified the percentage of F-cells as a percentage of total cells (%F-cells) for the three treatment conditions from mouse blood, shown as a percentage of vehicle-alone-treated SCD mice. In the graphic on the right, we determined the level of human HbF protein for the three treatment conditions, quantifying HbF protein as a</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type w:val="continuous"/>
        </w:sectPr>
      </w:pPr>
    </w:p>
    <w:bookmarkStart w:id="24" w:name="page25"/>
    <w:bookmarkEnd w:id="24"/>
    <w:p>
      <w:pPr>
        <w:ind w:right="100"/>
        <w:spacing w:after="0" w:line="270" w:lineRule="auto"/>
        <w:rPr>
          <w:sz w:val="20"/>
          <w:szCs w:val="20"/>
          <w:color w:val="auto"/>
        </w:rPr>
      </w:pPr>
      <w:r>
        <w:rPr>
          <w:rFonts w:ascii="Arial" w:cs="Arial" w:eastAsia="Arial" w:hAnsi="Arial"/>
          <w:sz w:val="17"/>
          <w:szCs w:val="17"/>
          <w:color w:val="auto"/>
        </w:rPr>
        <w:t>percentage of total hemoglobin. Each value represents the mean value from eight mice per treatment after 13 days of treatment. In these studies, we used a conventional method of assessing statistical significance known as a one-way analysis of variance, or ANOVA. The p-value for FTX-6058 was less than 0.001 for both studies and the p-value for hydroxyurea in the study depicted on the right was less than 0.01.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Product Engine</w:t>
      </w:r>
    </w:p>
    <w:p>
      <w:pPr>
        <w:spacing w:after="0" w:line="90"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FulcrumSeek is a high-throughput discovery platform that we designed to identify and validate drug targets that balance the expression of the genes known to drive or ameliorate root cause biology. We obtain patient-derived, tissue-relevant cell lines or other relevant human cell lines. We then differentiate these cell lines into those most relevant for the disease pathology, including skeletal muscle myotubes, cardiomyocytes, neurons, RBCs, or other cell lines of interest, which we then scale up, characterize and prepare for screening. We also generate methods to quantify the desired modulation of expression of the gene of interest in these cell lines. We apply our highly annotated proprietary small-molecule compound library and customized CRISPR or RNAi libraries to the cells to assess for the desired modulation. We have continued to build our capabilities to maximally profile changes in transcription that occur when relevant cells are treated with small molecules or genetic reagents. In addition to profiling a specific gene of interest, we can evaluate multiple genes of potential interest through multiplexed transcriptome profiling to assess effects on root cause biology. We have made significant enhancements to FulcrumSeek so thousands of transcripts can be measured, and additional features of cellular health and function can be assessed using high-throughput imaging techniques.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such as machine learning algorithms, to guide drug target selection and generate hypotheses on other drug targets that might be related along a gene regulatory pathway.</w:t>
      </w:r>
    </w:p>
    <w:p>
      <w:pPr>
        <w:spacing w:after="0" w:line="185" w:lineRule="exact"/>
        <w:rPr>
          <w:sz w:val="20"/>
          <w:szCs w:val="20"/>
          <w:color w:val="auto"/>
        </w:rPr>
      </w:pPr>
    </w:p>
    <w:p>
      <w:pPr>
        <w:ind w:right="100" w:firstLine="509"/>
        <w:spacing w:after="0"/>
        <w:rPr>
          <w:sz w:val="20"/>
          <w:szCs w:val="20"/>
          <w:color w:val="auto"/>
        </w:rPr>
      </w:pPr>
      <w:r>
        <w:rPr>
          <w:rFonts w:ascii="Arial" w:cs="Arial" w:eastAsia="Arial" w:hAnsi="Arial"/>
          <w:sz w:val="17"/>
          <w:szCs w:val="17"/>
          <w:color w:val="auto"/>
        </w:rPr>
        <w:t>To further optimize and increase productivity of FulcrumSeek, we have continued to invest in customized lab automation and applied technologies. We believe that these investments have increased assay throughput and robustness and have expanded the breadth of biological parameters we can effectively measure in our assay systems. The first-generation of our product engine was focused on single gene readouts, simple immunocytochemistry, and one-dimensional data analysis focused on an individual gene of interest. With continued investment in the product engine, we have enabled our next-generation product engine which utilizes RNAseq, high-content imaging, and machine learning. We believe that this next-generation product engine enables drug target screening at scale in physiologically relevant assay systems.</w:t>
      </w:r>
    </w:p>
    <w:p>
      <w:pPr>
        <w:spacing w:after="0" w:line="177" w:lineRule="exact"/>
        <w:rPr>
          <w:sz w:val="20"/>
          <w:szCs w:val="20"/>
          <w:color w:val="auto"/>
        </w:rPr>
      </w:pPr>
    </w:p>
    <w:p>
      <w:pPr>
        <w:jc w:val="both"/>
        <w:ind w:right="180" w:firstLine="509"/>
        <w:spacing w:after="0" w:line="235" w:lineRule="auto"/>
        <w:rPr>
          <w:sz w:val="20"/>
          <w:szCs w:val="20"/>
          <w:color w:val="auto"/>
        </w:rPr>
      </w:pPr>
      <w:r>
        <w:rPr>
          <w:rFonts w:ascii="Arial" w:cs="Arial" w:eastAsia="Arial" w:hAnsi="Arial"/>
          <w:sz w:val="18"/>
          <w:szCs w:val="18"/>
          <w:color w:val="auto"/>
        </w:rPr>
        <w:t>We designed our discovery and development model to recapitulate this systematic approach of applying FulcrumSeek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146050</wp:posOffset>
            </wp:positionV>
            <wp:extent cx="5760720" cy="267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072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5" w:name="page26"/>
    <w:bookmarkEnd w:id="25"/>
    <w:p>
      <w:pPr>
        <w:ind w:right="180" w:firstLine="509"/>
        <w:spacing w:after="0"/>
        <w:rPr>
          <w:sz w:val="20"/>
          <w:szCs w:val="20"/>
          <w:color w:val="auto"/>
        </w:rPr>
      </w:pPr>
      <w:r>
        <w:rPr>
          <w:rFonts w:ascii="Arial" w:cs="Arial" w:eastAsia="Arial" w:hAnsi="Arial"/>
          <w:sz w:val="18"/>
          <w:szCs w:val="18"/>
          <w:color w:val="auto"/>
        </w:rPr>
        <w:t>Importantly, we designed FulcrumSeek to iteratively and systematically explore disease or indication areas of interest by incorporating both preclinical and clinical data related to potential drug targets. In the case of heterogeneous diseases, this iterative and systematic approach enables us to explore diseases with less-defined root cause genes, and instead screen for targets that modulate root cause biology. This approach not only enables us to validate the translatability of our preclinical models to the clinic, but also enables us to generate unique clinical biology insights utilizing public and proprietary clinical datasets. As a result, we believe that we have greatly expands the number of diseases that we can potentially interrogate with FulcrumSeek.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Disease-Relevant Cell Models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Accurate modeling of human disease is critical for drug discovery endeavors, and we have the ability to model disease and identify drug targets that modulate gene expression in patient-derived, differentiated cells and other disease-relevant cell models. These cells provide the appropriate context in which to understand signaling pathways that affect human gene expression and function, and they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Identification</w:t>
      </w:r>
    </w:p>
    <w:p>
      <w:pPr>
        <w:spacing w:after="0" w:line="10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We employ three approaches to identify drug targets that can potentially modulate gene expression to treat genetically defined diseases at the root cause—two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Annotated Small Molecule Compound Library</w:t>
      </w:r>
    </w:p>
    <w:p>
      <w:pPr>
        <w:spacing w:after="0" w:line="104"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genes of interest. We designed our library with the intent to optimize biological diversity, in contrast with other small molecule screening approaches that optimize chemical diversity. Our library currently includes more than 6,000 small molecules relating to approximately 2,500 biochemical targets covering a wide breadth of pharmacology, including chromatin modifiers, transcription regulation and RNA processing, kinases and metabolic enzymes. Our library will continue to expand as we identify and acquire new mechanistic probes.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Genetic Screening</w:t>
      </w:r>
    </w:p>
    <w:p>
      <w:pPr>
        <w:spacing w:after="0" w:line="10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We may also use a customized CRISPR or RNAi library screening, which is an approach to interrogate the genome by selectively knocking out, reducing or increasing gene expression, for target identification. We have chosen to use CRISPR and RNAi libraries as complementary or additional screening tools for drug target identification alongside our small molecule screening approach. If small molecules that interact with these targets are identified from the literature, they are then obtained for further pharmacological validation. If no known chemical matter is available, we may establish a screen to identify chemical matter that interacts with the drug target. This chemical matter would serve as a starting point for medicinal chemistry work. Alternatively, we may seek partnerships for development using other modalities.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Computational Biology &amp; Analytics</w:t>
      </w:r>
    </w:p>
    <w:p>
      <w:pPr>
        <w:spacing w:after="0" w:line="10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We have a proprietary database containing profiles of the effect of perturbagens, or disruptions to cellular processes, on disease-relevant, human derived cell systems. The features captured in this database consist of measures of gene regulation on thousands of genes, and other important assessments of cellular function and health. Our database and analysis can provide information as to which genes are modulated by our perturbagens and which genes may be difficult to modulate. This information is then integrated into our decision-making process for disease selection. Using FulcrumSeek,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modulate the root cause gene or root cause biology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Validation</w:t>
      </w:r>
    </w:p>
    <w:p>
      <w:pPr>
        <w:spacing w:after="0" w:line="77" w:lineRule="exact"/>
        <w:rPr>
          <w:sz w:val="20"/>
          <w:szCs w:val="20"/>
          <w:color w:val="auto"/>
        </w:rPr>
      </w:pPr>
    </w:p>
    <w:p>
      <w:pPr>
        <w:ind w:right="60" w:firstLine="509"/>
        <w:spacing w:after="0" w:line="216" w:lineRule="auto"/>
        <w:rPr>
          <w:sz w:val="20"/>
          <w:szCs w:val="20"/>
          <w:color w:val="auto"/>
        </w:rPr>
      </w:pPr>
      <w:r>
        <w:rPr>
          <w:rFonts w:ascii="Arial" w:cs="Arial" w:eastAsia="Arial" w:hAnsi="Arial"/>
          <w:sz w:val="18"/>
          <w:szCs w:val="18"/>
          <w:color w:val="auto"/>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important elements of our systematic approach to drug target validation include:</w:t>
      </w:r>
    </w:p>
    <w:p>
      <w:pPr>
        <w:spacing w:after="0" w:line="77" w:lineRule="exact"/>
        <w:rPr>
          <w:sz w:val="20"/>
          <w:szCs w:val="20"/>
          <w:color w:val="auto"/>
        </w:rPr>
      </w:pPr>
    </w:p>
    <w:p>
      <w:pPr>
        <w:ind w:left="900" w:right="300" w:hanging="383"/>
        <w:spacing w:after="0" w:line="23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different treatment modalities to interact with the drug target: </w:t>
      </w:r>
      <w:r>
        <w:rPr>
          <w:rFonts w:ascii="Arial" w:cs="Arial" w:eastAsia="Arial" w:hAnsi="Arial"/>
          <w:sz w:val="18"/>
          <w:szCs w:val="18"/>
          <w:color w:val="auto"/>
        </w:rPr>
        <w:t>we evaluate whether small molecules and genomic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similarly affect expression of the gene of interest.</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we attempt to establish a link between the identified drug target and the level of the expression of the gene of interest.</w:t>
      </w:r>
    </w:p>
    <w:p>
      <w:pPr>
        <w:spacing w:after="0" w:line="76" w:lineRule="exact"/>
        <w:rPr>
          <w:rFonts w:ascii="Arial" w:cs="Arial" w:eastAsia="Arial" w:hAnsi="Arial"/>
          <w:sz w:val="18"/>
          <w:szCs w:val="18"/>
          <w:color w:val="auto"/>
        </w:rPr>
      </w:pPr>
    </w:p>
    <w:p>
      <w:pPr>
        <w:ind w:left="900" w:right="600" w:hanging="383"/>
        <w:spacing w:after="0" w:line="23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we evaluate whether modulation of the target and the resulting changes in gene expression cause undesired effects, including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cell health markers to ensure there is minimal cellular toxicity.</w:t>
      </w:r>
    </w:p>
    <w:p>
      <w:pPr>
        <w:spacing w:after="0" w:line="53" w:lineRule="exact"/>
        <w:rPr>
          <w:rFonts w:ascii="Arial" w:cs="Arial" w:eastAsia="Arial" w:hAnsi="Arial"/>
          <w:sz w:val="18"/>
          <w:szCs w:val="18"/>
          <w:color w:val="auto"/>
        </w:rPr>
      </w:pPr>
    </w:p>
    <w:p>
      <w:pPr>
        <w:ind w:left="900" w:right="440" w:hanging="383"/>
        <w:spacing w:after="0" w:line="23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Profiling cell lines from multiple patients: </w:t>
      </w:r>
      <w:r>
        <w:rPr>
          <w:rFonts w:ascii="Arial" w:cs="Arial" w:eastAsia="Arial" w:hAnsi="Arial"/>
          <w:sz w:val="18"/>
          <w:szCs w:val="18"/>
          <w:color w:val="auto"/>
        </w:rPr>
        <w:t>we analyze the modulation of the drug target to determine whether the original cell line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screen targets is representative of disease in other patients.</w:t>
      </w:r>
    </w:p>
    <w:p>
      <w:pPr>
        <w:spacing w:after="0" w:line="53" w:lineRule="exact"/>
        <w:rPr>
          <w:rFonts w:ascii="Arial" w:cs="Arial" w:eastAsia="Arial" w:hAnsi="Arial"/>
          <w:sz w:val="18"/>
          <w:szCs w:val="18"/>
          <w:color w:val="auto"/>
        </w:rPr>
      </w:pPr>
    </w:p>
    <w:p>
      <w:pPr>
        <w:ind w:left="900" w:hanging="383"/>
        <w:spacing w:after="0" w:line="23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Verification: </w:t>
      </w:r>
      <w:r>
        <w:rPr>
          <w:rFonts w:ascii="Arial" w:cs="Arial" w:eastAsia="Arial" w:hAnsi="Arial"/>
          <w:sz w:val="18"/>
          <w:szCs w:val="18"/>
          <w:color w:val="auto"/>
        </w:rPr>
        <w:t>we conduct studies designed to ensure that the modulation of the drug target and the resulting change in gene expression leads to a</w:t>
      </w:r>
      <w:r>
        <w:rPr>
          <w:rFonts w:ascii="Arial" w:cs="Arial" w:eastAsia="Arial" w:hAnsi="Arial"/>
          <w:sz w:val="18"/>
          <w:szCs w:val="18"/>
          <w:i w:val="1"/>
          <w:iCs w:val="1"/>
          <w:color w:val="auto"/>
        </w:rPr>
        <w:t xml:space="preserve"> </w:t>
      </w:r>
      <w:r>
        <w:rPr>
          <w:rFonts w:ascii="Arial" w:cs="Arial" w:eastAsia="Arial" w:hAnsi="Arial"/>
          <w:sz w:val="18"/>
          <w:szCs w:val="18"/>
          <w:color w:val="auto"/>
        </w:rPr>
        <w:t>desired functional effect.</w:t>
      </w:r>
    </w:p>
    <w:p>
      <w:pPr>
        <w:spacing w:after="0" w:line="53" w:lineRule="exact"/>
        <w:rPr>
          <w:rFonts w:ascii="Arial" w:cs="Arial" w:eastAsia="Arial" w:hAnsi="Arial"/>
          <w:sz w:val="18"/>
          <w:szCs w:val="18"/>
          <w:color w:val="auto"/>
        </w:rPr>
      </w:pPr>
    </w:p>
    <w:p>
      <w:pPr>
        <w:ind w:left="900" w:right="260" w:hanging="383"/>
        <w:spacing w:after="0" w:line="23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Prioritization: </w:t>
      </w:r>
      <w:r>
        <w:rPr>
          <w:rFonts w:ascii="Arial" w:cs="Arial" w:eastAsia="Arial" w:hAnsi="Arial"/>
          <w:sz w:val="18"/>
          <w:szCs w:val="18"/>
          <w:color w:val="auto"/>
        </w:rPr>
        <w:t>we prioritize drug targets based on our assessment of our ability to deliver a candidate for clinical development based on that</w:t>
      </w:r>
      <w:r>
        <w:rPr>
          <w:rFonts w:ascii="Arial" w:cs="Arial" w:eastAsia="Arial" w:hAnsi="Arial"/>
          <w:sz w:val="18"/>
          <w:szCs w:val="18"/>
          <w:i w:val="1"/>
          <w:iCs w:val="1"/>
          <w:color w:val="auto"/>
        </w:rPr>
        <w:t xml:space="preserve"> </w:t>
      </w:r>
      <w:r>
        <w:rPr>
          <w:rFonts w:ascii="Arial" w:cs="Arial" w:eastAsia="Arial" w:hAnsi="Arial"/>
          <w:sz w:val="18"/>
          <w:szCs w:val="18"/>
          <w:color w:val="auto"/>
        </w:rPr>
        <w:t>target.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Candidate Discovery and Characterization</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6"/>
          <w:szCs w:val="16"/>
          <w:color w:val="auto"/>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p38α/ß enabled us to rapidly identify our product candidate for the treatment of FSHD.</w:t>
      </w:r>
    </w:p>
    <w:p>
      <w:pPr>
        <w:spacing w:after="0" w:line="158" w:lineRule="exact"/>
        <w:rPr>
          <w:sz w:val="20"/>
          <w:szCs w:val="20"/>
          <w:color w:val="auto"/>
        </w:rPr>
      </w:pPr>
    </w:p>
    <w:p>
      <w:pPr>
        <w:ind w:right="40" w:firstLine="509"/>
        <w:spacing w:after="0" w:line="219" w:lineRule="auto"/>
        <w:rPr>
          <w:sz w:val="20"/>
          <w:szCs w:val="20"/>
          <w:color w:val="auto"/>
        </w:rPr>
      </w:pPr>
      <w:r>
        <w:rPr>
          <w:rFonts w:ascii="Arial" w:cs="Arial" w:eastAsia="Arial" w:hAnsi="Arial"/>
          <w:sz w:val="18"/>
          <w:szCs w:val="18"/>
          <w:color w:val="auto"/>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 enable us to understand if the activity of the molecule differs among cells with different genetic subtypes, or if a patient stratification strategy is appropriate for clinical trials.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7" w:name="page28"/>
    <w:bookmarkEnd w:id="27"/>
    <w:p>
      <w:pPr>
        <w:ind w:right="160" w:firstLine="509"/>
        <w:spacing w:after="0" w:line="262" w:lineRule="auto"/>
        <w:rPr>
          <w:sz w:val="20"/>
          <w:szCs w:val="20"/>
          <w:color w:val="auto"/>
        </w:rPr>
      </w:pPr>
      <w:r>
        <w:rPr>
          <w:rFonts w:ascii="Arial" w:cs="Arial" w:eastAsia="Arial" w:hAnsi="Arial"/>
          <w:sz w:val="17"/>
          <w:szCs w:val="17"/>
          <w:color w:val="auto"/>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PK/PD, relationships that will be the basis of therapeutic index calculations and human dose projections.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a Small Molecule Approach</w:t>
      </w:r>
    </w:p>
    <w:p>
      <w:pPr>
        <w:spacing w:after="0" w:line="104"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We believe that our approach to the treatment of genetically defined diseases using orally available, small molecule therapeutics may offer significant advantages over other treatment modalities due to:</w:t>
      </w:r>
    </w:p>
    <w:p>
      <w:pPr>
        <w:spacing w:after="0" w:line="63" w:lineRule="exact"/>
        <w:rPr>
          <w:sz w:val="20"/>
          <w:szCs w:val="20"/>
          <w:color w:val="auto"/>
        </w:rPr>
      </w:pPr>
    </w:p>
    <w:p>
      <w:pPr>
        <w:ind w:left="900" w:right="260" w:hanging="383"/>
        <w:spacing w:after="0" w:line="24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Biodistribution: </w:t>
      </w:r>
      <w:r>
        <w:rPr>
          <w:rFonts w:ascii="Arial" w:cs="Arial" w:eastAsia="Arial" w:hAnsi="Arial"/>
          <w:sz w:val="18"/>
          <w:szCs w:val="18"/>
          <w:color w:val="auto"/>
        </w:rPr>
        <w:t>small molecules can achieve broad distribution in the body. The ability to access tissues broadly is particularly relevant in</w:t>
      </w:r>
      <w:r>
        <w:rPr>
          <w:rFonts w:ascii="Arial" w:cs="Arial" w:eastAsia="Arial" w:hAnsi="Arial"/>
          <w:sz w:val="18"/>
          <w:szCs w:val="18"/>
          <w:i w:val="1"/>
          <w:iCs w:val="1"/>
          <w:color w:val="auto"/>
        </w:rPr>
        <w:t xml:space="preserve"> </w:t>
      </w:r>
      <w:r>
        <w:rPr>
          <w:rFonts w:ascii="Arial" w:cs="Arial" w:eastAsia="Arial" w:hAnsi="Arial"/>
          <w:sz w:val="18"/>
          <w:szCs w:val="18"/>
          <w:color w:val="auto"/>
        </w:rPr>
        <w:t>neuromuscular disorders where multiple muscles are affected by disease, or in CNS disorders where brain permeability may be limited with other treatment modalities.</w:t>
      </w:r>
    </w:p>
    <w:p>
      <w:pPr>
        <w:spacing w:after="0" w:line="73" w:lineRule="exact"/>
        <w:rPr>
          <w:rFonts w:ascii="Arial" w:cs="Arial" w:eastAsia="Arial" w:hAnsi="Arial"/>
          <w:sz w:val="18"/>
          <w:szCs w:val="18"/>
          <w:color w:val="auto"/>
        </w:rPr>
      </w:pPr>
    </w:p>
    <w:p>
      <w:pPr>
        <w:ind w:left="900" w:right="700" w:hanging="383"/>
        <w:spacing w:after="0" w:line="26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w:t>
      </w:r>
      <w:r>
        <w:rPr>
          <w:rFonts w:ascii="Arial" w:cs="Arial" w:eastAsia="Arial" w:hAnsi="Arial"/>
          <w:sz w:val="18"/>
          <w:szCs w:val="18"/>
          <w:color w:val="auto"/>
        </w:rPr>
        <w:t>small molecules have a limited risk of immunogenicity and lack procedural risk relative to administering other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modalities, such as ASOs and gene therapies.</w:t>
      </w:r>
    </w:p>
    <w:p>
      <w:pPr>
        <w:spacing w:after="0" w:line="62" w:lineRule="exact"/>
        <w:rPr>
          <w:rFonts w:ascii="Arial" w:cs="Arial" w:eastAsia="Arial" w:hAnsi="Arial"/>
          <w:sz w:val="18"/>
          <w:szCs w:val="18"/>
          <w:color w:val="auto"/>
        </w:rPr>
      </w:pPr>
    </w:p>
    <w:p>
      <w:pPr>
        <w:ind w:left="900" w:right="440" w:hanging="383"/>
        <w:spacing w:after="0" w:line="24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and quality: </w:t>
      </w:r>
      <w:r>
        <w:rPr>
          <w:rFonts w:ascii="Arial" w:cs="Arial" w:eastAsia="Arial" w:hAnsi="Arial"/>
          <w:sz w:val="18"/>
          <w:szCs w:val="18"/>
          <w:color w:val="auto"/>
        </w:rPr>
        <w:t>the production and quality control of drug supplies for clinical development are well understood.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are generally not required, and many vendors offer services for manufacturing. We believe small molecule manufacturing may provide cost advantages relative to other modalities.</w:t>
      </w:r>
    </w:p>
    <w:p>
      <w:pPr>
        <w:spacing w:after="0" w:line="7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Patient access: </w:t>
      </w:r>
      <w:r>
        <w:rPr>
          <w:rFonts w:ascii="Arial" w:cs="Arial" w:eastAsia="Arial" w:hAnsi="Arial"/>
          <w:sz w:val="18"/>
          <w:szCs w:val="18"/>
          <w:color w:val="auto"/>
        </w:rPr>
        <w:t>small molecule, oral medicines can be administered by the patient and do not require complicated in-patient procedures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only available in a limited number of treatment centers.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Screening Programs</w:t>
      </w:r>
    </w:p>
    <w:p>
      <w:pPr>
        <w:spacing w:after="0" w:line="94" w:lineRule="exact"/>
        <w:rPr>
          <w:sz w:val="20"/>
          <w:szCs w:val="20"/>
          <w:color w:val="auto"/>
        </w:rPr>
      </w:pPr>
    </w:p>
    <w:p>
      <w:pPr>
        <w:ind w:right="280" w:firstLine="509"/>
        <w:spacing w:after="0" w:line="235" w:lineRule="auto"/>
        <w:rPr>
          <w:sz w:val="20"/>
          <w:szCs w:val="20"/>
          <w:color w:val="auto"/>
        </w:rPr>
      </w:pPr>
      <w:r>
        <w:rPr>
          <w:rFonts w:ascii="Arial" w:cs="Arial" w:eastAsia="Arial" w:hAnsi="Arial"/>
          <w:sz w:val="18"/>
          <w:szCs w:val="18"/>
          <w:color w:val="auto"/>
        </w:rPr>
        <w:t>We have leveraged FulcrumSeek to discover targets that we are pursuing with small molecules for FSHD, SCD and ß-thalassemia. We are leveraging the broad applicability of FulcrumSeek to discover drug targets for other rare, genetically defined diseases across muscular, hematologic and neurologic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128905</wp:posOffset>
            </wp:positionV>
            <wp:extent cx="5760720" cy="1568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072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firstLine="509"/>
        <w:spacing w:after="0" w:line="237" w:lineRule="auto"/>
        <w:rPr>
          <w:sz w:val="20"/>
          <w:szCs w:val="20"/>
          <w:color w:val="auto"/>
        </w:rPr>
      </w:pPr>
      <w:r>
        <w:rPr>
          <w:rFonts w:ascii="Arial" w:cs="Arial" w:eastAsia="Arial" w:hAnsi="Arial"/>
          <w:sz w:val="17"/>
          <w:szCs w:val="17"/>
          <w:color w:val="auto"/>
        </w:rPr>
        <w:t>Our target identification strategy and approach continue to evolve. In addition to conducting screens to identify targets that modulate the expression of a single root cause gene, we are able to simultaneously interrogate multiple (approximately 10) root cause genes and to monitor effects on cell health all in a single screen (</w:t>
      </w:r>
      <w:r>
        <w:rPr>
          <w:rFonts w:ascii="Arial" w:cs="Arial" w:eastAsia="Arial" w:hAnsi="Arial"/>
          <w:sz w:val="17"/>
          <w:szCs w:val="17"/>
          <w:i w:val="1"/>
          <w:iCs w:val="1"/>
          <w:color w:val="auto"/>
        </w:rPr>
        <w:t>i.e</w:t>
      </w:r>
      <w:r>
        <w:rPr>
          <w:rFonts w:ascii="Arial" w:cs="Arial" w:eastAsia="Arial" w:hAnsi="Arial"/>
          <w:sz w:val="17"/>
          <w:szCs w:val="17"/>
          <w:color w:val="auto"/>
        </w:rPr>
        <w:t>., multiplexed screening). We believe that this new approach provides significant efficiencies in productivity and allows us to test multiple hypotheses in parallel. Importantly, the expansion of FulcrumSeek with the use of high content molecular profiling, including RNAseq and cellular imaging, allows us to simultaneously measure the expression of 8,000-10,000 genes and integrate key measures related to cell health and biology, which enables us to scale our screening capacity and productivity. With the use of our small molecule probe library and our functional genomics capabilities, we aim to conduct target identification at a significantly increased scale and with cost-effectiveness. Moreover, we are using our product engine in hypothesis testing mode and in hypothesis generation mode, which we expect to increase the probability of identifying attractive targets to advance in our portfolio or in collaboration with partners.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Reference and License Agreement with GlaxoSmithKline</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In February 2019, we entered into a right of reference and license agreement with affiliates of GSK, as amended in September 2020,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53"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7"/>
          <w:szCs w:val="17"/>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66"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Under the agreement, we will be obligated to make milestone payments to GSK aggregating up to $37.5 million upon the achievement of specified development and regulatory milestones with respect to the first licensed product to first achieve such milestones, including a $2.5 million milestone payment we made to GSK during the year ended December 31, 2019 upon the initiation of the first Phase 2 clinical trial for a licensed product, and up to $60.0 million upon the first achievement of one-time aggregate annual worldwide net sales milestones for a licensed product. We will also be obligated to pay royalties ranging from a mid single-digit percentage to a low double-digit, but less than teens, percentage to GSK based on our, and any of our affiliates’ and sublicensees’, annual net sales of licensed products. The royalties are payable on a licensed product-by-licensed product and country-by-country basis, and may be reduced in specified circumstances.</w:t>
      </w:r>
    </w:p>
    <w:p>
      <w:pPr>
        <w:spacing w:after="0" w:line="7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obligation to make royalty payments extends with respect to a licensed product in a country until the earlier of the approval of a generic version of such licensed product by the applicable regulatory agency 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in such country.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7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If, prior to our completion of a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8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Unless earlier terminated in accordance with its terms, 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rights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Agreement with Acceleron, a wholly-owned subsidiary of Merck</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December 2019, we entered into a collaboration and license agreement with Acceleron to identify biological targets to modulate specific pathways associated with a targeted indication within the pulmonary disease space. Under the terms of the collaboration and license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4" w:right="39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6"/>
          <w:szCs w:val="16"/>
          <w:color w:val="auto"/>
        </w:rPr>
        <w:t>biological targets identified by us for the treatment, prophylaxis, or diagnosis of a targeted indication within the pulmonary disease space, or the Indication.</w:t>
      </w:r>
    </w:p>
    <w:p>
      <w:pPr>
        <w:spacing w:after="0" w:line="127"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Pursuant to a mutually agreed research plan, we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we will deliver a data package to Acceleron with respect to the biological targets identified by us in the conduct of the research activities for the treatment, prophylaxis, or diagnosis of the Indication. Within a designated period after receipt of the data package, Acceleron will have the right to designate a specified number of the biological targets identified by us as relevant for the treatment, prophylaxis, or diagnosis of the Indication, for Acceleron’s research, development, manufacture and commercialization of products or molecules directed to such targets, or the Targets. If Acceleron does not designate any Targets during the designated period, then the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in any of such certain specified countries, Acceleron must use commercially reasonable efforts to commercialize such product in each of such certain specified countries.</w:t>
      </w:r>
    </w:p>
    <w:p>
      <w:pPr>
        <w:spacing w:after="0" w:line="6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While we are performing the research activities pursuant to the research plan and for a specified period thereafter, we may not research, develop, manufacture, commercialize, use, or otherwise exploit any compound or product for the treatment, prophylaxis, or diagnosis of the Indication other than for Acceleron. While we are performing the research activities pursuant to the research plan and for a specified period thereafter, other than for Acceleron, we may not research, develop, manufacture, commercialize, use, or otherwise exploit any compound or product for the treatment, prophylaxis, or diagnosis of the Indication that is directed against certain specified biological targets identified by us in the performance of the research activities.</w:t>
      </w:r>
    </w:p>
    <w:p>
      <w:pPr>
        <w:spacing w:after="0" w:line="51"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Acceleron may also request that we perform medicinal chemistry services related to the generation and optimization of molecules directed against or expressing biological targets for the treatment, prophylaxis, or diagnosis of the Indication beyond the scope of the research plan. If we agree to provide such medicinal chemistry services, we and Acceleron will negotiate to determine the scope, timeline and budget for such medicinal chemistry services.</w:t>
      </w:r>
    </w:p>
    <w:p>
      <w:pPr>
        <w:spacing w:after="0" w:line="39"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Under the agreement, Acceleron made a $10.0 million upfront payment to us. We will be entitled to research milestone payments of up to $18.5 million in the aggregate upon first achievement of specified research milestones. Additionally, we will be entitled to development milestone payments of up to $135.0 million in the aggregate upon the first achievement of specified clinical and regulatory milestones by a product directed to a Target, and up to $67.5 million in the aggregate upon the second achievement of specified clinical and regulatory milestones by a product directed to a Target. We will also be entitled to sales-based milestone payments of up to $145.0 million in the aggregate upon the achievement of one-time aggregate annual worldwide net sales milestones for the first product directed to a Target to achieve such milestones, and up to $72.5 million in the aggregate upon the achievement of one-time aggregate annual worldwide net sales milestones for the second product directed to a Target to achieve such milestones. To date, we have achieved $2.0 million of specified research milestones. Acceleron will also pay us tiered royalties ranging from a mid single-digit percentage to a low double-digit percentage based on Acceleron’s, and any of its affiliates’ and sublicensees’, annual worldwide net sales of products directed to any Target. The royalties are payable on a product-by-product basis during a specified royalty term, and may be reduced in specified circumstances.</w:t>
      </w:r>
    </w:p>
    <w:p>
      <w:pPr>
        <w:spacing w:after="0" w:line="6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agreement continues on a country-by-country and Target-by-Target basis until the expiration of the last to expire royalty term for a product directed to such Target, at which time the agreement expires with respect to such Target in such country, unless the agreement is terminated earlier in accordance with its terms. Either party has the right to terminate the agreement if the other party has materially breached in the performance of its obligations under the agreement and such breach has not been cured within the applicable cure period. Acceleron also has the right to terminate the agreement for convenience in its entirety or on a Target-by-Target and molecule-by-molecule basis with respect to any molecule directed against a Target, upon prior written notice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Agreement with MyoKardia, a wholly-owned subsidiary of Bristol-Myers Squibb Company</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July 2020, we entered into a collaboration and license agreement with MyoKardia to identify biological targets that are capable of modulating genes of interest with relevance to certain genetically defined cardiomyopathies. Under the terms of the agreement, we granted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certain genes of interest with relevance to certain genetically defined cardiomyopathies.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ind w:right="20" w:firstLine="509"/>
        <w:spacing w:after="0" w:line="253" w:lineRule="auto"/>
        <w:rPr>
          <w:sz w:val="20"/>
          <w:szCs w:val="20"/>
          <w:color w:val="auto"/>
        </w:rPr>
      </w:pPr>
      <w:r>
        <w:rPr>
          <w:rFonts w:ascii="Arial" w:cs="Arial" w:eastAsia="Arial" w:hAnsi="Arial"/>
          <w:sz w:val="17"/>
          <w:szCs w:val="17"/>
          <w:color w:val="auto"/>
        </w:rPr>
        <w:t>Pursuant to a mutually agreed research plan, we will perform assay screening and related research activities to identify and validate up to a specified number of potential cardiomyopathy gene targets, or the Identified Targets, for further research, development, manufacture and commercialization by MyoKardia. We and MyoKardia will work together to determine how best to advance at each stage of the research activities under the research plan and to identify which of the Identified Targets, if any, meet the criteria set forth in the research plan, or the Cardiomyopathy Target Candidates. Upon completion of the research plan, the parties will work together to prepare a final data package and MyoKardia may designate certain Cardiomyopathy Target Candidates for MyoKardia’s further exploitation under the agreement, or the Cardiomyopathy Targets. If MyoKardia does not designate any Cardiomyopathy Targets during the designated period, then the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76"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During the period in which we are performing the research activities pursuant to the research plan, or the Research Term and for a specified period beyond the Research Term if MyoKardia designates a Cardiomyopathy Target, we may only use the data generated from such research activities for MyoKardia in accordance with the agreement. During the Research Term and for a specified period thereafter, we may not research, develop, manufacture, commercialize, use, or otherwise exploit any compound or product (a) that is a compound or product under the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5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Under the agreement, MyoKardia made a $10.0 million upfront payment and a $2.5 million payment as prepaid research funding to us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sales-based milestones, we will be entitled to preclinical milestone payments, development milestone payments and sales-based milestone payments of up to $298.5 million in the aggregate per target for certain Identified Targets, and of up to $150.0 million in the aggregate per target for certain other Identified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agreement directed against any Identified Target. The royalties are payable on a product-by-product basis during a specified royalty term, and may be reduced in specified circumstances.</w:t>
      </w:r>
    </w:p>
    <w:p>
      <w:pPr>
        <w:spacing w:after="0" w:line="8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agreement continues on a country-by-country and product-by-product basis until the expiration of the last to expire royalty term for a product, at which time the agreement expires with respect to such product in such country, unless the agreement is terminated earlier in accordance with its terms. Either party has the right to terminate the agreement if the other party has materially breached in the performance of its obligations and such breach has not been cured within the applicable cure period. MyoKardia also has the right to terminate the agreement for convenience in its entirety or on a target-by-target, product-by-product or molecule-by-molecule basis, upon prior written notice to 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80"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6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1" w:name="page32"/>
    <w:bookmarkEnd w:id="31"/>
    <w:p>
      <w:pPr>
        <w:ind w:right="100"/>
        <w:spacing w:after="0" w:line="248" w:lineRule="auto"/>
        <w:rPr>
          <w:sz w:val="20"/>
          <w:szCs w:val="20"/>
          <w:color w:val="auto"/>
        </w:rPr>
      </w:pPr>
      <w:r>
        <w:rPr>
          <w:rFonts w:ascii="Arial" w:cs="Arial" w:eastAsia="Arial" w:hAnsi="Arial"/>
          <w:sz w:val="18"/>
          <w:szCs w:val="18"/>
          <w:color w:val="auto"/>
        </w:rPr>
        <w:t>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7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generally file patent applications directed to our key programs in an effort to secure our intellectual property positions vis-a-vis these programs. As of February 24, 2022, we owned or in-licensed nine U.S. patents, six U.S. pending non-provisional patent applications and related pending foreign patent applications, and four U.S. provisional patent applications.</w:t>
      </w:r>
    </w:p>
    <w:p>
      <w:pPr>
        <w:spacing w:after="0" w:line="7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intellectual property portfolio for our most advanced programs as of February 24, 2022,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Losmapimod</w:t>
      </w:r>
    </w:p>
    <w:p>
      <w:pPr>
        <w:spacing w:after="0" w:line="90" w:lineRule="exact"/>
        <w:rPr>
          <w:sz w:val="20"/>
          <w:szCs w:val="20"/>
          <w:color w:val="auto"/>
        </w:rPr>
      </w:pPr>
    </w:p>
    <w:p>
      <w:pPr>
        <w:ind w:right="200" w:firstLine="509"/>
        <w:spacing w:after="0" w:line="258" w:lineRule="auto"/>
        <w:rPr>
          <w:sz w:val="20"/>
          <w:szCs w:val="20"/>
          <w:color w:val="auto"/>
        </w:rPr>
      </w:pPr>
      <w:r>
        <w:rPr>
          <w:rFonts w:ascii="Arial" w:cs="Arial" w:eastAsia="Arial" w:hAnsi="Arial"/>
          <w:sz w:val="16"/>
          <w:szCs w:val="16"/>
          <w:color w:val="auto"/>
        </w:rPr>
        <w:t>With respect to losmapimod, we own one U.S. patent covering the method of use of losmapimod for the treatment of patients with FSHD and one U.S. patent covering the use of other clinical-stage p38 inhibitors for the treatment of patients with FSHD, each of which are expected to expire in 2038, and related patents and pending patent applications in Canada and Mexico, Europe, Africa, Australia and New Zealand, South America, and Asia with expiration dates in 2038. We also own two related pending U.S. non-provisional applications and one U.S. provisional application relating to method of using losmapimod for FSHD and other disorders that, if resulting in issued patents, are expected to expire between 2038 and 2042. The patents to losmapimod licensed from GSK as a composition of matter and pharmaceutical composition are expected to expire on February 10, 2023.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FTX-6058</w:t>
      </w:r>
    </w:p>
    <w:p>
      <w:pPr>
        <w:spacing w:after="0" w:line="104" w:lineRule="exact"/>
        <w:rPr>
          <w:sz w:val="20"/>
          <w:szCs w:val="20"/>
          <w:color w:val="auto"/>
        </w:rPr>
      </w:pPr>
    </w:p>
    <w:p>
      <w:pPr>
        <w:jc w:val="both"/>
        <w:ind w:right="140" w:firstLine="509"/>
        <w:spacing w:after="0" w:line="262" w:lineRule="auto"/>
        <w:rPr>
          <w:sz w:val="20"/>
          <w:szCs w:val="20"/>
          <w:color w:val="auto"/>
        </w:rPr>
      </w:pPr>
      <w:r>
        <w:rPr>
          <w:rFonts w:ascii="Arial" w:cs="Arial" w:eastAsia="Arial" w:hAnsi="Arial"/>
          <w:sz w:val="17"/>
          <w:szCs w:val="17"/>
          <w:color w:val="auto"/>
        </w:rPr>
        <w:t>Currently, our patent portfolio related to FTX-6058 includes one issued U.S. patent directed to composition of matter that is expected to expire in 2040, two U.S. non-provisional applications and related pending patent applications in Canada and Mexico, Europe, Africa, Australia and New Zealand, South America, and Asia that, if issued, are expected to expire between 2039 and 2040. We also own three pending U.S. provisional applications directed to FTX-6058 methods of use and formulations, that, if resulting in an issued patent, would be expected to expire in 2042.</w:t>
      </w:r>
    </w:p>
    <w:p>
      <w:pPr>
        <w:spacing w:after="0" w:line="6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right="100" w:firstLine="509"/>
        <w:spacing w:after="0" w:line="270"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We do not have any manufacturing facilities. We have obtained sufficient losmapimod tablets, or drug product, from GSK to complete our ongoing Phase 2 clinical trials in FSHD. We have engaged a contract manufacturing organization to prepare our own API and to manufacture losmapimod tablets, and we believe that we have produced a sufficient quantity of losmapimod API and tablets to complete our planned Phase 3 clinical trial in FSHD.</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obtained sufficient quantities of FTX-6058 from a contract manufacturing organization to complete our ongoing Phase 1 clinical trials.</w:t>
      </w:r>
    </w:p>
    <w:p>
      <w:pPr>
        <w:spacing w:after="0" w:line="115"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We expect to continue to rely on third parties for the manufacture of FTX-6058 for any future clinical trials and for the manufacture of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66"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72"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7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or emergency use authorizations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candidates achieve marketing approval, we expect that they will be priced at a significant premium over competitive generic products.</w:t>
      </w:r>
    </w:p>
    <w:p>
      <w:pPr>
        <w:spacing w:after="0" w:line="10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10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 beneficial effect. Limited range of motion in the shoulder girdle can stem from periscapular muscle weakness, and in such cases surgical scapular fixation can result in some functional improvement for certain patients. There is also no standard practice regarding the use of physical or occupational therapy across countries and sites.</w:t>
      </w:r>
    </w:p>
    <w:p>
      <w:pPr>
        <w:spacing w:after="0" w:line="8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are not aware of any product candidate currently in clinical development for FSHD with the same mechanism of action as losmapimod or that is designed to treat the root cause of FSHD.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SCD</w:t>
      </w:r>
    </w:p>
    <w:p>
      <w:pPr>
        <w:spacing w:after="0" w:line="104" w:lineRule="exact"/>
        <w:rPr>
          <w:sz w:val="20"/>
          <w:szCs w:val="20"/>
          <w:color w:val="auto"/>
        </w:rPr>
      </w:pPr>
    </w:p>
    <w:p>
      <w:pPr>
        <w:ind w:right="320" w:firstLine="509"/>
        <w:spacing w:after="0" w:line="276" w:lineRule="auto"/>
        <w:rPr>
          <w:sz w:val="20"/>
          <w:szCs w:val="20"/>
          <w:color w:val="auto"/>
        </w:rPr>
      </w:pPr>
      <w:r>
        <w:rPr>
          <w:rFonts w:ascii="Arial" w:cs="Arial" w:eastAsia="Arial" w:hAnsi="Arial"/>
          <w:sz w:val="16"/>
          <w:szCs w:val="16"/>
          <w:color w:val="auto"/>
        </w:rPr>
        <w:t>Approved drug treatments for SCD focus primarily on the management and reduction of pain episodes, vaso-occlusive crises, and inhibition of hemoglobin S polymerization. The four drug treatments approved in the United States are hydroxyurea, voxelotor, crizanlizumab, and L-glutamine. Hydroxyurea, marketed by Bristol-Myers Squibb Company, is approved for the treatment of anemia related to SCD, to reduce the frequency of painful crises and the need for blood transfusions. Voxelotor, marketed by Global Blood Therapeutics, is approved under accelerated approval as a hemoglobin polymerization inhibitor. Crizanlizumab, marketed by Novartis, is approved for the reduction in the frequency of vasoocclusive crises. L-glutamine, marketed by Emmaus Life Sciences, Inc., is approved to reduce severe complications associated with the disorder.</w:t>
      </w:r>
    </w:p>
    <w:p>
      <w:pPr>
        <w:spacing w:after="0" w:line="5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6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FTX-6058 could face competition from a number of different therapeutic approaches in development for patients with SCD. Novo Nordisk A/S is evaluating EPI01, a small molecule designed to increase production of HbF, which has completed a Phase 1 clinical trial. Imara, Inc. is evaluating IMR-687, a PDE9 inhibitor, in Phase 2a and Phase 2b clinical trials in patients with sickle cell anemia. Agios Pharmaceuticals, Inc., is evaluating mitapivat, a PKR activator, in a Phase 2/3 clinical trial in patients with SCD. Forma Therapeutics Holdings, Inc., is evaluating FT-4202, a PKR activator, in a Phase 2/3 clinical trial. Global Blood Therapeutics, Inc. is evaluating GBT-601, an HbS polymerization inhibitor, that is anticipated to initiate a Phase 2 study by mid-2022 as well as inclacumab, a P-selectin inhibitor that is being evaluated in two Phase 3 trials. Takeda Pharmaceutical Company Limited, is evaluating TAK-755, recombinant ADAMTS13 protein, in a Phase 1 clinical trial in participants with baseline health SCD and SCD with acute vaso-occlusive crisis. Pfizer, is evaluating PF-06755347, an E-selectin antagonist, in a Phase 1 clinical trial. CRISPR Therapeutics AG (in collaboration with Vertex Pharmaceuticals Incorporated, or Vertex), is evaluating CTX001, a gene therapy, in a Phase 1/2/3 clinical trial. CRISPR Therapeutics AG and Vertex plan to file a BLA/MAA in Q4 2022. Aruvant Sciences, Inc. is evaluating ARU-1801, a gene therapy, in a Phase 1/2 clinical trial. CSL Behring, is evaluating CSL200 CAL-H, a gene therapy, in a Phase 1 clinical trial. Sangamo Therapeutics Inc., or Sangamo is developing SAR445136, a gene editing cell therapy that modifies cells to produce functional RBCs using HbF, in a Phase 1/2 clinical trial. bluebird is evaluating lovo-cel, a gene therapy, in a Phase 3 clinical trial. There are also several other gene editing approaches being evaluated by Intellia Therapeutics, Inc. (in collaboration with Novartis), Editas Medicine, Inc., and Beam Therapeutics.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ß-thalassemia</w:t>
      </w:r>
    </w:p>
    <w:p>
      <w:pPr>
        <w:spacing w:after="0" w:line="10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current standard of care for many patients with ß-thalassemia is frequent blood transfusions to manage anemia. The only potentially curative therapy for ß-thalassemia is allogeneic hematopoietic stem cell transplant, which is associated with risks of complications, including mortality, and is limited to patients with a suitable donor. The European Commission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ind w:right="40"/>
        <w:spacing w:after="0" w:line="272" w:lineRule="auto"/>
        <w:rPr>
          <w:sz w:val="20"/>
          <w:szCs w:val="20"/>
          <w:color w:val="auto"/>
        </w:rPr>
      </w:pPr>
      <w:r>
        <w:rPr>
          <w:rFonts w:ascii="Arial" w:cs="Arial" w:eastAsia="Arial" w:hAnsi="Arial"/>
          <w:sz w:val="16"/>
          <w:szCs w:val="16"/>
          <w:color w:val="auto"/>
        </w:rPr>
        <w:t>granted conditional marketing authorization for ZYNTEGLO, a gene therapy developed by bluebird, for the treatment of adult and adolescent patients with transfusion-dependent ß-thalassemia and with certain genotypes, in Europe in June 2019. However, in August 2021, bluebird announced plans to end commercial operations in Europe and has decided to focus on the U.S. market. The FDA accepted the BLA for betibeglogene autotemcel for priority review in November 2021, with a PDUFA goal date of May 20, 2022. Acceleron in collaboration with Celgene, received FDA and EMA approval for luspatercept, an erythroid maturation agent for the treatment of adult patients with anemia associated with ß-thalassemia and who require frequent transfusions. There are also multiple other experimental approaches to treat ß-thalassemia being explored in clinical trials, including approaches that use small molecule, gene therapy and gene editing approaches. Despite ongoing efforts to develop new therapies for ß-thalassemia, we believe there is still a high unmet need that could be addressed by a small molecule, oral therapy to treatment the disease by increasing HbF.</w:t>
      </w:r>
    </w:p>
    <w:p>
      <w:pPr>
        <w:spacing w:after="0" w:line="60"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FTX-6058 could face competition from a number of different therapeutic approaches in development for patients with transfusion-dependent ß-thalassemia.</w:t>
      </w:r>
    </w:p>
    <w:p>
      <w:pPr>
        <w:spacing w:after="0" w:line="63"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 xml:space="preserve">Bellicum Pharmaceuticals, Inc. is conducting a Phase 1/2 clinical trial to evaluate a modified donor T cell therapy to be used in conjunction with hematopoietic stem cell transplant Imara, Inc. is evaluating IMR-687, a PDE9 inhibitor, in a Phase 2b clinical trial in patients with ß-thalassemia. Agios Pharmaceuticals, Inc., intends to evaluate mitapivat, a PKR activator, in two Phase 3 clinical trials planned for 2021 in patients with non-transfusion dependent and transfusion-dependent ß-thalassemia. Forma Therapeutics Holdings, Inc., intends to evaluate FT-4202, a PKR activator, in a Phase 2 clinical trial in non-transfusion and transfusion-dependent ß-thalassemia. Ionis Pharmaceuticals, Inc., is evaluating IONIS TMPRSS6-LRx, an ASO therapy targeting TMPRSS6, in a Phase 2 clinical trial of non-transfusion dependent β-thalassemia intermedia. Silence Therapeutics is investigating SLN124, an siRNA therapy targeting TMPRSS6, in a Phase 1 healthy volunteer study. Orchard Therapeutics plc is conducting Phase 2 clinical trials of OTL-300, an autologous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for the treatment of transfusion-dependent ß-thalassemia. Sangamo, is conducting a Phase 1/2 clinical trial of ST-400, which uses a genome-edited cell therapy approach designed to produce functional RBCs using HbF. CRISPR Therapeutics AG, in collaboration with Vertex, is conducting a Phase 1/2 clinical trial of CTX001, which uses a gene editing approach to upregulate the expression of HbF, in patients with transfusion-dependent ß-thalassemia. CRISPR Therapeutics AG and Vertex plan to file a BLA/MAA in Q4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0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104"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w:t>
      </w:r>
    </w:p>
    <w:p>
      <w:pPr>
        <w:spacing w:after="0" w:line="8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63" w:lineRule="exact"/>
        <w:rPr>
          <w:sz w:val="20"/>
          <w:szCs w:val="20"/>
          <w:color w:val="auto"/>
        </w:rPr>
      </w:pPr>
    </w:p>
    <w:p>
      <w:pPr>
        <w:ind w:left="900" w:right="200" w:hanging="38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15" w:lineRule="exact"/>
        <w:rPr>
          <w:rFonts w:ascii="Arial" w:cs="Arial" w:eastAsia="Arial" w:hAnsi="Arial"/>
          <w:sz w:val="17"/>
          <w:szCs w:val="17"/>
          <w:color w:val="auto"/>
        </w:rPr>
      </w:pPr>
    </w:p>
    <w:p>
      <w:pPr>
        <w:ind w:left="900" w:right="140" w:hanging="38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left="900" w:right="540" w:hanging="383"/>
        <w:spacing w:after="0" w:line="24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73"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03" w:lineRule="exact"/>
        <w:rPr>
          <w:rFonts w:ascii="Arial" w:cs="Arial" w:eastAsia="Arial" w:hAnsi="Arial"/>
          <w:sz w:val="18"/>
          <w:szCs w:val="18"/>
          <w:color w:val="auto"/>
        </w:rPr>
      </w:pPr>
    </w:p>
    <w:p>
      <w:pPr>
        <w:jc w:val="both"/>
        <w:ind w:left="900" w:right="220" w:hanging="383"/>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39" w:lineRule="exact"/>
        <w:rPr>
          <w:rFonts w:ascii="Arial" w:cs="Arial" w:eastAsia="Arial" w:hAnsi="Arial"/>
          <w:sz w:val="16"/>
          <w:szCs w:val="16"/>
          <w:color w:val="auto"/>
        </w:rPr>
      </w:pPr>
    </w:p>
    <w:p>
      <w:pPr>
        <w:ind w:left="900" w:right="20" w:hanging="383"/>
        <w:spacing w:after="0" w:line="261"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03" w:lineRule="exact"/>
        <w:rPr>
          <w:rFonts w:ascii="Arial" w:cs="Arial" w:eastAsia="Arial" w:hAnsi="Arial"/>
          <w:sz w:val="18"/>
          <w:szCs w:val="18"/>
          <w:color w:val="auto"/>
        </w:rPr>
      </w:pPr>
    </w:p>
    <w:p>
      <w:pPr>
        <w:ind w:left="900" w:right="80" w:hanging="383"/>
        <w:spacing w:after="0" w:line="261"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10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66" w:lineRule="exact"/>
        <w:rPr>
          <w:sz w:val="20"/>
          <w:szCs w:val="20"/>
          <w:color w:val="auto"/>
        </w:rPr>
      </w:pPr>
    </w:p>
    <w:p>
      <w:pPr>
        <w:ind w:right="120" w:firstLine="509"/>
        <w:spacing w:after="0" w:line="267" w:lineRule="auto"/>
        <w:rPr>
          <w:sz w:val="20"/>
          <w:szCs w:val="20"/>
          <w:color w:val="auto"/>
        </w:rPr>
      </w:pPr>
      <w:r>
        <w:rPr>
          <w:rFonts w:ascii="Arial" w:cs="Arial" w:eastAsia="Arial" w:hAnsi="Arial"/>
          <w:sz w:val="16"/>
          <w:szCs w:val="16"/>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w:t>
      </w:r>
    </w:p>
    <w:p>
      <w:pPr>
        <w:spacing w:after="0" w:line="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7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40"/>
        <w:spacing w:after="0" w:line="261" w:lineRule="auto"/>
        <w:rPr>
          <w:sz w:val="20"/>
          <w:szCs w:val="20"/>
          <w:color w:val="auto"/>
        </w:rPr>
      </w:pPr>
      <w:r>
        <w:rPr>
          <w:rFonts w:ascii="Arial" w:cs="Arial" w:eastAsia="Arial" w:hAnsi="Arial"/>
          <w:sz w:val="18"/>
          <w:szCs w:val="18"/>
          <w:color w:val="auto"/>
        </w:rPr>
        <w:t>resume after the FDA has so notified the sponsor. The FDA will base that determination on information provided by the sponsor correcting the deficiencies previously cited or otherwise satisfying the FDA that the clinical trial can proceed.</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5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spacing w:after="0" w:line="81"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spacing w:after="0" w:line="7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Suspension or termination of development during any phase of clinical trials can occur for many reasons, including if the FDA, an IRB, a data safety monitoring board, or we determine that the participants or patients are being exposed to an unacceptable health risk. Other reasons for suspension or termination may be made by us based on factors such as evolving business objectives and/or the competitive environment.</w:t>
      </w:r>
    </w:p>
    <w:p>
      <w:pPr>
        <w:spacing w:after="0" w:line="56"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Information about clinical trials must be submitted within specific timeframes to the NIH for public dissemination on its ClinicalTrials.gov website. Similar requirements for posting clinical trial information are present in the European Union (EudraCT) website: https://eudract.ema.europa.eu/ and other countries, as well.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81"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There is no obligation for a sponsor to make its drug products available for expanded access; however,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90"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4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63"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in patients. During Phase 1 clinical trials, information about the investigational drug product’s PK and pharmacological effects may be obtained to permit the design of scientifically valid Phase 2 clinical trials.</w:t>
      </w:r>
    </w:p>
    <w:p>
      <w:pPr>
        <w:spacing w:after="0" w:line="8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80"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spacing w:after="0" w:line="6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spacing w:after="0" w:line="5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5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90"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Under the Pediatric Research Equity Act of 2003, or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6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grant full or partial waivers from the pediatric data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8" w:name="page39"/>
    <w:bookmarkEnd w:id="38"/>
    <w:p>
      <w:pPr>
        <w:ind w:right="20"/>
        <w:spacing w:after="0" w:line="270" w:lineRule="auto"/>
        <w:rPr>
          <w:sz w:val="20"/>
          <w:szCs w:val="20"/>
          <w:color w:val="auto"/>
        </w:rPr>
      </w:pPr>
      <w:r>
        <w:rPr>
          <w:rFonts w:ascii="Arial" w:cs="Arial" w:eastAsia="Arial" w:hAnsi="Arial"/>
          <w:sz w:val="17"/>
          <w:szCs w:val="17"/>
          <w:color w:val="auto"/>
        </w:rPr>
        <w:t>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an NDA</w:t>
      </w:r>
    </w:p>
    <w:p>
      <w:pPr>
        <w:spacing w:after="0" w:line="10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3"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2022 is $3,117,218 for an application requiring clinical data. The sponsor of an approved NDA is also subject to an annual program fee, which for fiscal year 2022 is $369,413.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7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or PDUFA, goal date may be extended by the FDA to consider new information or clarification provided by the applicant, to address a deficiency identified by the FDA in the original submission, or for other reasons.</w:t>
      </w:r>
    </w:p>
    <w:p>
      <w:pPr>
        <w:spacing w:after="0" w:line="72"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66"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w:t>
      </w:r>
    </w:p>
    <w:p>
      <w:pPr>
        <w:spacing w:after="0" w:line="90"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ind w:right="40" w:firstLine="509"/>
        <w:spacing w:after="0" w:line="274"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spacing w:after="0" w:line="5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spacing w:after="0" w:line="6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9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8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spacing w:after="0" w:line="7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64"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 proceedings to withdraw approval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The FDA’s Decision on an NDA</w:t>
      </w:r>
    </w:p>
    <w:p>
      <w:pPr>
        <w:spacing w:after="0" w:line="90"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72"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9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to maintain compliance with cGMP regulations and other regulatory requirements.</w:t>
      </w:r>
    </w:p>
    <w:p>
      <w:pPr>
        <w:spacing w:after="0" w:line="60"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The FDA may withdraw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spacing w:after="0" w:line="34" w:lineRule="exact"/>
        <w:rPr>
          <w:sz w:val="20"/>
          <w:szCs w:val="20"/>
          <w:color w:val="auto"/>
        </w:rPr>
      </w:pPr>
    </w:p>
    <w:p>
      <w:pPr>
        <w:ind w:left="900" w:hanging="38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88" w:lineRule="exact"/>
        <w:rPr>
          <w:rFonts w:ascii="Arial" w:cs="Arial" w:eastAsia="Arial" w:hAnsi="Arial"/>
          <w:sz w:val="17"/>
          <w:szCs w:val="17"/>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76" w:lineRule="exact"/>
        <w:rPr>
          <w:rFonts w:ascii="Arial" w:cs="Arial" w:eastAsia="Arial" w:hAnsi="Arial"/>
          <w:sz w:val="18"/>
          <w:szCs w:val="18"/>
          <w:color w:val="auto"/>
        </w:rPr>
      </w:pPr>
    </w:p>
    <w:p>
      <w:pPr>
        <w:ind w:left="900" w:right="280" w:hanging="383"/>
        <w:spacing w:after="0" w:line="23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90"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1" w:name="page42"/>
    <w:bookmarkEnd w:id="41"/>
    <w:p>
      <w:pPr>
        <w:ind w:right="60"/>
        <w:spacing w:after="0" w:line="241" w:lineRule="auto"/>
        <w:rPr>
          <w:sz w:val="20"/>
          <w:szCs w:val="20"/>
          <w:color w:val="auto"/>
        </w:rPr>
      </w:pPr>
      <w:r>
        <w:rPr>
          <w:rFonts w:ascii="Arial" w:cs="Arial" w:eastAsia="Arial" w:hAnsi="Arial"/>
          <w:sz w:val="18"/>
          <w:szCs w:val="18"/>
          <w:color w:val="auto"/>
        </w:rPr>
        <w:t>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8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If a company is found to have promoted off-label uses, it may become subject to administrative and judicial enforcement by the FDA, the Department of Justice, or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8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104"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spacing w:after="0" w:line="53"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or RLDs. Abbreviated new drug applications, or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2" w:name="page43"/>
    <w:bookmarkEnd w:id="42"/>
    <w:p>
      <w:pPr>
        <w:ind w:right="40" w:firstLine="509"/>
        <w:spacing w:after="0" w:line="276" w:lineRule="auto"/>
        <w:rPr>
          <w:sz w:val="20"/>
          <w:szCs w:val="20"/>
          <w:color w:val="auto"/>
        </w:rPr>
      </w:pPr>
      <w:r>
        <w:rPr>
          <w:rFonts w:ascii="Arial" w:cs="Arial" w:eastAsia="Arial" w:hAnsi="Arial"/>
          <w:sz w:val="16"/>
          <w:szCs w:val="16"/>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1" w:lineRule="exact"/>
        <w:rPr>
          <w:sz w:val="20"/>
          <w:szCs w:val="20"/>
          <w:color w:val="auto"/>
        </w:rPr>
      </w:pPr>
    </w:p>
    <w:p>
      <w:pPr>
        <w:ind w:right="520" w:firstLine="8"/>
        <w:spacing w:after="0" w:line="24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applicant is relying on studies conducted for an already approved product, the applicant is required to certify to the FDA concerning any relevant patents listed for the approved product in the Orange Book in the same manner as an ANDA applicant.</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90" w:lineRule="exact"/>
        <w:rPr>
          <w:sz w:val="20"/>
          <w:szCs w:val="20"/>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0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spacing w:after="0" w:line="3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spacing w:after="0" w:line="8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77" w:lineRule="exact"/>
        <w:rPr>
          <w:sz w:val="20"/>
          <w:szCs w:val="20"/>
          <w:color w:val="auto"/>
        </w:rPr>
      </w:pPr>
    </w:p>
    <w:p>
      <w:pPr>
        <w:ind w:firstLine="509"/>
        <w:spacing w:after="0" w:line="216"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90"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5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6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Orphan drug exclusivity also may not bar approval of another product under certain specified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77" w:lineRule="exact"/>
        <w:rPr>
          <w:sz w:val="20"/>
          <w:szCs w:val="20"/>
          <w:color w:val="auto"/>
        </w:rPr>
      </w:pPr>
    </w:p>
    <w:p>
      <w:pPr>
        <w:ind w:right="20" w:firstLine="509"/>
        <w:spacing w:after="0" w:line="210"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64" w:lineRule="exact"/>
        <w:rPr>
          <w:sz w:val="20"/>
          <w:szCs w:val="20"/>
          <w:color w:val="auto"/>
        </w:rPr>
      </w:pPr>
    </w:p>
    <w:p>
      <w:pPr>
        <w:ind w:left="900" w:right="100" w:hanging="383"/>
        <w:spacing w:after="0" w:line="24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79" w:lineRule="exact"/>
        <w:rPr>
          <w:rFonts w:ascii="Arial" w:cs="Arial" w:eastAsia="Arial" w:hAnsi="Arial"/>
          <w:sz w:val="18"/>
          <w:szCs w:val="18"/>
          <w:color w:val="auto"/>
        </w:rPr>
      </w:pPr>
    </w:p>
    <w:p>
      <w:pPr>
        <w:ind w:left="900" w:right="360" w:hanging="383"/>
        <w:spacing w:after="0" w:line="24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66" w:lineRule="exact"/>
        <w:rPr>
          <w:rFonts w:ascii="Arial" w:cs="Arial" w:eastAsia="Arial" w:hAnsi="Arial"/>
          <w:sz w:val="18"/>
          <w:szCs w:val="18"/>
          <w:color w:val="auto"/>
        </w:rPr>
      </w:pPr>
    </w:p>
    <w:p>
      <w:pPr>
        <w:ind w:left="900" w:right="600" w:hanging="383"/>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4" w:name="page45"/>
    <w:bookmarkEnd w:id="44"/>
    <w:p>
      <w:pPr>
        <w:ind w:left="900"/>
        <w:spacing w:after="0"/>
        <w:rPr>
          <w:sz w:val="20"/>
          <w:szCs w:val="20"/>
          <w:color w:val="auto"/>
        </w:rPr>
      </w:pPr>
      <w:r>
        <w:rPr>
          <w:rFonts w:ascii="Arial" w:cs="Arial" w:eastAsia="Arial" w:hAnsi="Arial"/>
          <w:sz w:val="18"/>
          <w:szCs w:val="18"/>
          <w:color w:val="auto"/>
        </w:rPr>
        <w:t>execute, a scheme to defraud any health care benefit program or making false statements relating to health care matters;</w:t>
      </w:r>
    </w:p>
    <w:p>
      <w:pPr>
        <w:spacing w:after="0" w:line="90" w:lineRule="exact"/>
        <w:rPr>
          <w:sz w:val="20"/>
          <w:szCs w:val="20"/>
          <w:color w:val="auto"/>
        </w:rPr>
      </w:pPr>
    </w:p>
    <w:p>
      <w:pPr>
        <w:ind w:left="900" w:right="180" w:hanging="383"/>
        <w:spacing w:after="0" w:line="253"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56" w:lineRule="exact"/>
        <w:rPr>
          <w:rFonts w:ascii="Arial" w:cs="Arial" w:eastAsia="Arial" w:hAnsi="Arial"/>
          <w:sz w:val="17"/>
          <w:szCs w:val="17"/>
          <w:color w:val="auto"/>
        </w:rPr>
      </w:pPr>
    </w:p>
    <w:p>
      <w:pPr>
        <w:ind w:left="900" w:hanging="383"/>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61" w:lineRule="exact"/>
        <w:rPr>
          <w:rFonts w:ascii="Arial" w:cs="Arial" w:eastAsia="Arial" w:hAnsi="Arial"/>
          <w:sz w:val="18"/>
          <w:szCs w:val="18"/>
          <w:color w:val="auto"/>
        </w:rPr>
      </w:pPr>
    </w:p>
    <w:p>
      <w:pPr>
        <w:jc w:val="both"/>
        <w:ind w:left="900" w:right="360" w:hanging="383"/>
        <w:spacing w:after="0" w:line="307"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 w:lineRule="exact"/>
        <w:rPr>
          <w:rFonts w:ascii="Arial" w:cs="Arial" w:eastAsia="Arial" w:hAnsi="Arial"/>
          <w:sz w:val="16"/>
          <w:szCs w:val="16"/>
          <w:color w:val="auto"/>
        </w:rPr>
      </w:pPr>
    </w:p>
    <w:p>
      <w:pPr>
        <w:ind w:left="900" w:right="60" w:hanging="383"/>
        <w:spacing w:after="0" w:line="25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w:t>
      </w:r>
    </w:p>
    <w:p>
      <w:pPr>
        <w:spacing w:after="0" w:line="57" w:lineRule="exact"/>
        <w:rPr>
          <w:rFonts w:ascii="Arial" w:cs="Arial" w:eastAsia="Arial" w:hAnsi="Arial"/>
          <w:sz w:val="16"/>
          <w:szCs w:val="16"/>
          <w:color w:val="auto"/>
        </w:rPr>
      </w:pPr>
    </w:p>
    <w:p>
      <w:pPr>
        <w:ind w:left="900" w:right="80" w:hanging="383"/>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1" w:lineRule="exact"/>
        <w:rPr>
          <w:rFonts w:ascii="Arial" w:cs="Arial" w:eastAsia="Arial" w:hAnsi="Arial"/>
          <w:sz w:val="18"/>
          <w:szCs w:val="18"/>
          <w:color w:val="auto"/>
        </w:rPr>
      </w:pPr>
    </w:p>
    <w:p>
      <w:pPr>
        <w:ind w:left="900" w:right="340" w:hanging="383"/>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1" w:lineRule="exact"/>
        <w:rPr>
          <w:rFonts w:ascii="Arial" w:cs="Arial" w:eastAsia="Arial" w:hAnsi="Arial"/>
          <w:sz w:val="18"/>
          <w:szCs w:val="18"/>
          <w:color w:val="auto"/>
        </w:rPr>
      </w:pPr>
    </w:p>
    <w:p>
      <w:pPr>
        <w:ind w:left="900" w:right="260" w:hanging="383"/>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70" w:lineRule="exact"/>
        <w:rPr>
          <w:sz w:val="20"/>
          <w:szCs w:val="20"/>
          <w:color w:val="auto"/>
        </w:rPr>
      </w:pPr>
    </w:p>
    <w:p>
      <w:pPr>
        <w:ind w:right="40" w:firstLine="509"/>
        <w:spacing w:after="0" w:line="250"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 For example, in California, the California Consumer Protection Act, or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 In addition,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Further data privacy and security laws and regulations in foreign jurisdictions that may be more stringent than those in the United States. (such as the European Union, which adopted the EU General Data Protection Regulation, or GDPR, which became effective in May 2018). Analogous state laws may additionally govern the privacy and security of health information in certain circumstances, many of which differ from each other in significant ways and may not have the same effect.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72"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55"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3"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74" w:lineRule="exact"/>
        <w:rPr>
          <w:sz w:val="20"/>
          <w:szCs w:val="20"/>
          <w:color w:val="auto"/>
        </w:rPr>
      </w:pPr>
    </w:p>
    <w:p>
      <w:pPr>
        <w:jc w:val="both"/>
        <w:ind w:right="220" w:firstLine="509"/>
        <w:spacing w:after="0" w:line="324" w:lineRule="auto"/>
        <w:rPr>
          <w:sz w:val="20"/>
          <w:szCs w:val="20"/>
          <w:color w:val="auto"/>
        </w:rPr>
      </w:pPr>
      <w:r>
        <w:rPr>
          <w:rFonts w:ascii="Arial" w:cs="Arial" w:eastAsia="Arial" w:hAnsi="Arial"/>
          <w:sz w:val="16"/>
          <w:szCs w:val="16"/>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3" w:lineRule="exact"/>
        <w:rPr>
          <w:sz w:val="20"/>
          <w:szCs w:val="20"/>
          <w:color w:val="auto"/>
        </w:rPr>
      </w:pPr>
    </w:p>
    <w:p>
      <w:pPr>
        <w:ind w:left="900" w:right="60" w:hanging="383"/>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61" w:lineRule="exact"/>
        <w:rPr>
          <w:rFonts w:ascii="Arial" w:cs="Arial" w:eastAsia="Arial" w:hAnsi="Arial"/>
          <w:sz w:val="18"/>
          <w:szCs w:val="18"/>
          <w:color w:val="auto"/>
        </w:rPr>
      </w:pPr>
    </w:p>
    <w:p>
      <w:pPr>
        <w:ind w:left="900" w:right="560" w:hanging="383"/>
        <w:spacing w:after="0" w:line="23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6" w:lineRule="exact"/>
        <w:rPr>
          <w:rFonts w:ascii="Arial" w:cs="Arial" w:eastAsia="Arial" w:hAnsi="Arial"/>
          <w:sz w:val="18"/>
          <w:szCs w:val="18"/>
          <w:color w:val="auto"/>
        </w:rPr>
      </w:pPr>
    </w:p>
    <w:p>
      <w:pPr>
        <w:jc w:val="both"/>
        <w:ind w:left="900" w:right="260" w:hanging="383"/>
        <w:spacing w:after="0" w:line="23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66" w:lineRule="exact"/>
        <w:rPr>
          <w:rFonts w:ascii="Arial" w:cs="Arial" w:eastAsia="Arial" w:hAnsi="Arial"/>
          <w:sz w:val="18"/>
          <w:szCs w:val="18"/>
          <w:color w:val="auto"/>
        </w:rPr>
      </w:pPr>
    </w:p>
    <w:p>
      <w:pPr>
        <w:ind w:left="900" w:hanging="383"/>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90" w:lineRule="exact"/>
        <w:rPr>
          <w:rFonts w:ascii="Arial" w:cs="Arial" w:eastAsia="Arial" w:hAnsi="Arial"/>
          <w:sz w:val="18"/>
          <w:szCs w:val="18"/>
          <w:color w:val="auto"/>
        </w:rPr>
      </w:pPr>
    </w:p>
    <w:p>
      <w:pPr>
        <w:ind w:left="900" w:right="260" w:hanging="383"/>
        <w:spacing w:after="0" w:line="23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8" w:right="379" w:bottom="1440" w:gutter="0" w:footer="0" w:header="0"/>
        </w:sectPr>
      </w:pPr>
    </w:p>
    <w:bookmarkStart w:id="46" w:name="page47"/>
    <w:bookmarkEnd w:id="46"/>
    <w:p>
      <w:pPr>
        <w:ind w:left="900" w:right="100" w:hanging="383"/>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5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Since enactment of the ACA, there have been and continue to be, numerous legal challenges and Congressional actions to repeal and replace provisions of the law. For example,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replace elements of the ACA during the next Congressional session.</w:t>
      </w:r>
    </w:p>
    <w:p>
      <w:pPr>
        <w:spacing w:after="0" w:line="83"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On November 10, 2020, the Supreme Court heard oral arguments as to whether the individual mandate portion of the ACA is an essential and inseverable feature of the ACA, and therefore because the mandate was repealed as part of the Tax Cuts and Jobs Act, the remaining provisions of the ACA are invalid as well.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6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 drug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17"/>
          <w:szCs w:val="17"/>
          <w:color w:val="auto"/>
        </w:rPr>
        <w:t>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On May 23, 2019, CMS published a final rule to allow Medicare Advantage Plans the option of using step therapy for Part B drugs beginning January 1, 2020.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7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77" w:lineRule="exact"/>
        <w:rPr>
          <w:sz w:val="20"/>
          <w:szCs w:val="20"/>
          <w:color w:val="auto"/>
        </w:rPr>
      </w:pPr>
    </w:p>
    <w:p>
      <w:pPr>
        <w:ind w:right="120" w:firstLine="509"/>
        <w:spacing w:after="0" w:line="234"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77" w:lineRule="exact"/>
        <w:rPr>
          <w:sz w:val="20"/>
          <w:szCs w:val="20"/>
          <w:color w:val="auto"/>
        </w:rPr>
      </w:pPr>
    </w:p>
    <w:p>
      <w:pPr>
        <w:ind w:right="460" w:firstLine="509"/>
        <w:spacing w:after="0" w:line="247" w:lineRule="auto"/>
        <w:rPr>
          <w:sz w:val="20"/>
          <w:szCs w:val="20"/>
          <w:color w:val="auto"/>
        </w:rPr>
      </w:pPr>
      <w:r>
        <w:rPr>
          <w:rFonts w:ascii="Arial" w:cs="Arial" w:eastAsia="Arial" w:hAnsi="Arial"/>
          <w:sz w:val="16"/>
          <w:szCs w:val="16"/>
          <w:color w:val="auto"/>
        </w:rPr>
        <w:t>In April 2014, the EU adopted the new Clinical Trials Regulation, (EU) No 536/2014, which replaced the current Clinical Trials Directive 2001/20/EC on January 31, 2022. The Clinical Trials Regulation is directly applicable in all EU Member States meaning no national implementing legislation in each EU Member State is required. It will overhaul the current system of approvals for clinical trials in the EU. The new Clinical Trials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Regulation aims to simplify and streamline the approval of clinical trials in the EU. Under the new coordinated procedure for the approval of clinical trials,</w:t>
      </w:r>
    </w:p>
    <w:p>
      <w:pPr>
        <w:spacing w:after="0" w:line="5"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the sponsor of a clinical trial will be required to submit a single application for approval of a clinical trial to a reporting EU Member State through an EU Portal. The submission procedure will be the same irrespective of whether the clinical trial is to be conducted in a single EU Member State or in more than one EU Member State.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PRIME Designation in the EU</w:t>
      </w:r>
    </w:p>
    <w:p>
      <w:pPr>
        <w:spacing w:after="0" w:line="77" w:lineRule="exact"/>
        <w:rPr>
          <w:sz w:val="20"/>
          <w:szCs w:val="20"/>
          <w:color w:val="auto"/>
        </w:rPr>
      </w:pPr>
    </w:p>
    <w:p>
      <w:pPr>
        <w:ind w:right="80" w:firstLine="509"/>
        <w:spacing w:after="0" w:line="220" w:lineRule="auto"/>
        <w:rPr>
          <w:sz w:val="20"/>
          <w:szCs w:val="20"/>
          <w:color w:val="auto"/>
        </w:rPr>
      </w:pPr>
      <w:r>
        <w:rPr>
          <w:rFonts w:ascii="Arial" w:cs="Arial" w:eastAsia="Arial" w:hAnsi="Arial"/>
          <w:sz w:val="17"/>
          <w:szCs w:val="17"/>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where the marketing authorization application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Human Medicinal Products, or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90"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w:t>
      </w:r>
    </w:p>
    <w:p>
      <w:pPr>
        <w:spacing w:after="0" w:line="5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We anticipate that the centralized procedure will be mandatory for the product candidates we are developing.</w:t>
      </w:r>
    </w:p>
    <w:p>
      <w:pPr>
        <w:spacing w:after="0" w:line="7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49" w:name="page50"/>
    <w:bookmarkEnd w:id="49"/>
    <w:p>
      <w:pPr>
        <w:ind w:right="40" w:firstLine="509"/>
        <w:spacing w:after="0" w:line="257"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67" w:lineRule="exact"/>
        <w:rPr>
          <w:sz w:val="20"/>
          <w:szCs w:val="20"/>
          <w:color w:val="auto"/>
        </w:rPr>
      </w:pPr>
    </w:p>
    <w:p>
      <w:pPr>
        <w:ind w:left="900" w:right="30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62" w:lineRule="exact"/>
        <w:rPr>
          <w:rFonts w:ascii="Arial" w:cs="Arial" w:eastAsia="Arial" w:hAnsi="Arial"/>
          <w:sz w:val="18"/>
          <w:szCs w:val="18"/>
          <w:color w:val="auto"/>
        </w:rPr>
      </w:pPr>
    </w:p>
    <w:p>
      <w:pPr>
        <w:ind w:left="900" w:right="380" w:hanging="383"/>
        <w:spacing w:after="0" w:line="291"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8" w:lineRule="exact"/>
        <w:rPr>
          <w:rFonts w:ascii="Arial" w:cs="Arial" w:eastAsia="Arial" w:hAnsi="Arial"/>
          <w:sz w:val="17"/>
          <w:szCs w:val="17"/>
          <w:color w:val="auto"/>
        </w:rPr>
      </w:pPr>
    </w:p>
    <w:p>
      <w:pPr>
        <w:ind w:left="900" w:right="34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6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5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w:t>
      </w:r>
    </w:p>
    <w:p>
      <w:pPr>
        <w:spacing w:after="0" w:line="7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64"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55"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right="300"/>
        <w:spacing w:after="0" w:line="261" w:lineRule="auto"/>
        <w:rPr>
          <w:sz w:val="20"/>
          <w:szCs w:val="20"/>
          <w:color w:val="auto"/>
        </w:rPr>
      </w:pPr>
      <w:r>
        <w:rPr>
          <w:rFonts w:ascii="Arial" w:cs="Arial" w:eastAsia="Arial" w:hAnsi="Arial"/>
          <w:sz w:val="18"/>
          <w:szCs w:val="18"/>
          <w:color w:val="auto"/>
        </w:rPr>
        <w:t>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and Market Exclusivity</w:t>
      </w:r>
    </w:p>
    <w:p>
      <w:pPr>
        <w:spacing w:after="0" w:line="90" w:lineRule="exact"/>
        <w:rPr>
          <w:sz w:val="20"/>
          <w:szCs w:val="20"/>
          <w:color w:val="auto"/>
        </w:rPr>
      </w:pPr>
    </w:p>
    <w:p>
      <w:pPr>
        <w:ind w:right="60" w:firstLine="509"/>
        <w:spacing w:after="0" w:line="235"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9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Paediatric Studies and Exclusivity</w:t>
      </w:r>
    </w:p>
    <w:p>
      <w:pPr>
        <w:spacing w:after="0" w:line="90" w:lineRule="exact"/>
        <w:rPr>
          <w:sz w:val="20"/>
          <w:szCs w:val="20"/>
          <w:color w:val="auto"/>
        </w:rPr>
      </w:pPr>
    </w:p>
    <w:p>
      <w:pPr>
        <w:ind w:firstLine="509"/>
        <w:spacing w:after="0" w:line="250" w:lineRule="auto"/>
        <w:rPr>
          <w:sz w:val="20"/>
          <w:szCs w:val="20"/>
          <w:color w:val="auto"/>
        </w:rPr>
      </w:pPr>
      <w:r>
        <w:rPr>
          <w:rFonts w:ascii="Arial" w:cs="Arial" w:eastAsia="Arial" w:hAnsi="Arial"/>
          <w:sz w:val="16"/>
          <w:szCs w:val="16"/>
          <w:color w:val="auto"/>
        </w:rPr>
        <w:t>Prior to obtaining a marketing authorization in the EU,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jc w:val="both"/>
        <w:ind w:right="240"/>
        <w:spacing w:after="0" w:line="248" w:lineRule="auto"/>
        <w:rPr>
          <w:sz w:val="20"/>
          <w:szCs w:val="20"/>
          <w:color w:val="auto"/>
        </w:rPr>
      </w:pPr>
      <w:r>
        <w:rPr>
          <w:rFonts w:ascii="Arial" w:cs="Arial" w:eastAsia="Arial" w:hAnsi="Arial"/>
          <w:sz w:val="18"/>
          <w:szCs w:val="18"/>
          <w:color w:val="auto"/>
        </w:rPr>
        <w:t>intended for the same therapeutic indication. An orphan product can also obtain an additional two years of market exclusivity in the EU where an agreed pediatric investigation plan for pediatric studies has been complied with. No extension to any supplementary protection certificate can be granted on the basis of pediatric studies for orphan indications.</w:t>
      </w:r>
    </w:p>
    <w:p>
      <w:pPr>
        <w:spacing w:after="0" w:line="7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drug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72"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90"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2" w:lineRule="exact"/>
        <w:rPr>
          <w:sz w:val="20"/>
          <w:szCs w:val="20"/>
          <w:color w:val="auto"/>
        </w:rPr>
      </w:pPr>
    </w:p>
    <w:p>
      <w:pPr>
        <w:ind w:left="900" w:right="240" w:hanging="383"/>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1"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52" w:lineRule="exact"/>
        <w:rPr>
          <w:rFonts w:ascii="Arial" w:cs="Arial" w:eastAsia="Arial" w:hAnsi="Arial"/>
          <w:sz w:val="16"/>
          <w:szCs w:val="16"/>
          <w:color w:val="auto"/>
        </w:rPr>
      </w:pPr>
    </w:p>
    <w:p>
      <w:pPr>
        <w:ind w:left="900" w:right="60" w:hanging="383"/>
        <w:spacing w:after="0" w:line="23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17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EU Member States, plus Norway, Liechtenstein and Iceland.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90" w:lineRule="exact"/>
        <w:rPr>
          <w:sz w:val="20"/>
          <w:szCs w:val="20"/>
          <w:color w:val="auto"/>
        </w:rPr>
      </w:pPr>
    </w:p>
    <w:p>
      <w:pPr>
        <w:ind w:firstLine="749"/>
        <w:spacing w:after="0" w:line="254"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ind w:right="180"/>
        <w:spacing w:after="0" w:line="246" w:lineRule="auto"/>
        <w:rPr>
          <w:sz w:val="20"/>
          <w:szCs w:val="20"/>
          <w:color w:val="auto"/>
        </w:rPr>
      </w:pPr>
      <w:r>
        <w:rPr>
          <w:rFonts w:ascii="Arial" w:cs="Arial" w:eastAsia="Arial" w:hAnsi="Arial"/>
          <w:sz w:val="18"/>
          <w:szCs w:val="18"/>
          <w:color w:val="auto"/>
        </w:rPr>
        <w:t>violations of the GDPR. Compliance with the GDPR will be a rigorous and time-intensive process that may increase the cost of doing business or require companies to change their business practices to ensure full compliance.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On June 23, 2016, the electorate in the United Kingdom voted in favor of leaving the EU, commonly referred to as Brexit, and the United Kingdom formally left the EU on January 31, 2020. There was a transition period during which EU pharmaceutical laws continued to apply to the United Kingdom, which expired on December 31, 2020. However,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however it is possible that these regimes will diverge in future now that Great Britain’s regulatory system is independent from the EU and the TCA does not provide for mutual recognition of UK and EU pharmaceutical legislation.</w:t>
      </w:r>
    </w:p>
    <w:p>
      <w:pPr>
        <w:spacing w:after="0" w:line="6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Furthermore, the Data Protection Act of 2018 in the United Kingdom “implements” and complements the EU’s GDPR, and is effective in the United Kingdom. On June 28, 2021, unless the European Commission adopted an adequacy decision in respect of transfers of personal data to the United Kingdom for a four-year period (until 27 June 2025). Similarly, the United Kingdom has determined that it considers all of the EU and EEA Member States to be adequate for the purposes of data protection. This ensures data flows between the United Kingdom and the EU and EEA remain unaffected.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7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 xml:space="preserve">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Arial" w:cs="Arial" w:eastAsia="Arial" w:hAnsi="Arial"/>
          <w:sz w:val="17"/>
          <w:szCs w:val="17"/>
          <w:i w:val="1"/>
          <w:iCs w:val="1"/>
          <w:color w:val="auto"/>
        </w:rPr>
        <w:t>i.e.</w:t>
      </w:r>
      <w:r>
        <w:rPr>
          <w:rFonts w:ascii="Arial" w:cs="Arial" w:eastAsia="Arial" w:hAnsi="Arial"/>
          <w:sz w:val="17"/>
          <w:szCs w:val="17"/>
          <w:color w:val="auto"/>
        </w:rPr>
        <w:t>, arbitrage between low-priced and high-priced EU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w:t>
      </w:r>
    </w:p>
    <w:p>
      <w:pPr>
        <w:spacing w:after="0" w:line="73"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Human Capital Management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 &amp; Our Employees</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launched with a bold vision to change the course of genetically defined diseases by treating them at their root cause. Our approach to drug discovery generates significant insights into disease biology and allows us to think creatively about the best way to modulate and balance gene expression. Our patient-focused product engine, FulcrumSeek, is designed to systematically identify and validate cellular drug targets that can modulate gene expression to treat the known root cause of genetically defined diseases. We take great pride in being purposeful patient partners who do this work, not just for patients, but with patients.</w:t>
      </w:r>
    </w:p>
    <w:p>
      <w:pPr>
        <w:spacing w:after="0" w:line="8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view our employees as one of our most valuable assets in serving our mission. We believe that our future success is dependent on attracting, motivating and retaining talented employees. We value the health and wellness of our employees and their families. We aim to create an equitable, inclusive and empowering work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Behaviors Support Our Mission</w:t>
      </w:r>
    </w:p>
    <w:p>
      <w:pPr>
        <w:spacing w:after="0" w:line="104" w:lineRule="exact"/>
        <w:rPr>
          <w:sz w:val="20"/>
          <w:szCs w:val="20"/>
          <w:color w:val="auto"/>
        </w:rPr>
      </w:pPr>
    </w:p>
    <w:p>
      <w:pPr>
        <w:ind w:right="420" w:firstLine="749"/>
        <w:spacing w:after="0" w:line="261" w:lineRule="auto"/>
        <w:rPr>
          <w:sz w:val="20"/>
          <w:szCs w:val="20"/>
          <w:color w:val="auto"/>
        </w:rPr>
      </w:pPr>
      <w:r>
        <w:rPr>
          <w:rFonts w:ascii="Arial" w:cs="Arial" w:eastAsia="Arial" w:hAnsi="Arial"/>
          <w:sz w:val="18"/>
          <w:szCs w:val="18"/>
          <w:color w:val="auto"/>
        </w:rPr>
        <w:t>We believe success comes when we and our employees align with our mission to improve the lives of patients with genetically-defined rare diseases in areas of high unmet medical need. We are the FULcrew united around these Pillars:</w:t>
      </w:r>
    </w:p>
    <w:p>
      <w:pPr>
        <w:spacing w:after="0" w:line="6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take great pride in being Purposeful Patient Partners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culture of Trust and Transparency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Invested in our People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Playful spirit and have fun together at work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launched Fulcrum with a Bold Scientific Vision and remain committed to this journey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of Human Capital</w:t>
      </w:r>
    </w:p>
    <w:p>
      <w:pPr>
        <w:spacing w:after="0" w:line="104"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To effectively leverage and manage our peoples, we ensure our hiring needs are directly aligned with our strategy, we invest in our people focused on their development and journey while at Fulcrum and most importantly we identify our key talent to ensure we are focused on their retention. We track and report internally on key talent metrics including a focus on overall headcount and by function, hiring metrics, career development (promotions, etc.), turnover trends, and employee demographics (including race, gender, ethnicity). Our senior executives use these metrics to make thoughtful decisions around our people including resource planning, recruitment and retention initiatives and design of compensation and benefits programs. We share these metrics quarterly with the senior executives and board of directors to assist it in fulfilling its duties to (a) establish our enterprise compensation philosophy,</w:t>
      </w:r>
    </w:p>
    <w:p>
      <w:pPr>
        <w:spacing w:after="0" w:line="3" w:lineRule="exact"/>
        <w:rPr>
          <w:sz w:val="20"/>
          <w:szCs w:val="20"/>
          <w:color w:val="auto"/>
        </w:rPr>
      </w:pPr>
    </w:p>
    <w:p>
      <w:pPr>
        <w:ind w:right="80" w:firstLine="8"/>
        <w:spacing w:after="0" w:line="243"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administer our compensation plans, (c) evaluate the performance of our executive officers and key employees and (d) review and monitor management development and succession plans.</w:t>
      </w:r>
    </w:p>
    <w:p>
      <w:pPr>
        <w:spacing w:after="0" w:line="78" w:lineRule="exact"/>
        <w:rPr>
          <w:sz w:val="20"/>
          <w:szCs w:val="20"/>
          <w:color w:val="auto"/>
        </w:rPr>
      </w:pPr>
    </w:p>
    <w:p>
      <w:pPr>
        <w:ind w:right="480" w:firstLine="509"/>
        <w:spacing w:after="0" w:line="248" w:lineRule="auto"/>
        <w:rPr>
          <w:sz w:val="20"/>
          <w:szCs w:val="20"/>
          <w:color w:val="auto"/>
        </w:rPr>
      </w:pPr>
      <w:r>
        <w:rPr>
          <w:rFonts w:ascii="Arial" w:cs="Arial" w:eastAsia="Arial" w:hAnsi="Arial"/>
          <w:sz w:val="18"/>
          <w:szCs w:val="18"/>
          <w:color w:val="auto"/>
        </w:rPr>
        <w:t>As of February 24,2022, we had 104 full-time employees, including a total of 41 employees with M.D. or Ph.D. degrees. Of these full-time employees, 67 employees are engaged in research and development. None of our employees are represented by labor unions or covered by collective bargaining agreements. We consider our relationship with our employees to be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Commitment to Diversity, Equity &amp; Inclusion</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strongly believe in a diverse workplace where all our employees can thrive in an inclusive environment free from discrimination, harassment, bias and prejudice. We aim to treat all individuals with respect and dignity and to provide all our employees with equal opportunity and fair treatment based on merit. By embracing diversity and inclusion, we create an organization committed to working together to develop innovative solutions in support of our mission consistent with our values. We cultivate a culture and environment where different backgrounds and perspectives are not only respected and heard, but embraced and celebrated. Not only is a diverse, equitable and inclusive mindset and culture critical to an engaged and committed workplace, but it is also imperative to understanding and meeting the needs of the patients we seek to help with our medicines.</w:t>
      </w:r>
    </w:p>
    <w:p>
      <w:pPr>
        <w:spacing w:after="0" w:line="53"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As we grow and mature, we look forward to establishing programs/metrics that support diversity, equity, inclusion, and belonging. We will focus on continuing to bring more diversity talent to Fulcrum, creating an inclusive environment by creating awareness (speakers, etc.) and ensuring our underrepresent employees are provided the right career opportunities.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4" w:name="page55"/>
    <w:bookmarkEnd w:id="54"/>
    <w:p>
      <w:pPr>
        <w:ind w:right="500" w:firstLine="509"/>
        <w:spacing w:after="0" w:line="261" w:lineRule="auto"/>
        <w:rPr>
          <w:sz w:val="20"/>
          <w:szCs w:val="20"/>
          <w:color w:val="auto"/>
        </w:rPr>
      </w:pPr>
      <w:r>
        <w:rPr>
          <w:rFonts w:ascii="Arial" w:cs="Arial" w:eastAsia="Arial" w:hAnsi="Arial"/>
          <w:sz w:val="18"/>
          <w:szCs w:val="18"/>
          <w:color w:val="auto"/>
        </w:rPr>
        <w:t>As of February 24, 2022, women accounted for approximate 49% of our full-time employees. As of February 24, 2022, our employee records indicate that approximately 32% of our full-time U.S. employees identify as non-white.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&amp; Benefits</w:t>
      </w:r>
    </w:p>
    <w:p>
      <w:pPr>
        <w:spacing w:after="0" w:line="104" w:lineRule="exact"/>
        <w:rPr>
          <w:sz w:val="20"/>
          <w:szCs w:val="20"/>
          <w:color w:val="auto"/>
        </w:rPr>
      </w:pPr>
    </w:p>
    <w:p>
      <w:pPr>
        <w:ind w:right="380" w:firstLine="509"/>
        <w:spacing w:after="0" w:line="282" w:lineRule="auto"/>
        <w:rPr>
          <w:sz w:val="20"/>
          <w:szCs w:val="20"/>
          <w:color w:val="auto"/>
        </w:rPr>
      </w:pPr>
      <w:r>
        <w:rPr>
          <w:rFonts w:ascii="Arial" w:cs="Arial" w:eastAsia="Arial" w:hAnsi="Arial"/>
          <w:sz w:val="16"/>
          <w:szCs w:val="16"/>
          <w:color w:val="auto"/>
        </w:rPr>
        <w:t>Given the highly competitive nature of our industry and the importance of recruitment and retention to our success, we strive to furnish our employees with what we believe is a very competitive and comprehensive total rewards package of compensation, benefits and services. This package</w:t>
      </w:r>
    </w:p>
    <w:p>
      <w:pPr>
        <w:ind w:right="80"/>
        <w:spacing w:after="0" w:line="302" w:lineRule="auto"/>
        <w:rPr>
          <w:sz w:val="20"/>
          <w:szCs w:val="20"/>
          <w:color w:val="auto"/>
        </w:rPr>
      </w:pPr>
      <w:r>
        <w:rPr>
          <w:rFonts w:ascii="Arial" w:cs="Arial" w:eastAsia="Arial" w:hAnsi="Arial"/>
          <w:sz w:val="16"/>
          <w:szCs w:val="16"/>
          <w:color w:val="auto"/>
        </w:rPr>
        <w:t>includes competitive compensation, including equity compensation, and comprehensive benefits program that provides resources to help employees manage their health and well-being, finances, and life outside of work (promoting flexibility), including health insurance and dental care, vision insurance, disability insurance, paid sick leave, a 401(k) plan, paid time off (inclusive of vacation, holidays, focus days) and employee assistance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to Address the COVID-19 Pandemic</w:t>
      </w:r>
    </w:p>
    <w:p>
      <w:pPr>
        <w:spacing w:after="0" w:line="104"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Employee safety and wellbeing is of paramount importance to us in any year and was of particular focus in 2021 in light of the ongoing COVID-19 pandemic. In response to the pandemic, we have supported our employees to curb the COVID-19 pandemic through safety and communication efforts and investments, which include:</w:t>
      </w:r>
    </w:p>
    <w:p>
      <w:pPr>
        <w:spacing w:after="0" w:line="74" w:lineRule="exact"/>
        <w:rPr>
          <w:sz w:val="20"/>
          <w:szCs w:val="20"/>
          <w:color w:val="auto"/>
        </w:rPr>
      </w:pPr>
    </w:p>
    <w:p>
      <w:pPr>
        <w:ind w:left="1020" w:right="56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Creating a COVID-19 task force responsible for establishing COVID-19, safety protocols and regularly communicating updates to all employees;</w:t>
      </w:r>
    </w:p>
    <w:p>
      <w:pPr>
        <w:spacing w:after="0" w:line="62"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Decreasing density and increasing physical distancing in our facilities for employees working onsite using scheduling adjustments and flexibility;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Adhering to robust cleaning protocols;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on site testing ;</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and providing masks to all onsite employees;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Proactively creating rigorous procedures to address actual and suspected COVID-19 cases and potential exposure;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Being nimble reacting real time with a sense of urgency to anything that came our way to support our employees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Additionally, from time to time we have instituted additional programs during the pandemic to support our employees. We leveraged our weekly company meeting to keep our employees connected on what was happening during the pandemic (managing expectations and listening to their needs) as well as making employee connections (fun breakouts in the spirit of building relationships/connections). We also provided a subsidy for home office set-up, flexibility to figure out work location/hours, and enhanced our employee assistance services (comprehensive mental health, work-life and management services).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Our principal executive office is located at 26 Landsdowne Street, Cambridge, MA 02139, and our telephone number is 617-651-8851. Our internet website address is www.fulcrumtx.com. The information contained on, or that can be accessed through, our website is not a part of this Annual Report on Form 10-K.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Annual Report on Form 10-K for a discussion of some of the forward-looking statements that are qualified by these risk factors. Factors that could cause or contribute to such differences include those factors discussed below.</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49" w:lineRule="exact"/>
        <w:rPr>
          <w:sz w:val="20"/>
          <w:szCs w:val="20"/>
          <w:color w:val="auto"/>
        </w:rPr>
      </w:pPr>
    </w:p>
    <w:p>
      <w:pPr>
        <w:ind w:right="180" w:firstLine="509"/>
        <w:spacing w:after="0" w:line="238" w:lineRule="auto"/>
        <w:rPr>
          <w:sz w:val="20"/>
          <w:szCs w:val="20"/>
          <w:color w:val="auto"/>
        </w:rPr>
      </w:pPr>
      <w:r>
        <w:rPr>
          <w:rFonts w:ascii="Arial" w:cs="Arial" w:eastAsia="Arial" w:hAnsi="Arial"/>
          <w:sz w:val="17"/>
          <w:szCs w:val="17"/>
          <w:color w:val="auto"/>
        </w:rPr>
        <w:t>Since inception, we have incurred significant operating losses. Our net loss was $80.8 million for the year ended December 31, 2021 and $70.8 million for the year ended December 31, 2020. As of December 31, 2021, we had an accumulated deficit of $302.5 million. To date, we have funded our operations primarily from the sale of shares of our common stock in public offerings, a private placement, and in “at-the-market” offerings, or the ATM Offering, through issuances of convertible preferred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3"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FTX-6058;</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advance clinical-stage product candidates into later stage trials, such as a Phase 3 clinical trial of losmapimod for the treatment of FSHD;</w:t>
      </w:r>
    </w:p>
    <w:p>
      <w:pPr>
        <w:spacing w:after="0" w:line="115" w:lineRule="exact"/>
        <w:rPr>
          <w:rFonts w:ascii="Arial" w:cs="Arial" w:eastAsia="Arial" w:hAnsi="Arial"/>
          <w:sz w:val="17"/>
          <w:szCs w:val="17"/>
          <w:color w:val="auto"/>
        </w:rPr>
      </w:pPr>
    </w:p>
    <w:p>
      <w:pPr>
        <w:ind w:left="900" w:right="54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900" w:right="300" w:hanging="383"/>
        <w:spacing w:after="0" w:line="291"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03"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03"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ind w:right="180" w:firstLine="509"/>
        <w:spacing w:after="0" w:line="239"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4" w:lineRule="exact"/>
        <w:rPr>
          <w:sz w:val="20"/>
          <w:szCs w:val="20"/>
          <w:color w:val="auto"/>
        </w:rPr>
      </w:pPr>
    </w:p>
    <w:p>
      <w:pPr>
        <w:ind w:left="900" w:right="640" w:hanging="383"/>
        <w:spacing w:after="0" w:line="23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required by the FDA, the EMA, or other regulatory authorities to perform trials or studies in addition to, or different than, those expected;</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196" w:lineRule="exact"/>
        <w:rPr>
          <w:sz w:val="20"/>
          <w:szCs w:val="20"/>
          <w:color w:val="auto"/>
        </w:rPr>
      </w:pPr>
    </w:p>
    <w:p>
      <w:pPr>
        <w:ind w:right="140" w:firstLine="509"/>
        <w:spacing w:after="0" w:line="21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4" w:lineRule="exact"/>
        <w:rPr>
          <w:sz w:val="20"/>
          <w:szCs w:val="20"/>
          <w:color w:val="auto"/>
        </w:rPr>
      </w:pPr>
    </w:p>
    <w:p>
      <w:pPr>
        <w:ind w:firstLine="509"/>
        <w:spacing w:after="0" w:line="211" w:lineRule="auto"/>
        <w:rPr>
          <w:sz w:val="20"/>
          <w:szCs w:val="20"/>
          <w:color w:val="auto"/>
        </w:rPr>
      </w:pPr>
      <w:r>
        <w:rPr>
          <w:rFonts w:ascii="Arial" w:cs="Arial" w:eastAsia="Arial" w:hAnsi="Arial"/>
          <w:sz w:val="18"/>
          <w:szCs w:val="18"/>
          <w:color w:val="auto"/>
        </w:rPr>
        <w:t>We expect to devote substantial financial resources to our ongoing and planned activities, particularly as we continue our ongoing and planned clinical trials of losmapimod and FTX-6058,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77"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costs and results of our ongoing clinical trials of losmapimod and FTX-6058;</w:t>
      </w:r>
    </w:p>
    <w:p>
      <w:pPr>
        <w:spacing w:after="0" w:line="76" w:lineRule="exact"/>
        <w:rPr>
          <w:rFonts w:ascii="Arial" w:cs="Arial" w:eastAsia="Arial" w:hAnsi="Arial"/>
          <w:sz w:val="18"/>
          <w:szCs w:val="18"/>
          <w:color w:val="auto"/>
        </w:rPr>
      </w:pPr>
    </w:p>
    <w:p>
      <w:pPr>
        <w:ind w:left="900" w:right="800" w:hanging="383"/>
        <w:spacing w:after="0" w:line="23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planned clinical trials, such as our planned Phase 1b clinical trial of FTX-6058 in select hemoglobinopathies, including ß-thalassemia, and plans for a Phase 3 clinical trial of losmapimod for the treatment of FSHD;</w:t>
      </w:r>
    </w:p>
    <w:p>
      <w:pPr>
        <w:spacing w:after="0" w:line="53" w:lineRule="exact"/>
        <w:rPr>
          <w:rFonts w:ascii="Arial" w:cs="Arial" w:eastAsia="Arial" w:hAnsi="Arial"/>
          <w:sz w:val="18"/>
          <w:szCs w:val="18"/>
          <w:color w:val="auto"/>
        </w:rPr>
      </w:pPr>
    </w:p>
    <w:p>
      <w:pPr>
        <w:ind w:left="900" w:right="560" w:hanging="383"/>
        <w:spacing w:after="0" w:line="23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and operations;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76" w:lineRule="exact"/>
        <w:rPr>
          <w:rFonts w:ascii="Arial" w:cs="Arial" w:eastAsia="Arial" w:hAnsi="Arial"/>
          <w:sz w:val="18"/>
          <w:szCs w:val="18"/>
          <w:color w:val="auto"/>
        </w:rPr>
      </w:pPr>
    </w:p>
    <w:p>
      <w:pPr>
        <w:ind w:left="900" w:right="240" w:hanging="383"/>
        <w:spacing w:after="0" w:line="23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76" w:lineRule="exact"/>
        <w:rPr>
          <w:rFonts w:ascii="Arial" w:cs="Arial" w:eastAsia="Arial" w:hAnsi="Arial"/>
          <w:sz w:val="18"/>
          <w:szCs w:val="18"/>
          <w:color w:val="auto"/>
        </w:rPr>
      </w:pPr>
    </w:p>
    <w:p>
      <w:pPr>
        <w:ind w:left="900" w:right="660" w:hanging="383"/>
        <w:spacing w:after="0" w:line="23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76" w:lineRule="exact"/>
        <w:rPr>
          <w:rFonts w:ascii="Arial" w:cs="Arial" w:eastAsia="Arial" w:hAnsi="Arial"/>
          <w:sz w:val="18"/>
          <w:szCs w:val="18"/>
          <w:color w:val="auto"/>
        </w:rPr>
      </w:pPr>
    </w:p>
    <w:p>
      <w:pPr>
        <w:ind w:left="900" w:right="160" w:hanging="383"/>
        <w:spacing w:after="0" w:line="23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7" w:name="page58"/>
    <w:bookmarkEnd w:id="57"/>
    <w:p>
      <w:pPr>
        <w:ind w:left="900" w:right="820" w:hanging="383"/>
        <w:spacing w:after="0" w:line="23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90"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As of December 31, 2021, we had cash, cash equivalents, and marketable securities of approximately $218.2 million. We believe that our cash, cash equivalents, and marketable securities as of December 31, 2021 will enable us to fund our operating expenses and capital expenditure requirements into 2024.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6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63"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5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12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72"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8" w:name="page59"/>
    <w:bookmarkEnd w:id="58"/>
    <w:p>
      <w:pPr>
        <w:jc w:val="both"/>
        <w:ind w:firstLine="509"/>
        <w:spacing w:after="0" w:line="248"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0"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56"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In light of the COVID-19 pandemic, we and our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pandemic.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response to the COVID-19 pandemic, the clinical trial sites for our ReDUX4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pandemic. In addition, since the beginning of the COVID-19 pandemic, three vaccines for COVID-19 have received Emergency Use Authorization by the FDA and one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further delays in these trials. The response to the ongoing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61"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Additionally, the impact of the ongoing COVID-19 pandemic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ongoing COVID-19 pandemic.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ongoing pandemic has on the ability of our CROs to deliver data sets and execute on experimentation could cause substantial delays for our discovery activities and materially impact our ability to fuel our pipeline with new product candidates.</w:t>
      </w:r>
    </w:p>
    <w:p>
      <w:pPr>
        <w:spacing w:after="0" w:line="60"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ongoing COVID-19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continue to significantly impact economies worldwide, which could result in adverse effects on our business and operations. We cannot be certain what the overall impact of the ongoing COVID-19 pandemic will be on our business. The extent of the impact of COVID-19 on our business, financial condition, results of operations and prospects will depend on future developments that are highly uncertain, including as a result of new information that may emerge concerning COVID-19 or any variant strains of the virus and actions to be taken to contain or mitigate the impact of COVID-19, including the supply, distribution and effectiveness of vaccines.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12" w:lineRule="exact"/>
        <w:rPr>
          <w:sz w:val="20"/>
          <w:szCs w:val="20"/>
          <w:color w:val="auto"/>
        </w:rPr>
      </w:pPr>
    </w:p>
    <w:p>
      <w:pPr>
        <w:jc w:val="both"/>
        <w:ind w:right="120" w:firstLine="509"/>
        <w:spacing w:after="0" w:line="241"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ind w:right="100"/>
        <w:spacing w:after="0" w:line="261" w:lineRule="auto"/>
        <w:rPr>
          <w:sz w:val="20"/>
          <w:szCs w:val="20"/>
          <w:color w:val="auto"/>
        </w:rPr>
      </w:pPr>
      <w:r>
        <w:rPr>
          <w:rFonts w:ascii="Arial" w:cs="Arial" w:eastAsia="Arial" w:hAnsi="Arial"/>
          <w:sz w:val="18"/>
          <w:szCs w:val="18"/>
          <w:color w:val="auto"/>
        </w:rPr>
        <w:t>business, cash flow, financial condition or results of operations. We urge investors to consult with their legal and tax advisers regarding the implications of potential changes in tax laws on an investment in our common stock.</w:t>
      </w:r>
    </w:p>
    <w:p>
      <w:pPr>
        <w:spacing w:after="0" w:line="26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67"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As of December 31, 2021, we had federal and state net operating loss carryforwards of $245.8 million and $244.0 million, respectively, which begin to expire in 2036. Approximately $214.8 million of the federal net operating losses can be carried forward indefinitely. As of December 31, 2021, we also had federal orphan drug credits of $6.7 million, which begin to expire in 2040. As of December 31, 2021, we also had federal and state research and development tax credit carryforwards of $6.1 million and $3.3 million, respectively, which begin to expire in 2035 and 2030, respectively. These net operating loss and tax credit carryforwards could expire unused and be unavailable to offset future income tax liabilities.</w:t>
      </w:r>
    </w:p>
    <w:p>
      <w:pPr>
        <w:spacing w:after="0" w:line="66"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In general, under Section 382 of the U.S. Internal Revenue Code of 1986, as amended, or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55"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81"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54" w:lineRule="exact"/>
        <w:rPr>
          <w:sz w:val="20"/>
          <w:szCs w:val="20"/>
          <w:color w:val="auto"/>
        </w:rPr>
      </w:pPr>
    </w:p>
    <w:p>
      <w:pPr>
        <w:ind w:right="100" w:firstLine="509"/>
        <w:spacing w:after="0" w:line="214" w:lineRule="auto"/>
        <w:rPr>
          <w:sz w:val="20"/>
          <w:szCs w:val="20"/>
          <w:color w:val="auto"/>
        </w:rPr>
      </w:pPr>
      <w:r>
        <w:rPr>
          <w:rFonts w:ascii="Arial" w:cs="Arial" w:eastAsia="Arial" w:hAnsi="Arial"/>
          <w:sz w:val="18"/>
          <w:szCs w:val="18"/>
          <w:color w:val="auto"/>
        </w:rPr>
        <w:t>We are early in our development efforts, and we have advanced only two product candidates into clinical trials, losmapimod for the treatment of FSHD, and FTX-6058 for the treatment of SCD and select hemoglobinopathies. We have invested substantially all of our efforts and financial resources in our proprietary product engine to identify and validate cellular drug targets that can potentially modulate gene expression to address the root cause of genetically-defined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54" w:lineRule="exact"/>
        <w:rPr>
          <w:sz w:val="20"/>
          <w:szCs w:val="20"/>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76" w:lineRule="exact"/>
        <w:rPr>
          <w:rFonts w:ascii="Arial" w:cs="Arial" w:eastAsia="Arial" w:hAnsi="Arial"/>
          <w:sz w:val="18"/>
          <w:szCs w:val="18"/>
          <w:color w:val="auto"/>
        </w:rPr>
      </w:pPr>
    </w:p>
    <w:p>
      <w:pPr>
        <w:ind w:left="900" w:right="20" w:hanging="383"/>
        <w:spacing w:after="0" w:line="23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INDs, clinical trial applications, or CTAs, or other regulatory filings for losmapimod, FTX-6058 and future product candidates;</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76" w:lineRule="exact"/>
        <w:rPr>
          <w:rFonts w:ascii="Arial" w:cs="Arial" w:eastAsia="Arial" w:hAnsi="Arial"/>
          <w:sz w:val="18"/>
          <w:szCs w:val="18"/>
          <w:color w:val="auto"/>
        </w:rPr>
      </w:pPr>
    </w:p>
    <w:p>
      <w:pPr>
        <w:ind w:left="900" w:right="120" w:hanging="383"/>
        <w:spacing w:after="0" w:line="23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99" w:lineRule="exact"/>
        <w:rPr>
          <w:rFonts w:ascii="Arial" w:cs="Arial" w:eastAsia="Arial" w:hAnsi="Arial"/>
          <w:sz w:val="16"/>
          <w:szCs w:val="16"/>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185" w:lineRule="exact"/>
        <w:rPr>
          <w:sz w:val="20"/>
          <w:szCs w:val="20"/>
          <w:color w:val="auto"/>
        </w:rPr>
      </w:pPr>
    </w:p>
    <w:p>
      <w:pPr>
        <w:ind w:right="140" w:firstLine="509"/>
        <w:spacing w:after="0" w:line="23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77" w:lineRule="exact"/>
        <w:rPr>
          <w:sz w:val="20"/>
          <w:szCs w:val="20"/>
          <w:color w:val="auto"/>
        </w:rPr>
      </w:pPr>
    </w:p>
    <w:p>
      <w:pPr>
        <w:ind w:right="60" w:firstLine="509"/>
        <w:spacing w:after="0" w:line="220" w:lineRule="auto"/>
        <w:rPr>
          <w:sz w:val="20"/>
          <w:szCs w:val="20"/>
          <w:color w:val="auto"/>
        </w:rPr>
      </w:pPr>
      <w:r>
        <w:rPr>
          <w:rFonts w:ascii="Arial" w:cs="Arial" w:eastAsia="Arial" w:hAnsi="Arial"/>
          <w:sz w:val="17"/>
          <w:szCs w:val="17"/>
          <w:color w:val="auto"/>
        </w:rPr>
        <w:t>A key element of our strategy is to use our proprietary product engine to identify and validate cellular drug targets that can potentially modulate gene expression to address the root cause of genetically-defined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collaborations with Acceleron and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7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8" w:lineRule="exact"/>
        <w:rPr>
          <w:sz w:val="20"/>
          <w:szCs w:val="20"/>
          <w:color w:val="auto"/>
        </w:rPr>
      </w:pPr>
    </w:p>
    <w:p>
      <w:pPr>
        <w:jc w:val="both"/>
        <w:ind w:right="220" w:firstLine="509"/>
        <w:spacing w:after="0" w:line="269" w:lineRule="auto"/>
        <w:rPr>
          <w:sz w:val="20"/>
          <w:szCs w:val="20"/>
          <w:color w:val="auto"/>
        </w:rPr>
      </w:pPr>
      <w:r>
        <w:rPr>
          <w:rFonts w:ascii="Arial" w:cs="Arial" w:eastAsia="Arial" w:hAnsi="Arial"/>
          <w:sz w:val="16"/>
          <w:szCs w:val="16"/>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1"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1"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6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61" w:name="page62"/>
    <w:bookmarkEnd w:id="61"/>
    <w:p>
      <w:pPr>
        <w:ind w:right="120"/>
        <w:spacing w:after="0" w:line="243" w:lineRule="auto"/>
        <w:rPr>
          <w:sz w:val="20"/>
          <w:szCs w:val="20"/>
          <w:color w:val="auto"/>
        </w:rPr>
      </w:pPr>
      <w:r>
        <w:rPr>
          <w:rFonts w:ascii="Arial" w:cs="Arial" w:eastAsia="Arial" w:hAnsi="Arial"/>
          <w:sz w:val="18"/>
          <w:szCs w:val="18"/>
          <w:color w:val="auto"/>
        </w:rPr>
        <w:t>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8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described in Item 1 “Business—Licenses and Collaborations--Right of Reference and License Agreement with GlaxoSmithKline” of this Annual Report on Form 10-K,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9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3" w:lineRule="exact"/>
        <w:rPr>
          <w:sz w:val="20"/>
          <w:szCs w:val="20"/>
          <w:color w:val="auto"/>
        </w:rPr>
      </w:pPr>
    </w:p>
    <w:p>
      <w:pPr>
        <w:ind w:left="900" w:right="18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right="76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00" w:right="34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900" w:right="36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900" w:right="360" w:hanging="383"/>
        <w:spacing w:after="0" w:line="32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6" w:lineRule="exact"/>
        <w:rPr>
          <w:rFonts w:ascii="Arial" w:cs="Arial" w:eastAsia="Arial" w:hAnsi="Arial"/>
          <w:sz w:val="16"/>
          <w:szCs w:val="16"/>
          <w:color w:val="auto"/>
        </w:rPr>
      </w:pPr>
    </w:p>
    <w:p>
      <w:pPr>
        <w:ind w:left="900" w:right="100" w:hanging="383"/>
        <w:spacing w:after="0" w:line="24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3" w:lineRule="exact"/>
        <w:rPr>
          <w:rFonts w:ascii="Arial" w:cs="Arial" w:eastAsia="Arial" w:hAnsi="Arial"/>
          <w:sz w:val="18"/>
          <w:szCs w:val="18"/>
          <w:color w:val="auto"/>
        </w:rPr>
      </w:pPr>
    </w:p>
    <w:p>
      <w:pPr>
        <w:ind w:left="900" w:right="100" w:hanging="383"/>
        <w:spacing w:after="0" w:line="291"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900" w:right="2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49" w:lineRule="exact"/>
        <w:rPr>
          <w:rFonts w:ascii="Arial" w:cs="Arial" w:eastAsia="Arial" w:hAnsi="Arial"/>
          <w:sz w:val="18"/>
          <w:szCs w:val="18"/>
          <w:color w:val="auto"/>
        </w:rPr>
      </w:pPr>
    </w:p>
    <w:p>
      <w:pPr>
        <w:ind w:left="900" w:right="400" w:hanging="383"/>
        <w:spacing w:after="0" w:line="289"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900" w:right="220" w:hanging="383"/>
        <w:spacing w:after="0" w:line="23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76" w:lineRule="exact"/>
        <w:rPr>
          <w:rFonts w:ascii="Arial" w:cs="Arial" w:eastAsia="Arial" w:hAnsi="Arial"/>
          <w:sz w:val="18"/>
          <w:szCs w:val="18"/>
          <w:color w:val="auto"/>
        </w:rPr>
      </w:pPr>
    </w:p>
    <w:p>
      <w:pPr>
        <w:ind w:left="900" w:right="660" w:hanging="383"/>
        <w:spacing w:after="0" w:line="235"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2" w:name="page63"/>
    <w:bookmarkEnd w:id="62"/>
    <w:p>
      <w:pPr>
        <w:ind w:left="900" w:right="400" w:hanging="383"/>
        <w:spacing w:after="0" w:line="23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Arial" w:cs="Arial" w:eastAsia="Arial" w:hAnsi="Arial"/>
          <w:sz w:val="18"/>
          <w:szCs w:val="18"/>
          <w:color w:val="auto"/>
        </w:rPr>
      </w:pPr>
    </w:p>
    <w:p>
      <w:pPr>
        <w:ind w:left="900" w:right="340" w:hanging="383"/>
        <w:spacing w:after="0" w:line="22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ongoing COVID-19 pandemic, in or around the countries in which we conduct our clinical trials, could delay the commencement or rate of completion of our clinical trials; and</w:t>
      </w:r>
    </w:p>
    <w:p>
      <w:pPr>
        <w:spacing w:after="0" w:line="54" w:lineRule="exact"/>
        <w:rPr>
          <w:rFonts w:ascii="Arial" w:cs="Arial" w:eastAsia="Arial" w:hAnsi="Arial"/>
          <w:sz w:val="18"/>
          <w:szCs w:val="18"/>
          <w:color w:val="auto"/>
        </w:rPr>
      </w:pPr>
    </w:p>
    <w:p>
      <w:pPr>
        <w:ind w:left="900" w:right="460" w:hanging="383"/>
        <w:spacing w:after="0" w:line="23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67" w:lineRule="exact"/>
        <w:rPr>
          <w:sz w:val="20"/>
          <w:szCs w:val="20"/>
          <w:color w:val="auto"/>
        </w:rPr>
      </w:pPr>
    </w:p>
    <w:p>
      <w:pPr>
        <w:jc w:val="both"/>
        <w:ind w:right="460" w:firstLine="509"/>
        <w:spacing w:after="0" w:line="248" w:lineRule="auto"/>
        <w:rPr>
          <w:sz w:val="20"/>
          <w:szCs w:val="20"/>
          <w:color w:val="auto"/>
        </w:rPr>
      </w:pPr>
      <w:r>
        <w:rPr>
          <w:rFonts w:ascii="Arial" w:cs="Arial" w:eastAsia="Arial" w:hAnsi="Arial"/>
          <w:sz w:val="18"/>
          <w:szCs w:val="18"/>
          <w:color w:val="auto"/>
        </w:rPr>
        <w:t>For example, in response to the ongoing COVID-19 pandemic, the clinical trial sites for our ReDUX4 trial temporarily postponed trial-related activities, impacting our clinical trial execution plans, and we cannot be certain that we will not face other postponements or similar difficulties in the future.</w:t>
      </w:r>
    </w:p>
    <w:p>
      <w:pPr>
        <w:spacing w:after="0" w:line="74"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0" w:lineRule="exact"/>
        <w:rPr>
          <w:sz w:val="20"/>
          <w:szCs w:val="20"/>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85" w:lineRule="exact"/>
        <w:rPr>
          <w:sz w:val="20"/>
          <w:szCs w:val="20"/>
          <w:color w:val="auto"/>
        </w:rPr>
      </w:pPr>
    </w:p>
    <w:p>
      <w:pPr>
        <w:ind w:right="40" w:firstLine="509"/>
        <w:spacing w:after="0" w:line="226"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73"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or other regulatory authorities have indicated support for RWS as a primary endpoint with additional supportive data but may not consider the endpoints of our clinical trial(s) to provide clinically meaningful results, even where we believe such results are clinically meaningful. For example, we have met with regulators to discuss the design of our future clinical trial and registration strategy for losmapimod for FSHD, including our proposed endpoints for REACH, but the regulators may require additional data to support the RWS functional primary endpoint for full approval.</w:t>
      </w:r>
    </w:p>
    <w:p>
      <w:pPr>
        <w:spacing w:after="0" w:line="73"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Further,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3" w:name="page64"/>
    <w:bookmarkEnd w:id="63"/>
    <w:p>
      <w:pPr>
        <w:ind w:right="18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04"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6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7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6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4" w:name="page65"/>
    <w:bookmarkEnd w:id="64"/>
    <w:p>
      <w:pPr>
        <w:ind w:right="100"/>
        <w:spacing w:after="0" w:line="307"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 w:lineRule="exact"/>
        <w:rPr>
          <w:sz w:val="20"/>
          <w:szCs w:val="20"/>
          <w:color w:val="auto"/>
        </w:rPr>
      </w:pPr>
    </w:p>
    <w:p>
      <w:pPr>
        <w:ind w:right="320" w:firstLine="509"/>
        <w:spacing w:after="0" w:line="228"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0"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01" w:lineRule="exact"/>
        <w:rPr>
          <w:rFonts w:ascii="Arial" w:cs="Arial" w:eastAsia="Arial" w:hAnsi="Arial"/>
          <w:sz w:val="17"/>
          <w:szCs w:val="17"/>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198"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2"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b w:val="1"/>
          <w:bCs w:val="1"/>
          <w:i w:val="1"/>
          <w:iCs w:val="1"/>
          <w:color w:val="auto"/>
        </w:rPr>
        <w:t>We are conducting clinical trials of losmapimod in patients with FSHD in Europe and Canada and currently plan to conduct additional clinical trials for our product candidates at sites outside the United States, and the FDA may not accept data from trials conducted in such locations.</w:t>
      </w:r>
    </w:p>
    <w:p>
      <w:pPr>
        <w:spacing w:after="0" w:line="15" w:lineRule="exact"/>
        <w:rPr>
          <w:sz w:val="20"/>
          <w:szCs w:val="20"/>
          <w:color w:val="auto"/>
        </w:rPr>
      </w:pPr>
    </w:p>
    <w:p>
      <w:pPr>
        <w:ind w:right="60" w:firstLine="509"/>
        <w:spacing w:after="0" w:line="225" w:lineRule="auto"/>
        <w:rPr>
          <w:sz w:val="20"/>
          <w:szCs w:val="20"/>
          <w:color w:val="auto"/>
        </w:rPr>
      </w:pPr>
      <w:r>
        <w:rPr>
          <w:rFonts w:ascii="Arial" w:cs="Arial" w:eastAsia="Arial" w:hAnsi="Arial"/>
          <w:sz w:val="18"/>
          <w:szCs w:val="18"/>
          <w:color w:val="auto"/>
        </w:rPr>
        <w:t>We are currently conducting an open label extension of our Phase 2b clinical trial and of our Phase 2 open label clinical trial of losmapimod in patients with FSHD in Europe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GCP, and FDA’s ability to validate the data. If the FDA does not accept the data from any trial that we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65" w:name="page66"/>
    <w:bookmarkEnd w:id="65"/>
    <w:p>
      <w:pPr>
        <w:ind w:right="340"/>
        <w:spacing w:after="0" w:line="246" w:lineRule="auto"/>
        <w:rPr>
          <w:sz w:val="20"/>
          <w:szCs w:val="20"/>
          <w:color w:val="auto"/>
        </w:rPr>
      </w:pPr>
      <w:r>
        <w:rPr>
          <w:rFonts w:ascii="Arial" w:cs="Arial" w:eastAsia="Arial" w:hAnsi="Arial"/>
          <w:sz w:val="18"/>
          <w:szCs w:val="18"/>
          <w:color w:val="auto"/>
        </w:rPr>
        <w:t>conduct outside the United States, it would likely result in the need for additional trials, which would be costly and time-consuming and could delay or permanently halt our development of the applicable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1" w:lineRule="exact"/>
        <w:rPr>
          <w:sz w:val="20"/>
          <w:szCs w:val="20"/>
          <w:color w:val="auto"/>
        </w:rPr>
      </w:pPr>
    </w:p>
    <w:p>
      <w:pPr>
        <w:ind w:left="900" w:hanging="38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12"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8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66" w:name="page67"/>
    <w:bookmarkEnd w:id="66"/>
    <w:p>
      <w:pPr>
        <w:ind w:right="100" w:firstLine="509"/>
        <w:spacing w:after="0"/>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04" w:lineRule="exact"/>
        <w:rPr>
          <w:sz w:val="20"/>
          <w:szCs w:val="20"/>
          <w:color w:val="auto"/>
        </w:rPr>
      </w:pPr>
    </w:p>
    <w:p>
      <w:pPr>
        <w:ind w:left="900" w:right="120" w:hanging="383"/>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03" w:lineRule="exact"/>
        <w:rPr>
          <w:rFonts w:ascii="Arial" w:cs="Arial" w:eastAsia="Arial" w:hAnsi="Arial"/>
          <w:sz w:val="18"/>
          <w:szCs w:val="18"/>
          <w:color w:val="auto"/>
        </w:rPr>
      </w:pPr>
    </w:p>
    <w:p>
      <w:pPr>
        <w:ind w:left="900" w:right="300" w:hanging="383"/>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5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75"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For example, we are aware of several product candidates in clinical development that could be competitive with product candidates that we may successfully develop and commercialize. bluebird, Aruvant Sciences, Inc., Novo Nordisk A/S, Imara, Inc., Agios Pharmaceuticals, Inc., Forma Therapeutics Holdings, Inc., Global Blood Therapeutics, Inc., Takeda Pharmaceutical Company Limited, Pfizer, Inc., CSL Behring, Intellia Therapeutics, Inc., Editas Medicine, Inc., Sangamo Therapeutics Inc., or Sangamo (in collaboration with Bioverativ Inc.) and CRISPR Therapeutics AG (in collaboration with Vertex Pharmaceuticals, Inc.) are developing therapeutic approaches for patients with SCD. Acceleron (in collaboration with Celgene), Bellicum Pharmaceuticals, Inc., Silence Therapeutics plcImara Inc., Agios Pharmaceuticals, Inc., Forma Therapeutics Holdings, Inc., Ionis Pharmaceuticals, Inc., Orchard Therapeutics plc, Sangamo (in collaboration 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spacing w:after="0" w:line="261" w:lineRule="auto"/>
        <w:rPr>
          <w:sz w:val="20"/>
          <w:szCs w:val="20"/>
          <w:color w:val="auto"/>
        </w:rPr>
      </w:pPr>
      <w:r>
        <w:rPr>
          <w:rFonts w:ascii="Arial" w:cs="Arial" w:eastAsia="Arial" w:hAnsi="Arial"/>
          <w:sz w:val="18"/>
          <w:szCs w:val="18"/>
          <w:color w:val="auto"/>
        </w:rPr>
        <w:t>Bioverativ, Inc.) and CRISPR Therapeutics AG (in collaboration with Vertex Pharmaceuticals, Inc.) are developing therapeutic approaches for patients with ß-thalassemia.</w:t>
      </w:r>
    </w:p>
    <w:p>
      <w:pPr>
        <w:spacing w:after="0" w:line="63"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67"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7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4"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35"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7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82" w:lineRule="exact"/>
        <w:rPr>
          <w:sz w:val="20"/>
          <w:szCs w:val="20"/>
          <w:color w:val="auto"/>
        </w:rPr>
      </w:pPr>
    </w:p>
    <w:p>
      <w:pPr>
        <w:ind w:right="40"/>
        <w:spacing w:after="0" w:line="338" w:lineRule="auto"/>
        <w:rPr>
          <w:sz w:val="20"/>
          <w:szCs w:val="20"/>
          <w:color w:val="auto"/>
        </w:rPr>
      </w:pPr>
      <w:r>
        <w:rPr>
          <w:rFonts w:ascii="Arial" w:cs="Arial" w:eastAsia="Arial" w:hAnsi="Arial"/>
          <w:sz w:val="15"/>
          <w:szCs w:val="15"/>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ind w:right="100" w:firstLine="509"/>
        <w:spacing w:after="0" w:line="246" w:lineRule="auto"/>
        <w:rPr>
          <w:sz w:val="20"/>
          <w:szCs w:val="20"/>
          <w:color w:val="auto"/>
        </w:rPr>
      </w:pPr>
      <w:r>
        <w:rPr>
          <w:rFonts w:ascii="Arial" w:cs="Arial" w:eastAsia="Arial" w:hAnsi="Arial"/>
          <w:sz w:val="17"/>
          <w:szCs w:val="17"/>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63" w:lineRule="exact"/>
        <w:rPr>
          <w:sz w:val="20"/>
          <w:szCs w:val="20"/>
          <w:color w:val="auto"/>
        </w:rPr>
      </w:pPr>
    </w:p>
    <w:p>
      <w:pPr>
        <w:ind w:right="240" w:firstLine="509"/>
        <w:spacing w:after="0" w:line="231"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8" w:name="page69"/>
    <w:bookmarkEnd w:id="68"/>
    <w:p>
      <w:pPr>
        <w:ind w:right="60"/>
        <w:spacing w:after="0" w:line="261" w:lineRule="auto"/>
        <w:rPr>
          <w:sz w:val="20"/>
          <w:szCs w:val="20"/>
          <w:color w:val="auto"/>
        </w:rPr>
      </w:pPr>
      <w:r>
        <w:rPr>
          <w:rFonts w:ascii="Arial" w:cs="Arial" w:eastAsia="Arial" w:hAnsi="Arial"/>
          <w:sz w:val="16"/>
          <w:szCs w:val="16"/>
          <w:color w:val="auto"/>
        </w:rPr>
        <w:t>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53" w:lineRule="exact"/>
        <w:rPr>
          <w:sz w:val="20"/>
          <w:szCs w:val="20"/>
          <w:color w:val="auto"/>
        </w:rPr>
      </w:pPr>
    </w:p>
    <w:p>
      <w:pPr>
        <w:ind w:right="60" w:firstLine="509"/>
        <w:spacing w:after="0" w:line="236" w:lineRule="auto"/>
        <w:rPr>
          <w:sz w:val="20"/>
          <w:szCs w:val="20"/>
          <w:color w:val="auto"/>
        </w:rPr>
      </w:pPr>
      <w:r>
        <w:rPr>
          <w:rFonts w:ascii="Arial" w:cs="Arial" w:eastAsia="Arial" w:hAnsi="Arial"/>
          <w:sz w:val="17"/>
          <w:szCs w:val="17"/>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69" w:lineRule="exact"/>
        <w:rPr>
          <w:sz w:val="20"/>
          <w:szCs w:val="20"/>
          <w:color w:val="auto"/>
        </w:rPr>
      </w:pPr>
    </w:p>
    <w:p>
      <w:pPr>
        <w:ind w:right="80" w:firstLine="509"/>
        <w:spacing w:after="0" w:line="246"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63" w:lineRule="exact"/>
        <w:rPr>
          <w:sz w:val="20"/>
          <w:szCs w:val="20"/>
          <w:color w:val="auto"/>
        </w:rPr>
      </w:pPr>
    </w:p>
    <w:p>
      <w:pPr>
        <w:ind w:firstLine="509"/>
        <w:spacing w:after="0" w:line="242"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9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do not have any manufacturing facilities. Although we believe we have obtained sufficient losmapimod tablets from GSK to complete our ongoing Phase 2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 believe we have obtained sufficient quantities of FTX-6058 from a CMO for the completion of our ongoing Phase 1 clinical trial, our ongoing Phase 1b clinical trial for SCD, and our planned Phase 1b trial in non-SCD hemoglobinopathies, including ß-thalassemia, we cannot be sure we have correctly estimated our drug product requirements, which could delay, prevent or impair our development efforts.</w:t>
      </w:r>
    </w:p>
    <w:p>
      <w:pPr>
        <w:spacing w:after="0" w:line="6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0"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source for bulk drug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9" w:name="page70"/>
    <w:bookmarkEnd w:id="69"/>
    <w:p>
      <w:pPr>
        <w:ind w:right="160"/>
        <w:spacing w:after="0" w:line="248" w:lineRule="auto"/>
        <w:rPr>
          <w:sz w:val="20"/>
          <w:szCs w:val="20"/>
          <w:color w:val="auto"/>
        </w:rPr>
      </w:pPr>
      <w:r>
        <w:rPr>
          <w:rFonts w:ascii="Arial" w:cs="Arial" w:eastAsia="Arial" w:hAnsi="Arial"/>
          <w:sz w:val="18"/>
          <w:szCs w:val="18"/>
          <w:color w:val="auto"/>
        </w:rPr>
        <w:t>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4" w:lineRule="exact"/>
        <w:rPr>
          <w:sz w:val="20"/>
          <w:szCs w:val="20"/>
          <w:color w:val="auto"/>
        </w:rPr>
      </w:pPr>
    </w:p>
    <w:p>
      <w:pPr>
        <w:ind w:right="420" w:firstLine="509"/>
        <w:spacing w:after="0" w:line="291"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the section entitled “Business — Pharmaceutical Insurance Coverage and Health Care Reform”.</w:t>
      </w:r>
    </w:p>
    <w:p>
      <w:pPr>
        <w:spacing w:after="0" w:line="7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2"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0" w:name="page71"/>
    <w:bookmarkEnd w:id="70"/>
    <w:p>
      <w:pPr>
        <w:ind w:right="180"/>
        <w:spacing w:after="0" w:line="261" w:lineRule="auto"/>
        <w:rPr>
          <w:sz w:val="20"/>
          <w:szCs w:val="20"/>
          <w:color w:val="auto"/>
        </w:rPr>
      </w:pPr>
      <w:r>
        <w:rPr>
          <w:rFonts w:ascii="Arial" w:cs="Arial" w:eastAsia="Arial" w:hAnsi="Arial"/>
          <w:sz w:val="18"/>
          <w:szCs w:val="18"/>
          <w:color w:val="auto"/>
        </w:rPr>
        <w:t>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3"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86" w:lineRule="exact"/>
        <w:rPr>
          <w:sz w:val="20"/>
          <w:szCs w:val="20"/>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90" w:lineRule="exact"/>
        <w:rPr>
          <w:rFonts w:ascii="Arial" w:cs="Arial" w:eastAsia="Arial" w:hAnsi="Arial"/>
          <w:sz w:val="18"/>
          <w:szCs w:val="18"/>
          <w:color w:val="auto"/>
        </w:rPr>
      </w:pPr>
    </w:p>
    <w:p>
      <w:pPr>
        <w:ind w:left="900" w:right="140" w:hanging="383"/>
        <w:spacing w:after="0" w:line="24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01" w:lineRule="exact"/>
        <w:rPr>
          <w:rFonts w:ascii="Arial" w:cs="Arial" w:eastAsia="Arial" w:hAnsi="Arial"/>
          <w:sz w:val="17"/>
          <w:szCs w:val="17"/>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01" w:lineRule="exact"/>
        <w:rPr>
          <w:rFonts w:ascii="Arial" w:cs="Arial" w:eastAsia="Arial" w:hAnsi="Arial"/>
          <w:sz w:val="17"/>
          <w:szCs w:val="17"/>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06"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09"/>
        <w:spacing w:after="0"/>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69" w:lineRule="exact"/>
        <w:rPr>
          <w:sz w:val="20"/>
          <w:szCs w:val="20"/>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1" w:name="page72"/>
    <w:bookmarkEnd w:id="71"/>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98" w:lineRule="exact"/>
        <w:rPr>
          <w:sz w:val="20"/>
          <w:szCs w:val="20"/>
          <w:color w:val="auto"/>
        </w:rPr>
      </w:pPr>
    </w:p>
    <w:p>
      <w:pPr>
        <w:ind w:right="140" w:firstLine="509"/>
        <w:spacing w:after="0" w:line="227"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9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75"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currently rely on third-party contract CROs to conduct our ongoing clinical trials of losmapimod and FTX-6058.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6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w:t>
      </w:r>
    </w:p>
    <w:p>
      <w:pPr>
        <w:spacing w:after="0" w:line="6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6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0"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7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collaboration and license agreements with Acceleron (with a targeted indication within the pulmonary disease space) and MyoKardia (for certain genetically defined cardiomyopathies). See “Business—License Agreements and Collaborations”.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2" w:name="page73"/>
    <w:bookmarkEnd w:id="72"/>
    <w:p>
      <w:pPr>
        <w:ind w:right="120" w:firstLine="509"/>
        <w:spacing w:after="0" w:line="291" w:lineRule="auto"/>
        <w:rPr>
          <w:sz w:val="20"/>
          <w:szCs w:val="20"/>
          <w:color w:val="auto"/>
        </w:rPr>
      </w:pPr>
      <w:r>
        <w:rPr>
          <w:rFonts w:ascii="Arial" w:cs="Arial" w:eastAsia="Arial" w:hAnsi="Arial"/>
          <w:sz w:val="17"/>
          <w:szCs w:val="17"/>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39" w:lineRule="exact"/>
        <w:rPr>
          <w:sz w:val="20"/>
          <w:szCs w:val="20"/>
          <w:color w:val="auto"/>
        </w:rPr>
      </w:pPr>
    </w:p>
    <w:p>
      <w:pPr>
        <w:ind w:left="900" w:right="920" w:hanging="383"/>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03" w:lineRule="exact"/>
        <w:rPr>
          <w:rFonts w:ascii="Arial" w:cs="Arial" w:eastAsia="Arial" w:hAnsi="Arial"/>
          <w:sz w:val="18"/>
          <w:szCs w:val="18"/>
          <w:color w:val="auto"/>
        </w:rPr>
      </w:pPr>
    </w:p>
    <w:p>
      <w:pPr>
        <w:ind w:left="900" w:right="280" w:hanging="383"/>
        <w:spacing w:after="0" w:line="24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3" w:lineRule="exact"/>
        <w:rPr>
          <w:rFonts w:ascii="Arial" w:cs="Arial" w:eastAsia="Arial" w:hAnsi="Arial"/>
          <w:sz w:val="18"/>
          <w:szCs w:val="18"/>
          <w:color w:val="auto"/>
        </w:rPr>
      </w:pPr>
    </w:p>
    <w:p>
      <w:pPr>
        <w:ind w:left="900" w:right="120" w:hanging="383"/>
        <w:spacing w:after="0" w:line="270"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5" w:lineRule="exact"/>
        <w:rPr>
          <w:rFonts w:ascii="Arial" w:cs="Arial" w:eastAsia="Arial" w:hAnsi="Arial"/>
          <w:sz w:val="17"/>
          <w:szCs w:val="17"/>
          <w:color w:val="auto"/>
        </w:rPr>
      </w:pPr>
    </w:p>
    <w:p>
      <w:pPr>
        <w:ind w:left="900" w:right="600" w:hanging="383"/>
        <w:spacing w:after="0" w:line="291"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00" w:right="160" w:hanging="383"/>
        <w:spacing w:after="0" w:line="24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3" w:lineRule="exact"/>
        <w:rPr>
          <w:rFonts w:ascii="Arial" w:cs="Arial" w:eastAsia="Arial" w:hAnsi="Arial"/>
          <w:sz w:val="18"/>
          <w:szCs w:val="18"/>
          <w:color w:val="auto"/>
        </w:rPr>
      </w:pPr>
    </w:p>
    <w:p>
      <w:pPr>
        <w:ind w:left="900" w:right="560" w:hanging="383"/>
        <w:spacing w:after="0" w:line="24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900" w:right="160" w:hanging="383"/>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00" w:right="60" w:hanging="383"/>
        <w:spacing w:after="0" w:line="243"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9" w:lineRule="exact"/>
        <w:rPr>
          <w:rFonts w:ascii="Arial" w:cs="Arial" w:eastAsia="Arial" w:hAnsi="Arial"/>
          <w:sz w:val="18"/>
          <w:szCs w:val="18"/>
          <w:color w:val="auto"/>
        </w:rPr>
      </w:pPr>
    </w:p>
    <w:p>
      <w:pPr>
        <w:ind w:left="900" w:right="120" w:hanging="383"/>
        <w:spacing w:after="0" w:line="24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3"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03" w:lineRule="exact"/>
        <w:rPr>
          <w:rFonts w:ascii="Arial" w:cs="Arial" w:eastAsia="Arial" w:hAnsi="Arial"/>
          <w:sz w:val="18"/>
          <w:szCs w:val="18"/>
          <w:color w:val="auto"/>
        </w:rPr>
      </w:pPr>
    </w:p>
    <w:p>
      <w:pPr>
        <w:ind w:left="900" w:right="540" w:hanging="383"/>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900" w:right="100" w:hanging="383"/>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60" w:firstLine="509"/>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8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Additionally, in November 2021, subsequent to our entering into the Acceleron collaboration agreement, Acceleron was acquired by Merck &amp; Co., Inc. Merck &amp; Co., Inc. could determine to reprioritize Acceleron's development programs such that it ceases to diligently pursue the development of our programs and/or cause the agreement between Acceleron and us to terminate. If one of our collaborators terminates its agreement with us, we may find it more difficult to attract new collaborators and our perception in the business and financial communities could be adversely affected.</w:t>
      </w:r>
    </w:p>
    <w:p>
      <w:pPr>
        <w:spacing w:after="0" w:line="27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7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77" w:lineRule="exact"/>
        <w:rPr>
          <w:sz w:val="20"/>
          <w:szCs w:val="20"/>
          <w:color w:val="auto"/>
        </w:rPr>
      </w:pPr>
    </w:p>
    <w:p>
      <w:pPr>
        <w:ind w:right="100" w:firstLine="509"/>
        <w:spacing w:after="0" w:line="269"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4" w:name="page75"/>
    <w:bookmarkEnd w:id="74"/>
    <w:p>
      <w:pPr>
        <w:ind w:right="320" w:firstLine="509"/>
        <w:spacing w:after="0" w:line="324"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6"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8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8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this Annual Report on Form 10-K.</w:t>
      </w:r>
    </w:p>
    <w:p>
      <w:pPr>
        <w:spacing w:after="0" w:line="16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Moreover, we or our licensors may be subject to a third-party preissuance submission of prior art to the United States Patent and Trademark Office, or USPTO, or become involved in opposition, derivation, revocation, reexamination, inter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ind w:right="20"/>
        <w:spacing w:after="0" w:line="253" w:lineRule="auto"/>
        <w:rPr>
          <w:sz w:val="20"/>
          <w:szCs w:val="20"/>
          <w:color w:val="auto"/>
        </w:rPr>
      </w:pPr>
      <w:r>
        <w:rPr>
          <w:rFonts w:ascii="Arial" w:cs="Arial" w:eastAsia="Arial" w:hAnsi="Arial"/>
          <w:sz w:val="17"/>
          <w:szCs w:val="17"/>
          <w:color w:val="auto"/>
        </w:rPr>
        <w:t>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80"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90" w:lineRule="exact"/>
        <w:rPr>
          <w:sz w:val="20"/>
          <w:szCs w:val="20"/>
          <w:color w:val="auto"/>
        </w:rPr>
      </w:pPr>
    </w:p>
    <w:p>
      <w:pPr>
        <w:ind w:firstLine="509"/>
        <w:spacing w:after="0" w:line="25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27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75"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6" w:name="page77"/>
    <w:bookmarkEnd w:id="76"/>
    <w:p>
      <w:pPr>
        <w:ind w:right="140"/>
        <w:spacing w:after="0" w:line="248" w:lineRule="auto"/>
        <w:rPr>
          <w:sz w:val="20"/>
          <w:szCs w:val="20"/>
          <w:color w:val="auto"/>
        </w:rPr>
      </w:pPr>
      <w:r>
        <w:rPr>
          <w:rFonts w:ascii="Arial" w:cs="Arial" w:eastAsia="Arial" w:hAnsi="Arial"/>
          <w:sz w:val="18"/>
          <w:szCs w:val="18"/>
          <w:color w:val="auto"/>
        </w:rPr>
        <w:t>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7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7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6"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8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“Business—Intellectual Property” for additional information regarding patent laws and patent protection.</w:t>
      </w:r>
    </w:p>
    <w:p>
      <w:pPr>
        <w:spacing w:after="0" w:line="28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80" w:firstLine="509"/>
        <w:spacing w:after="0" w:line="254"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77" w:name="page78"/>
    <w:bookmarkEnd w:id="77"/>
    <w:p>
      <w:pPr>
        <w:jc w:val="both"/>
        <w:ind w:right="400"/>
        <w:spacing w:after="0" w:line="266" w:lineRule="auto"/>
        <w:rPr>
          <w:sz w:val="20"/>
          <w:szCs w:val="20"/>
          <w:color w:val="auto"/>
        </w:rPr>
      </w:pPr>
      <w:r>
        <w:rPr>
          <w:rFonts w:ascii="Arial" w:cs="Arial" w:eastAsia="Arial" w:hAnsi="Arial"/>
          <w:sz w:val="16"/>
          <w:szCs w:val="16"/>
          <w:color w:val="auto"/>
        </w:rPr>
        <w:t>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56"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8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2" w:lineRule="exact"/>
        <w:rPr>
          <w:sz w:val="20"/>
          <w:szCs w:val="20"/>
          <w:color w:val="auto"/>
        </w:rPr>
      </w:pPr>
    </w:p>
    <w:p>
      <w:pPr>
        <w:ind w:right="40" w:firstLine="509"/>
        <w:spacing w:after="0" w:line="252"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w:t>
      </w:r>
      <w:r>
        <w:rPr>
          <w:rFonts w:ascii="Arial" w:cs="Arial" w:eastAsia="Arial" w:hAnsi="Arial"/>
          <w:sz w:val="16"/>
          <w:szCs w:val="16"/>
          <w:i w:val="1"/>
          <w:iCs w:val="1"/>
          <w:color w:val="auto"/>
        </w:rPr>
        <w:t>e.g.</w:t>
      </w:r>
      <w:r>
        <w:rPr>
          <w:rFonts w:ascii="Arial" w:cs="Arial" w:eastAsia="Arial" w:hAnsi="Arial"/>
          <w:sz w:val="16"/>
          <w:szCs w:val="16"/>
          <w:color w:val="auto"/>
        </w:rPr>
        <w:t>, opposition proceedings). The outcome following legal assertions of invalidity and unenforceability is unpredictable.</w:t>
      </w:r>
    </w:p>
    <w:p>
      <w:pPr>
        <w:spacing w:after="0" w:line="17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1"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6" w:lineRule="exact"/>
        <w:rPr>
          <w:sz w:val="20"/>
          <w:szCs w:val="20"/>
          <w:color w:val="auto"/>
        </w:rPr>
      </w:pPr>
    </w:p>
    <w:p>
      <w:pPr>
        <w:ind w:right="120" w:firstLine="509"/>
        <w:spacing w:after="0" w:line="231"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78" w:name="page79"/>
    <w:bookmarkEnd w:id="78"/>
    <w:p>
      <w:pPr>
        <w:ind w:right="200"/>
        <w:spacing w:after="0" w:line="274"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40" w:lineRule="exact"/>
        <w:rPr>
          <w:sz w:val="20"/>
          <w:szCs w:val="20"/>
          <w:color w:val="auto"/>
        </w:rPr>
      </w:pPr>
    </w:p>
    <w:p>
      <w:pPr>
        <w:ind w:right="100" w:firstLine="509"/>
        <w:spacing w:after="0" w:line="237"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0"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65" w:lineRule="exact"/>
        <w:rPr>
          <w:sz w:val="20"/>
          <w:szCs w:val="20"/>
          <w:color w:val="auto"/>
        </w:rPr>
      </w:pPr>
    </w:p>
    <w:p>
      <w:pPr>
        <w:ind w:right="40" w:firstLine="509"/>
        <w:spacing w:after="0" w:line="254"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5" w:lineRule="exact"/>
        <w:rPr>
          <w:sz w:val="20"/>
          <w:szCs w:val="20"/>
          <w:color w:val="auto"/>
        </w:rPr>
      </w:pPr>
    </w:p>
    <w:p>
      <w:pPr>
        <w:ind w:right="100" w:firstLine="509"/>
        <w:spacing w:after="0" w:line="24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5" w:lineRule="exact"/>
        <w:rPr>
          <w:sz w:val="20"/>
          <w:szCs w:val="20"/>
          <w:color w:val="auto"/>
        </w:rPr>
      </w:pPr>
    </w:p>
    <w:p>
      <w:pPr>
        <w:ind w:firstLine="509"/>
        <w:spacing w:after="0" w:line="252"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79" w:name="page80"/>
    <w:bookmarkEnd w:id="79"/>
    <w:p>
      <w:pPr>
        <w:ind w:right="2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3"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77"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9" w:lineRule="exact"/>
        <w:rPr>
          <w:sz w:val="20"/>
          <w:szCs w:val="20"/>
          <w:color w:val="auto"/>
        </w:rPr>
      </w:pPr>
    </w:p>
    <w:p>
      <w:pPr>
        <w:ind w:right="38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We are party to license and funding agreements, such as the our agreement with GSK, and we may enter into additional licensing and funding arrangements with third parties that,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04" w:lineRule="exact"/>
        <w:rPr>
          <w:sz w:val="20"/>
          <w:szCs w:val="20"/>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8" w:lineRule="exact"/>
        <w:rPr>
          <w:sz w:val="20"/>
          <w:szCs w:val="20"/>
          <w:color w:val="auto"/>
        </w:rPr>
      </w:pPr>
    </w:p>
    <w:p>
      <w:pPr>
        <w:ind w:firstLine="509"/>
        <w:spacing w:after="0" w:line="256"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9"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1" w:name="page82"/>
    <w:bookmarkEnd w:id="81"/>
    <w:p>
      <w:pPr>
        <w:ind w:right="60" w:firstLine="509"/>
        <w:spacing w:after="0" w:line="279"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5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3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9"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900" w:hanging="383"/>
        <w:spacing w:after="0" w:line="24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15" w:lineRule="exact"/>
        <w:rPr>
          <w:rFonts w:ascii="Arial" w:cs="Arial" w:eastAsia="Arial" w:hAnsi="Arial"/>
          <w:sz w:val="17"/>
          <w:szCs w:val="17"/>
          <w:color w:val="auto"/>
        </w:rPr>
      </w:pPr>
    </w:p>
    <w:p>
      <w:pPr>
        <w:ind w:left="900" w:right="12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900" w:right="12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right="12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900" w:right="8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15" w:lineRule="exact"/>
        <w:rPr>
          <w:rFonts w:ascii="Arial" w:cs="Arial" w:eastAsia="Arial" w:hAnsi="Arial"/>
          <w:sz w:val="17"/>
          <w:szCs w:val="17"/>
          <w:color w:val="auto"/>
        </w:rPr>
      </w:pPr>
    </w:p>
    <w:p>
      <w:pPr>
        <w:ind w:left="900" w:right="840" w:hanging="383"/>
        <w:spacing w:after="0" w:line="291"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00" w:right="40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03" w:lineRule="exact"/>
        <w:rPr>
          <w:rFonts w:ascii="Arial" w:cs="Arial" w:eastAsia="Arial" w:hAnsi="Arial"/>
          <w:sz w:val="18"/>
          <w:szCs w:val="18"/>
          <w:color w:val="auto"/>
        </w:rPr>
      </w:pPr>
    </w:p>
    <w:p>
      <w:pPr>
        <w:ind w:left="900" w:right="44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3" w:name="page84"/>
    <w:bookmarkEnd w:id="83"/>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900" w:right="380" w:hanging="383"/>
        <w:spacing w:after="0" w:line="261"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80"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6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8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In addition, since March 2020 when foreign and domestic inspections of facilities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similar restrictions or other policy measures in response to the ongoing COVID-19 pandemic and may experience delays in their regulatory activities.</w:t>
      </w:r>
    </w:p>
    <w:p>
      <w:pPr>
        <w:spacing w:after="0" w:line="115"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3"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7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a certain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3"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88"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3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FDA granted fast track designation to losmapimod for the treatment of FSHD,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7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5" w:name="page86"/>
    <w:bookmarkEnd w:id="85"/>
    <w:p>
      <w:pPr>
        <w:ind w:right="100" w:firstLine="509"/>
        <w:spacing w:after="0" w:line="25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70"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29" w:lineRule="exact"/>
        <w:rPr>
          <w:sz w:val="20"/>
          <w:szCs w:val="20"/>
          <w:color w:val="auto"/>
        </w:rPr>
      </w:pPr>
    </w:p>
    <w:p>
      <w:pPr>
        <w:jc w:val="both"/>
        <w:ind w:right="80" w:firstLine="509"/>
        <w:spacing w:after="0" w:line="262" w:lineRule="auto"/>
        <w:rPr>
          <w:sz w:val="20"/>
          <w:szCs w:val="20"/>
          <w:color w:val="auto"/>
        </w:rPr>
      </w:pPr>
      <w:r>
        <w:rPr>
          <w:rFonts w:ascii="Arial" w:cs="Arial" w:eastAsia="Arial" w:hAnsi="Arial"/>
          <w:sz w:val="17"/>
          <w:szCs w:val="17"/>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Arial" w:cs="Arial" w:eastAsia="Arial" w:hAnsi="Arial"/>
          <w:sz w:val="17"/>
          <w:szCs w:val="17"/>
          <w:i w:val="1"/>
          <w:iCs w:val="1"/>
          <w:color w:val="auto"/>
        </w:rPr>
        <w:t>i.e.</w:t>
      </w:r>
      <w:r>
        <w:rPr>
          <w:rFonts w:ascii="Arial" w:cs="Arial" w:eastAsia="Arial" w:hAnsi="Arial"/>
          <w:sz w:val="17"/>
          <w:szCs w:val="17"/>
          <w:color w:val="auto"/>
        </w:rPr>
        <w:t>, an intermediate clinical endpoint).</w:t>
      </w:r>
    </w:p>
    <w:p>
      <w:pPr>
        <w:spacing w:after="0" w:line="64"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w:t>
      </w:r>
    </w:p>
    <w:p>
      <w:pPr>
        <w:spacing w:after="0" w:line="6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80"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Moreover, for drugs granted accelerated approval, the FDA typically requires confirmatory trials to verify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would result in a longer time period for commercialization of such product candidate, could increase the cost of development of such product candidate and could harm our competitive position in the marketplace.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6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Additionally, we could face heightened risks with respect to seeking marketing approval in the United Kingdom as a result of the recent withdrawal of the United Kingdom from the European Union, commonly referred to as Brexit. The United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6" w:name="page87"/>
    <w:bookmarkEnd w:id="86"/>
    <w:p>
      <w:pPr>
        <w:ind w:right="40"/>
        <w:spacing w:after="0" w:line="238" w:lineRule="auto"/>
        <w:rPr>
          <w:sz w:val="20"/>
          <w:szCs w:val="20"/>
          <w:color w:val="auto"/>
        </w:rPr>
      </w:pPr>
      <w:r>
        <w:rPr>
          <w:rFonts w:ascii="Arial" w:cs="Arial" w:eastAsia="Arial" w:hAnsi="Arial"/>
          <w:sz w:val="18"/>
          <w:szCs w:val="18"/>
          <w:color w:val="auto"/>
        </w:rPr>
        <w:t>Kingdom and European Union entered into a Trade and Cooperation Agreement in connection with Brexit, which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the Trade and Cooperation Agreement or otherwise, could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299"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4" w:lineRule="exact"/>
        <w:rPr>
          <w:sz w:val="20"/>
          <w:szCs w:val="20"/>
          <w:color w:val="auto"/>
        </w:rPr>
      </w:pPr>
    </w:p>
    <w:p>
      <w:pPr>
        <w:ind w:right="320" w:firstLine="509"/>
        <w:spacing w:after="0" w:line="279"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5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8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3" w:lineRule="exact"/>
        <w:rPr>
          <w:sz w:val="20"/>
          <w:szCs w:val="20"/>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7" w:name="page88"/>
    <w:bookmarkEnd w:id="87"/>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04" w:lineRule="exact"/>
        <w:rPr>
          <w:sz w:val="20"/>
          <w:szCs w:val="20"/>
          <w:color w:val="auto"/>
        </w:rPr>
      </w:pPr>
    </w:p>
    <w:p>
      <w:pPr>
        <w:jc w:val="both"/>
        <w:ind w:right="520" w:firstLine="509"/>
        <w:spacing w:after="0" w:line="270"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5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6"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8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the section entitled “Business—Government Regulation and Product Approvals—Health Care Law and Regulation”.</w:t>
      </w:r>
    </w:p>
    <w:p>
      <w:pPr>
        <w:spacing w:after="0" w:line="83"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63"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63"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jc w:val="both"/>
        <w:ind w:right="120" w:firstLine="509"/>
        <w:spacing w:after="0" w:line="266"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GDPR, which took effect across all Member States of the EEA, on May 25, 2018.</w:t>
      </w:r>
    </w:p>
    <w:p>
      <w:pPr>
        <w:spacing w:after="0" w:line="48" w:lineRule="exact"/>
        <w:rPr>
          <w:sz w:val="20"/>
          <w:szCs w:val="20"/>
          <w:color w:val="auto"/>
        </w:rPr>
      </w:pPr>
    </w:p>
    <w:p>
      <w:pPr>
        <w:ind w:right="220" w:firstLine="509"/>
        <w:spacing w:after="0" w:line="231" w:lineRule="auto"/>
        <w:rPr>
          <w:sz w:val="20"/>
          <w:szCs w:val="20"/>
          <w:color w:val="auto"/>
        </w:rPr>
      </w:pPr>
      <w:r>
        <w:rPr>
          <w:rFonts w:ascii="Arial" w:cs="Arial" w:eastAsia="Arial" w:hAnsi="Arial"/>
          <w:sz w:val="18"/>
          <w:szCs w:val="18"/>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New laws also are being considered at both the state and federal levels. For example, the CCPA, which went into effect on January 1, 2020, is creating similar risks and obligations as those created by the GDPR, and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For more information regarding the GDPR, the CCPA and other regulations, see Item 1 “Business –Government Regulation and Product Approvals” in this Annual Report on Form 10-K.</w:t>
      </w:r>
    </w:p>
    <w:p>
      <w:pPr>
        <w:spacing w:after="0" w:line="69" w:lineRule="exact"/>
        <w:rPr>
          <w:sz w:val="20"/>
          <w:szCs w:val="20"/>
          <w:color w:val="auto"/>
        </w:rPr>
      </w:pPr>
    </w:p>
    <w:p>
      <w:pPr>
        <w:ind w:right="280" w:firstLine="509"/>
        <w:spacing w:after="0" w:line="253"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EEA.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4"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5" w:lineRule="exact"/>
        <w:rPr>
          <w:sz w:val="20"/>
          <w:szCs w:val="20"/>
          <w:color w:val="auto"/>
        </w:rPr>
      </w:pPr>
    </w:p>
    <w:p>
      <w:pPr>
        <w:ind w:firstLine="509"/>
        <w:spacing w:after="0" w:line="25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this Annual Report on Form 10-K.</w:t>
      </w:r>
    </w:p>
    <w:p>
      <w:pPr>
        <w:spacing w:after="0" w:line="57" w:lineRule="exact"/>
        <w:rPr>
          <w:sz w:val="20"/>
          <w:szCs w:val="20"/>
          <w:color w:val="auto"/>
        </w:rPr>
      </w:pPr>
    </w:p>
    <w:p>
      <w:pPr>
        <w:ind w:right="40" w:firstLine="509"/>
        <w:spacing w:after="0" w:line="227"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77" w:lineRule="exact"/>
        <w:rPr>
          <w:sz w:val="20"/>
          <w:szCs w:val="20"/>
          <w:color w:val="auto"/>
        </w:rPr>
      </w:pPr>
    </w:p>
    <w:p>
      <w:pPr>
        <w:ind w:right="20" w:firstLine="509"/>
        <w:spacing w:after="0" w:line="216"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70"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4" w:lineRule="exact"/>
        <w:rPr>
          <w:sz w:val="20"/>
          <w:szCs w:val="20"/>
          <w:color w:val="auto"/>
        </w:rPr>
      </w:pPr>
    </w:p>
    <w:p>
      <w:pPr>
        <w:ind w:right="120" w:firstLine="509"/>
        <w:spacing w:after="0"/>
        <w:rPr>
          <w:sz w:val="20"/>
          <w:szCs w:val="20"/>
          <w:color w:val="auto"/>
        </w:rPr>
      </w:pPr>
      <w:r>
        <w:rPr>
          <w:rFonts w:ascii="Arial" w:cs="Arial" w:eastAsia="Arial" w:hAnsi="Arial"/>
          <w:sz w:val="17"/>
          <w:szCs w:val="17"/>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89" w:name="page90"/>
    <w:bookmarkEnd w:id="89"/>
    <w:p>
      <w:pPr>
        <w:ind w:right="380"/>
        <w:spacing w:after="0" w:line="235" w:lineRule="auto"/>
        <w:rPr>
          <w:sz w:val="20"/>
          <w:szCs w:val="20"/>
          <w:color w:val="auto"/>
        </w:rPr>
      </w:pPr>
      <w:r>
        <w:rPr>
          <w:rFonts w:ascii="Arial" w:cs="Arial" w:eastAsia="Arial" w:hAnsi="Arial"/>
          <w:sz w:val="18"/>
          <w:szCs w:val="18"/>
          <w:color w:val="auto"/>
        </w:rPr>
        <w:t>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67" w:lineRule="exact"/>
        <w:rPr>
          <w:sz w:val="20"/>
          <w:szCs w:val="20"/>
          <w:color w:val="auto"/>
        </w:rPr>
      </w:pPr>
    </w:p>
    <w:p>
      <w:pPr>
        <w:jc w:val="both"/>
        <w:ind w:right="180" w:firstLine="509"/>
        <w:spacing w:after="0" w:line="231"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7" w:lineRule="exact"/>
        <w:rPr>
          <w:sz w:val="20"/>
          <w:szCs w:val="20"/>
          <w:color w:val="auto"/>
        </w:rPr>
      </w:pPr>
    </w:p>
    <w:p>
      <w:pPr>
        <w:jc w:val="both"/>
        <w:ind w:right="220" w:firstLine="509"/>
        <w:spacing w:after="0" w:line="23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7" w:lineRule="exact"/>
        <w:rPr>
          <w:sz w:val="20"/>
          <w:szCs w:val="20"/>
          <w:color w:val="auto"/>
        </w:rPr>
      </w:pPr>
    </w:p>
    <w:p>
      <w:pPr>
        <w:ind w:right="120" w:firstLine="509"/>
        <w:spacing w:after="0" w:line="242"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60" w:firstLine="509"/>
        <w:spacing w:after="0" w:line="238"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69" w:lineRule="exact"/>
        <w:rPr>
          <w:sz w:val="20"/>
          <w:szCs w:val="20"/>
          <w:color w:val="auto"/>
        </w:rPr>
      </w:pPr>
    </w:p>
    <w:p>
      <w:pPr>
        <w:ind w:firstLine="509"/>
        <w:spacing w:after="0" w:line="242"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67" w:lineRule="exact"/>
        <w:rPr>
          <w:sz w:val="20"/>
          <w:szCs w:val="20"/>
          <w:color w:val="auto"/>
        </w:rPr>
      </w:pPr>
    </w:p>
    <w:p>
      <w:pPr>
        <w:ind w:right="60" w:firstLine="509"/>
        <w:spacing w:after="0" w:line="225"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8" w:lineRule="exact"/>
        <w:rPr>
          <w:sz w:val="20"/>
          <w:szCs w:val="20"/>
          <w:color w:val="auto"/>
        </w:rPr>
      </w:pPr>
    </w:p>
    <w:p>
      <w:pPr>
        <w:ind w:right="40" w:firstLine="509"/>
        <w:spacing w:after="0" w:line="256"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90" w:name="page91"/>
    <w:bookmarkEnd w:id="90"/>
    <w:p>
      <w:pPr>
        <w:ind w:right="220"/>
        <w:spacing w:after="0" w:line="356"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8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49" w:lineRule="exact"/>
        <w:rPr>
          <w:sz w:val="20"/>
          <w:szCs w:val="20"/>
          <w:color w:val="auto"/>
        </w:rPr>
      </w:pPr>
    </w:p>
    <w:p>
      <w:pPr>
        <w:ind w:right="20" w:firstLine="509"/>
        <w:spacing w:after="0" w:line="252"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62"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90" w:lineRule="exact"/>
        <w:rPr>
          <w:sz w:val="20"/>
          <w:szCs w:val="20"/>
          <w:color w:val="auto"/>
        </w:rPr>
      </w:pPr>
    </w:p>
    <w:p>
      <w:pPr>
        <w:ind w:right="40" w:firstLine="509"/>
        <w:spacing w:after="0" w:line="228"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1" w:name="page92"/>
    <w:bookmarkEnd w:id="91"/>
    <w:p>
      <w:pPr>
        <w:ind w:right="80" w:firstLine="509"/>
        <w:spacing w:after="0" w:line="235" w:lineRule="auto"/>
        <w:rPr>
          <w:sz w:val="20"/>
          <w:szCs w:val="20"/>
          <w:color w:val="auto"/>
        </w:rPr>
      </w:pPr>
      <w:r>
        <w:rPr>
          <w:rFonts w:ascii="Arial" w:cs="Arial" w:eastAsia="Arial" w:hAnsi="Arial"/>
          <w:sz w:val="17"/>
          <w:szCs w:val="17"/>
          <w:color w:val="auto"/>
        </w:rPr>
        <w:t>We have had recent executive transitions, including of our chief executive officer, chief scientific officer and chief financial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of February 24, 2022, our executive officers and directors and our stockholders who owned more than 5% of our outstanding common stock in the aggregate beneficially owned shares representing approximately 56.1%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04" w:lineRule="exact"/>
        <w:rPr>
          <w:sz w:val="20"/>
          <w:szCs w:val="20"/>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92" w:name="page93"/>
    <w:bookmarkEnd w:id="92"/>
    <w:p>
      <w:pPr>
        <w:jc w:val="both"/>
        <w:ind w:right="320"/>
        <w:spacing w:after="0" w:line="356"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7" w:lineRule="exact"/>
        <w:rPr>
          <w:sz w:val="20"/>
          <w:szCs w:val="20"/>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03" w:lineRule="exact"/>
        <w:rPr>
          <w:rFonts w:ascii="Arial" w:cs="Arial" w:eastAsia="Arial" w:hAnsi="Arial"/>
          <w:sz w:val="18"/>
          <w:szCs w:val="18"/>
          <w:color w:val="auto"/>
        </w:rPr>
      </w:pPr>
    </w:p>
    <w:p>
      <w:pPr>
        <w:ind w:left="900" w:right="140" w:hanging="383"/>
        <w:spacing w:after="0" w:line="261"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00" w:right="480" w:hanging="383"/>
        <w:spacing w:after="0" w:line="261"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03" w:lineRule="exact"/>
        <w:rPr>
          <w:rFonts w:ascii="Arial" w:cs="Arial" w:eastAsia="Arial" w:hAnsi="Arial"/>
          <w:sz w:val="18"/>
          <w:szCs w:val="18"/>
          <w:color w:val="auto"/>
        </w:rPr>
      </w:pPr>
    </w:p>
    <w:p>
      <w:pPr>
        <w:ind w:left="900" w:right="40" w:hanging="383"/>
        <w:spacing w:after="0" w:line="24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3" w:lineRule="exact"/>
        <w:rPr>
          <w:rFonts w:ascii="Arial" w:cs="Arial" w:eastAsia="Arial" w:hAnsi="Arial"/>
          <w:sz w:val="18"/>
          <w:szCs w:val="18"/>
          <w:color w:val="auto"/>
        </w:rPr>
      </w:pPr>
    </w:p>
    <w:p>
      <w:pPr>
        <w:ind w:left="900" w:right="180" w:hanging="383"/>
        <w:spacing w:after="0" w:line="261"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1"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6"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6"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15"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operating performance of particular companies. The market price for our common stock may be influenced by many factors, including:</w:t>
      </w:r>
    </w:p>
    <w:p>
      <w:pPr>
        <w:spacing w:after="0" w:line="104" w:lineRule="exact"/>
        <w:rPr>
          <w:sz w:val="20"/>
          <w:szCs w:val="20"/>
          <w:color w:val="auto"/>
        </w:rPr>
      </w:pPr>
    </w:p>
    <w:p>
      <w:pPr>
        <w:ind w:left="900" w:right="880" w:hanging="383"/>
        <w:spacing w:after="0" w:line="261"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900" w:right="280" w:hanging="383"/>
        <w:spacing w:after="0" w:line="291"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49" w:lineRule="exact"/>
        <w:rPr>
          <w:sz w:val="20"/>
          <w:szCs w:val="20"/>
          <w:color w:val="auto"/>
        </w:rPr>
      </w:pPr>
    </w:p>
    <w:p>
      <w:pPr>
        <w:ind w:right="80" w:firstLine="509"/>
        <w:spacing w:after="0" w:line="23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67" w:lineRule="exact"/>
        <w:rPr>
          <w:sz w:val="20"/>
          <w:szCs w:val="20"/>
          <w:color w:val="auto"/>
        </w:rPr>
      </w:pPr>
    </w:p>
    <w:p>
      <w:pPr>
        <w:ind w:right="580" w:firstLine="509"/>
        <w:spacing w:after="0" w:line="307"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23"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75"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4" w:name="page95"/>
    <w:bookmarkEnd w:id="94"/>
    <w:p>
      <w:pPr>
        <w:ind w:right="440" w:firstLine="509"/>
        <w:spacing w:after="0" w:line="235"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9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1" w:lineRule="exact"/>
        <w:rPr>
          <w:sz w:val="20"/>
          <w:szCs w:val="20"/>
          <w:color w:val="auto"/>
        </w:rPr>
      </w:pPr>
    </w:p>
    <w:p>
      <w:pPr>
        <w:ind w:left="900" w:hanging="38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15" w:lineRule="exact"/>
        <w:rPr>
          <w:rFonts w:ascii="Arial" w:cs="Arial" w:eastAsia="Arial" w:hAnsi="Arial"/>
          <w:sz w:val="17"/>
          <w:szCs w:val="17"/>
          <w:color w:val="auto"/>
        </w:rPr>
      </w:pPr>
    </w:p>
    <w:p>
      <w:pPr>
        <w:ind w:left="900" w:right="580" w:hanging="383"/>
        <w:spacing w:after="0" w:line="24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03"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49" w:lineRule="exact"/>
        <w:rPr>
          <w:sz w:val="20"/>
          <w:szCs w:val="20"/>
          <w:color w:val="auto"/>
        </w:rPr>
      </w:pPr>
    </w:p>
    <w:p>
      <w:pPr>
        <w:jc w:val="both"/>
        <w:ind w:right="140" w:firstLine="509"/>
        <w:spacing w:after="0" w:line="235"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49" w:lineRule="exact"/>
        <w:rPr>
          <w:sz w:val="20"/>
          <w:szCs w:val="20"/>
          <w:color w:val="auto"/>
        </w:rPr>
      </w:pPr>
    </w:p>
    <w:p>
      <w:pPr>
        <w:ind w:right="40" w:firstLine="509"/>
        <w:spacing w:after="0" w:line="237"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0" w:lineRule="exact"/>
        <w:rPr>
          <w:sz w:val="20"/>
          <w:szCs w:val="20"/>
          <w:color w:val="auto"/>
        </w:rPr>
      </w:pPr>
    </w:p>
    <w:p>
      <w:pPr>
        <w:ind w:firstLine="509"/>
        <w:spacing w:after="0" w:line="246"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95" w:name="page96"/>
    <w:bookmarkEnd w:id="95"/>
    <w:p>
      <w:pPr>
        <w:ind w:right="40" w:firstLine="509"/>
        <w:spacing w:after="0" w:line="236"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89"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3" w:lineRule="exact"/>
        <w:rPr>
          <w:sz w:val="20"/>
          <w:szCs w:val="20"/>
          <w:color w:val="auto"/>
        </w:rPr>
      </w:pPr>
    </w:p>
    <w:p>
      <w:pPr>
        <w:ind w:right="80"/>
        <w:spacing w:after="0" w:line="338"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ind w:right="60" w:firstLine="509"/>
        <w:spacing w:after="0" w:line="225"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76"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10" w:right="117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1920"/>
        <w:spacing w:after="0" w:line="33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260" w:firstLine="509"/>
        <w:spacing w:after="0" w:line="235" w:lineRule="auto"/>
        <w:rPr>
          <w:sz w:val="20"/>
          <w:szCs w:val="20"/>
          <w:color w:val="auto"/>
        </w:rPr>
      </w:pPr>
      <w:r>
        <w:rPr>
          <w:rFonts w:ascii="Arial" w:cs="Arial" w:eastAsia="Arial" w:hAnsi="Arial"/>
          <w:sz w:val="18"/>
          <w:szCs w:val="18"/>
          <w:color w:val="auto"/>
        </w:rPr>
        <w:t>Our common stock trades under the symbol “FULC” on the Nasdaq Global Market and has been publicly traded since July 18, 2019. Prior to this time, there was no public market for our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81"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As of February 24, 2022, there were approximately 22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1"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firstLine="509"/>
        <w:spacing w:after="0" w:line="239" w:lineRule="auto"/>
        <w:rPr>
          <w:sz w:val="20"/>
          <w:szCs w:val="20"/>
          <w:color w:val="auto"/>
        </w:rPr>
      </w:pPr>
      <w:r>
        <w:rPr>
          <w:rFonts w:ascii="Arial" w:cs="Arial" w:eastAsia="Arial" w:hAnsi="Arial"/>
          <w:sz w:val="16"/>
          <w:szCs w:val="16"/>
          <w:color w:val="auto"/>
        </w:rPr>
        <w:t>Effective September 7, 2021, we granted one employee an option to purchase 140,000 shares of our common stock at an exercise price of $28.49 per share. Effective September 30, 2021, we granted one employee an option to purchase 58,000 shares of our common stock at an exercise price of $28.21 per share. These options were inducement grants in accordance with Nasdaq Listing Rule 5635(c)(4), which were made outside of our 2019 Stock Incentive Plan. The options have a ten-year term and vest over four years, with 25% of the shares underlying the option grants vesting on the first anniversary of the respective employee’s start date and an additional 6.25% of the shares vesting in equal quarterly installments over the twelve successive quarters following the first anniversary of the respective start date, subject to such employee’s continued service with us through the applicable vesting dates. We filed a registration statement on a Form S-8 to register the shares of common stock underlying these options.</w:t>
      </w:r>
    </w:p>
    <w:p>
      <w:pPr>
        <w:spacing w:after="0" w:line="54" w:lineRule="exact"/>
        <w:rPr>
          <w:sz w:val="20"/>
          <w:szCs w:val="20"/>
          <w:color w:val="auto"/>
        </w:rPr>
      </w:pPr>
    </w:p>
    <w:p>
      <w:pPr>
        <w:jc w:val="both"/>
        <w:ind w:right="120" w:firstLine="509"/>
        <w:spacing w:after="0" w:line="224" w:lineRule="auto"/>
        <w:rPr>
          <w:sz w:val="20"/>
          <w:szCs w:val="20"/>
          <w:color w:val="auto"/>
        </w:rPr>
      </w:pPr>
      <w:r>
        <w:rPr>
          <w:rFonts w:ascii="Arial" w:cs="Arial" w:eastAsia="Arial" w:hAnsi="Arial"/>
          <w:sz w:val="18"/>
          <w:szCs w:val="18"/>
          <w:color w:val="auto"/>
        </w:rPr>
        <w:t>No underwriters were involved in the foregoing issuances of securities. The securities were issued pursuant to Section 4(a)(2) under the Securities Act of 1933, as amended, relating to transactions by an issuer not involving any public offering. The recipients either received adequate information about us or had access, through other relationships, to such information.</w:t>
      </w:r>
    </w:p>
    <w:p>
      <w:pPr>
        <w:spacing w:after="0" w:line="55" w:lineRule="exact"/>
        <w:rPr>
          <w:sz w:val="20"/>
          <w:szCs w:val="20"/>
          <w:color w:val="auto"/>
        </w:rPr>
      </w:pPr>
    </w:p>
    <w:p>
      <w:pPr>
        <w:ind w:right="220" w:firstLine="509"/>
        <w:spacing w:after="0" w:line="235" w:lineRule="auto"/>
        <w:rPr>
          <w:sz w:val="20"/>
          <w:szCs w:val="20"/>
          <w:color w:val="auto"/>
        </w:rPr>
      </w:pPr>
      <w:r>
        <w:rPr>
          <w:rFonts w:ascii="Arial" w:cs="Arial" w:eastAsia="Arial" w:hAnsi="Arial"/>
          <w:sz w:val="18"/>
          <w:szCs w:val="18"/>
          <w:color w:val="auto"/>
        </w:rPr>
        <w:t>Other than as reported in a Current Report on Form 8-K, we did not sell any securities that were not registered under the Securities Act during the year ended December 31,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Our most advanced product candidate, losmamipod, is in development to treat the root cause of FSHD. Our other clinical product candidate is FTX-6058, which is being developed for the treatment of certain hemoglobinopathies, including SCD and ß-thalassemia. We expect to initiate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IND in the fourth quarter of 2021 for FTX-6058 in other select hemoglobinopathies, including ß-thalassemia, and expect to initiate a Phase 1b study in the second quarter of 2022.</w:t>
      </w:r>
    </w:p>
    <w:p>
      <w:pPr>
        <w:spacing w:after="0" w:line="55"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We have developed a proprietary product engine, FulcrumSeek, that we employ to systematically identify and validate cellular drug targets that can potentially modulate gene expression to treat the known root cause of genetically defined diseases. Our product engine integrates patient-derived tissue-and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 We expect to nominate our next development candidate this year to support our fourth IND by the end of the first quarter of 2023.</w:t>
      </w:r>
    </w:p>
    <w:p>
      <w:pPr>
        <w:spacing w:after="0" w:line="16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common stock in public offerings, a private placement, and in the ATM Offering, through issuances of convertible preferred stock, and from upfront payments received under our collaboration and license agreements.</w:t>
      </w:r>
    </w:p>
    <w:p>
      <w:pPr>
        <w:spacing w:after="0" w:line="15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January 2021, we issued and sold 4,600,000 shares of our common stock in a public offering at a public offering price of $11.00 per share, which includes 600,000 shares issued upon the exercise in full by the underwriters of their option to purchase additional shares at the public offering price, less underwriting discounts and commissions. The net proceeds of the offering were $47.4 million, after deducting underwriting discounts and commissions and offering expenses.</w:t>
      </w:r>
    </w:p>
    <w:p>
      <w:pPr>
        <w:spacing w:after="0" w:line="18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August 2021, we issued and sold 7,590,000 shares of our common stock in a public offering at a public offering price of $19.00 per share, which includes 990,000 shares issued upon the exercise in full by the underwriters of their option to purchase additional shares at the public offering price, less underwriting discounts and commissions. The net proceeds of the offering were $135.5 million, after deducting underwriting discounts and commissions and offering expenses.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p>
      <w:pPr>
        <w:ind w:right="120" w:firstLine="509"/>
        <w:spacing w:after="0" w:line="259" w:lineRule="auto"/>
        <w:rPr>
          <w:sz w:val="20"/>
          <w:szCs w:val="20"/>
          <w:color w:val="auto"/>
        </w:rPr>
      </w:pPr>
      <w:r>
        <w:rPr>
          <w:rFonts w:ascii="Arial" w:cs="Arial" w:eastAsia="Arial" w:hAnsi="Arial"/>
          <w:sz w:val="17"/>
          <w:szCs w:val="17"/>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$80.8 million and $70.8 million for the years ended December 31, 2021 and 2020, respectively. As of December 31, 2021, we had an accumulated deficit of $302.5 million. We expect our expenses and operating losses will increase substantially over the next several years in connection with our ongoing activities, as we:</w:t>
      </w:r>
    </w:p>
    <w:p>
      <w:pPr>
        <w:spacing w:after="0" w:line="66" w:lineRule="exact"/>
        <w:rPr>
          <w:sz w:val="20"/>
          <w:szCs w:val="20"/>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FTX-6058;</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03" w:lineRule="exact"/>
        <w:rPr>
          <w:rFonts w:ascii="Arial" w:cs="Arial" w:eastAsia="Arial" w:hAnsi="Arial"/>
          <w:sz w:val="18"/>
          <w:szCs w:val="18"/>
          <w:color w:val="auto"/>
        </w:rPr>
      </w:pPr>
    </w:p>
    <w:p>
      <w:pPr>
        <w:ind w:left="900" w:right="520" w:hanging="383"/>
        <w:spacing w:after="0" w:line="261"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03" w:lineRule="exact"/>
        <w:rPr>
          <w:rFonts w:ascii="Arial" w:cs="Arial" w:eastAsia="Arial" w:hAnsi="Arial"/>
          <w:sz w:val="18"/>
          <w:szCs w:val="18"/>
          <w:color w:val="auto"/>
        </w:rPr>
      </w:pPr>
    </w:p>
    <w:p>
      <w:pPr>
        <w:ind w:left="900" w:right="280" w:hanging="383"/>
        <w:spacing w:after="0" w:line="291"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03" w:lineRule="exact"/>
        <w:rPr>
          <w:rFonts w:ascii="Arial" w:cs="Arial" w:eastAsia="Arial" w:hAnsi="Arial"/>
          <w:sz w:val="18"/>
          <w:szCs w:val="18"/>
          <w:color w:val="auto"/>
        </w:rPr>
      </w:pPr>
    </w:p>
    <w:p>
      <w:pPr>
        <w:ind w:left="900" w:right="420" w:hanging="383"/>
        <w:spacing w:after="0" w:line="261"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03" w:lineRule="exact"/>
        <w:rPr>
          <w:rFonts w:ascii="Arial" w:cs="Arial" w:eastAsia="Arial" w:hAnsi="Arial"/>
          <w:sz w:val="18"/>
          <w:szCs w:val="18"/>
          <w:color w:val="auto"/>
        </w:rPr>
      </w:pPr>
    </w:p>
    <w:p>
      <w:pPr>
        <w:ind w:left="900" w:right="220" w:hanging="383"/>
        <w:spacing w:after="0" w:line="261"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As of December 31, 2021, we had $218.2 million in cash, cash equivalents, and marketable securities. We believe that our existing cash, cash equivalents, and marketable securities will enable us to fund our operating expenses and capital expenditure requirements into 2024. We have based this estimate on assumptions that may prove to be wrong, and we could exhaust our available capital resources sooner than we expect. See “—Liquidity and Capital Resources.”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December 2019, we entered into a collaboration and license agreement with Acceleron to identify biological targets to modulate specific pathways associated with a targeted indication within the pulmonary disease space. Under the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Acceleron was subsequently acquired by Merck in November 2021.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9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Under the terms of the collaboration agreement, we received a $10.0 million upfront payment from Acceleron in December 2019 and in December 2020, achieved $2.0 million of specified research milestones. We are also eligible to receive up to $436.5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7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For the years ended December 31, 2021 and 2020 we recognized $9.6 million and $6.3 million, respectively, of collaboration revenue under the Acceleron collaboration agreement. As of December 31, 2021 and December 31, 2020, we recorded $0.6 million and $7.9 million, respectively, of deferred revenue associated with the Acceleron collaboration agreement, which is classified as either current or net of current portion in our consolidated balance sheets based on the period over which the revenue is expected to be recognized. As of December 31, 2021, we had received $3.9 million of cost reimbursement payments and $2.0 million of milestone payments under the Acceleron collaboration agreement. As of December 31, 2021, we recorded unbilled accounts receivable of $0.7 million related to reimbursable research and development costs under the Acceleron collaboration agreement for activities performed during the three months ended December 31, 2021.</w:t>
      </w:r>
    </w:p>
    <w:p>
      <w:pPr>
        <w:spacing w:after="0" w:line="18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the future, we will recognize additional revenue associated with the $10.0 million upfront payment and the $2.0 million of specified research milestones achieved in December 2020 as we satisfy our performance obligation, and from reimbursement of costs incurred under the Acceleron collaboration agreement. In the future, we may also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89"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On July 20, 2020, we entered into a collaboration and license agreement with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6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01" w:name="page102"/>
    <w:bookmarkEnd w:id="101"/>
    <w:p>
      <w:pPr>
        <w:ind w:right="20"/>
        <w:spacing w:after="0" w:line="259" w:lineRule="auto"/>
        <w:rPr>
          <w:sz w:val="20"/>
          <w:szCs w:val="20"/>
          <w:color w:val="auto"/>
        </w:rPr>
      </w:pPr>
      <w:r>
        <w:rPr>
          <w:rFonts w:ascii="Arial" w:cs="Arial" w:eastAsia="Arial" w:hAnsi="Arial"/>
          <w:sz w:val="17"/>
          <w:szCs w:val="17"/>
          <w:color w:val="auto"/>
        </w:rPr>
        <w:t>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74"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For the years ended December 31, 2021 and 2020 we recognized $9.6 million and $2.5 million, respectively, of collaboration revenue under the MyoKardia collaboration agreement. As of December 31, 2021 and 2020, we have recorded $4.1 million and $10.0 million, respectively, of deferred revenue associated with the MyoKardia collaboration agreement, which is classified as either current or net of current portion in our consolidated balance sheets based on the period over which the revenue is expected to be recognized. As of December 31, 2021, we had received $0.7 million of cost reimbursement payments and $2.5 million of milestone payments under the MyoKardia collaboration agreement, as well as the $2.5 million payment as prepaid research funding in July 2020. As of December 31, 2021, we recorded $2.5 million of accounts receivable associated with the achievement of a preclinical milestone in December 2021. As of December 31, 2021, we recorded unbilled accounts receivable of $0.5 million related to reimbursable research and development costs under the MyoKardia collaboration agreement for activities performed during the three months ended December 31, 2021.</w:t>
      </w:r>
    </w:p>
    <w:p>
      <w:pPr>
        <w:spacing w:after="0" w:line="16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In the future, we will recognize additional revenue associated with the $10.0 million upfront payment and the $2.5 million preclinical milestone achieved in December 2021,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7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3" w:lineRule="exact"/>
        <w:rPr>
          <w:sz w:val="20"/>
          <w:szCs w:val="20"/>
          <w:color w:val="auto"/>
        </w:rPr>
      </w:pPr>
    </w:p>
    <w:p>
      <w:pPr>
        <w:ind w:left="900" w:hanging="383"/>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contract research organizations, CMOs, and consultants;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p>
      <w:pPr>
        <w:jc w:val="both"/>
        <w:ind w:firstLine="509"/>
        <w:spacing w:after="0" w:line="248"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years ended December 31, 2021 and 2020. Pre-development candidate expenses, unallocated expenses and internal research and development expenses are classified separately.</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Losmapimod external expenses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19,128</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22,954</w:t>
            </w:r>
          </w:p>
        </w:tc>
        <w:tc>
          <w:tcPr>
            <w:tcW w:w="8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FTX-6058 external expenses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14,041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5,538</w:t>
            </w:r>
          </w:p>
        </w:tc>
        <w:tc>
          <w:tcPr>
            <w:tcW w:w="8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8"/>
              </w:rPr>
              <w:t>Pre-development candidate expenses and unallocated expenses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16,100</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14,775</w:t>
            </w:r>
          </w:p>
        </w:tc>
        <w:tc>
          <w:tcPr>
            <w:tcW w:w="8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20,432</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15,775</w:t>
            </w:r>
          </w:p>
        </w:tc>
        <w:tc>
          <w:tcPr>
            <w:tcW w:w="8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69,701</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59,042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6" w:lineRule="exact"/>
        <w:rPr>
          <w:sz w:val="20"/>
          <w:szCs w:val="20"/>
          <w:color w:val="auto"/>
        </w:rPr>
      </w:pPr>
    </w:p>
    <w:p>
      <w:pPr>
        <w:ind w:right="120" w:firstLine="509"/>
        <w:spacing w:after="0" w:line="231"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67" w:lineRule="exact"/>
        <w:rPr>
          <w:sz w:val="20"/>
          <w:szCs w:val="20"/>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the ongoing COVID-19 pandemic;</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90" w:lineRule="exact"/>
        <w:rPr>
          <w:rFonts w:ascii="Arial" w:cs="Arial" w:eastAsia="Arial" w:hAnsi="Arial"/>
          <w:sz w:val="18"/>
          <w:szCs w:val="18"/>
          <w:color w:val="auto"/>
        </w:rPr>
      </w:pPr>
    </w:p>
    <w:p>
      <w:pPr>
        <w:ind w:left="900" w:right="220" w:hanging="383"/>
        <w:spacing w:after="0" w:line="24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01" w:lineRule="exact"/>
        <w:rPr>
          <w:rFonts w:ascii="Arial" w:cs="Arial" w:eastAsia="Arial" w:hAnsi="Arial"/>
          <w:sz w:val="17"/>
          <w:szCs w:val="17"/>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01" w:lineRule="exact"/>
        <w:rPr>
          <w:rFonts w:ascii="Arial" w:cs="Arial" w:eastAsia="Arial" w:hAnsi="Arial"/>
          <w:sz w:val="17"/>
          <w:szCs w:val="17"/>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19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03" w:name="page104"/>
    <w:bookmarkEnd w:id="103"/>
    <w:p>
      <w:pPr>
        <w:ind w:right="40" w:firstLine="509"/>
        <w:spacing w:after="0" w:line="237"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180" w:firstLine="509"/>
        <w:spacing w:after="0" w:line="231"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9"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following summarizes our results of operations for the years ended December 31, 2021 and 2020, along with the changes in those items in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Collaboration revenue</w:t>
            </w: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19,163</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8,823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10,340</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69,701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59,042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10,659</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6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30,516</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21,392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100,217</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80,434</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19,783</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(81,054 )</w:t>
            </w:r>
          </w:p>
        </w:tc>
        <w:tc>
          <w:tcPr>
            <w:tcW w:w="380" w:type="dxa"/>
            <w:vAlign w:val="bottom"/>
          </w:tcPr>
          <w:p>
            <w:pPr>
              <w:spacing w:after="0"/>
              <w:rPr>
                <w:sz w:val="17"/>
                <w:szCs w:val="17"/>
                <w:color w:val="auto"/>
              </w:rPr>
            </w:pP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(71,611 )</w:t>
            </w: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(9,443 )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1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(585 )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(80,847 )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(70,819 )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(10,028 )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60" w:type="dxa"/>
            <w:vAlign w:val="bottom"/>
            <w:vMerge w:val="restart"/>
          </w:tcPr>
          <w:p>
            <w:pPr>
              <w:jc w:val="right"/>
              <w:ind w:right="250"/>
              <w:spacing w:after="0"/>
              <w:rPr>
                <w:sz w:val="20"/>
                <w:szCs w:val="20"/>
                <w:color w:val="auto"/>
              </w:rPr>
            </w:pPr>
            <w:r>
              <w:rPr>
                <w:rFonts w:ascii="Arial" w:cs="Arial" w:eastAsia="Arial" w:hAnsi="Arial"/>
                <w:sz w:val="18"/>
                <w:szCs w:val="18"/>
                <w:color w:val="auto"/>
              </w:rPr>
              <w:t>99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-904875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-904875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-904875</wp:posOffset>
            </wp:positionV>
            <wp:extent cx="59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-639445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-639445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-639445</wp:posOffset>
            </wp:positionV>
            <wp:extent cx="59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color w:val="auto"/>
        </w:rPr>
        <w:t>Collaboration Revenue</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Collaboration revenue increased by $10.3 million from $8.8 million for the year ended December 31, 2020 to $19.2 million for the year ended December 31, 2021.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years ended December 31, 2021 and 2020, we recognized $9.6 million and $6.3 million, respectively, of collaboration revenue under the Acceleron collaboration agreement and $9.6 million and $2.5 million of collaboration revenue, respectively, under the MyoKardia collaboration agreement.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2021 and 2020:</w:t>
      </w:r>
    </w:p>
    <w:tbl>
      <w:tblPr>
        <w:tblLayout w:type="fixed"/>
        <w:tblInd w:w="114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right"/>
              <w:ind w:right="30"/>
              <w:spacing w:after="0" w:line="149" w:lineRule="exact"/>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External research and development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37,624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31,409</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Employee compensation</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20,432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15,776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Laboratory supplies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4,425</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4,586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Facility costs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5,552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69,701</w:t>
            </w:r>
          </w:p>
        </w:tc>
        <w:tc>
          <w:tcPr>
            <w:tcW w:w="18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59,042</w:t>
            </w:r>
          </w:p>
        </w:tc>
        <w:tc>
          <w:tcPr>
            <w:tcW w:w="400" w:type="dxa"/>
            <w:vAlign w:val="bottom"/>
            <w:gridSpan w:val="2"/>
          </w:tcPr>
          <w:p>
            <w:pPr>
              <w:jc w:val="right"/>
              <w:ind w:right="67"/>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-159385</wp:posOffset>
            </wp:positionV>
            <wp:extent cx="431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431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right="200" w:firstLine="509"/>
        <w:spacing w:after="0" w:line="291" w:lineRule="auto"/>
        <w:rPr>
          <w:sz w:val="20"/>
          <w:szCs w:val="20"/>
          <w:color w:val="auto"/>
        </w:rPr>
      </w:pPr>
      <w:r>
        <w:rPr>
          <w:rFonts w:ascii="Arial" w:cs="Arial" w:eastAsia="Arial" w:hAnsi="Arial"/>
          <w:sz w:val="17"/>
          <w:szCs w:val="17"/>
          <w:color w:val="auto"/>
        </w:rPr>
        <w:t>Research and development expense increased by $10.7 million from $59.0 million for the year ended December 31, 2020 to $69.7 million for the year ended December 31, 2021. The increase in research and development expense was primarily attributable to the following:</w:t>
      </w:r>
    </w:p>
    <w:p>
      <w:pPr>
        <w:spacing w:after="0" w:line="39" w:lineRule="exact"/>
        <w:rPr>
          <w:sz w:val="20"/>
          <w:szCs w:val="20"/>
          <w:color w:val="auto"/>
        </w:rPr>
      </w:pPr>
    </w:p>
    <w:p>
      <w:pPr>
        <w:jc w:val="both"/>
        <w:ind w:left="102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$6.2 million in increased external research and development costs, primarily associated with the advancement of FTX-6058 for the treatment of certain hemoglobinopathies, partially offset by decreased costs associated with losmapimod as we completed the ReDUX4 trial in January 2021;</w:t>
      </w:r>
    </w:p>
    <w:p>
      <w:pPr>
        <w:spacing w:after="0" w:line="7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$4.7 million in increased employee compensation costs, including a $1.1 million increase in stock-based compensation expense, primarily due to increased research and development headcount; and</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$0.1 million in increased facilities costs, offset by a $0.2 million decrease in laboratory supplies costs and a $0.1 million decrease in other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for the years ended December 31, 2021 and 2020:</w:t>
      </w:r>
    </w:p>
    <w:tbl>
      <w:tblPr>
        <w:tblLayout w:type="fixed"/>
        <w:tblInd w:w="114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right"/>
              <w:ind w:right="30"/>
              <w:spacing w:after="0" w:line="149" w:lineRule="exact"/>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14,801</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10,083</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4,718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12,488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8,965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Facility costs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960</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851</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2,267</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general and administrative expenses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30,516</w:t>
            </w: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21,392</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9,124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-24765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ind w:right="200" w:firstLine="509"/>
        <w:spacing w:after="0" w:line="291" w:lineRule="auto"/>
        <w:rPr>
          <w:sz w:val="20"/>
          <w:szCs w:val="20"/>
          <w:color w:val="auto"/>
        </w:rPr>
      </w:pPr>
      <w:r>
        <w:rPr>
          <w:rFonts w:ascii="Arial" w:cs="Arial" w:eastAsia="Arial" w:hAnsi="Arial"/>
          <w:sz w:val="17"/>
          <w:szCs w:val="17"/>
          <w:color w:val="auto"/>
        </w:rPr>
        <w:t>General and administrative expenses increased by $9.1 million from $21.4 million for the year ended December 31, 2020 to $30.5 million for the year ended December 31, 2021. The increase in general and administrative expenses was primarily attributable to the following:</w:t>
      </w:r>
    </w:p>
    <w:p>
      <w:pPr>
        <w:spacing w:after="0" w:line="39" w:lineRule="exact"/>
        <w:rPr>
          <w:sz w:val="20"/>
          <w:szCs w:val="20"/>
          <w:color w:val="auto"/>
        </w:rPr>
      </w:pPr>
    </w:p>
    <w:p>
      <w:pPr>
        <w:ind w:left="900" w:right="40" w:hanging="383"/>
        <w:spacing w:after="0" w:line="261"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$4.7 million in increased employee compensation costs, including a $2.6 million increase in stock-based compensation expense, primarily due to increased general and administrative headcount;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$3.5 million in increased professional services, primarily due to increased use of consulting services;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$0.8 million in increased other costs;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$0.1 million in increased facility-related costs, including depreciation and other utility and maintenance costs.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Other income, net decreased by $0.6 million from $0.8 million for the year ended December 31, 2020 to $0.2 million for the year ended December 31, 2021. The decrease in other income, net was primarily attributable to a decrease in investment income on our cash, cash equivalents, and marketable securities as a result of an overall decreased rate of return.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December 31, 2021, we have funded our operations primarily with aggregate gross proceeds of $501.2 million from the sale of shares of our common stock in public offerings, a private placement, and the ATM Offering, through issuances of convertible preferred stock, and from upfront payments received under our collaboration and license agreements. As of December 31, 2021, we had cash, cash equivalents, and marketable securities of $218.2 million.</w:t>
      </w:r>
    </w:p>
    <w:p>
      <w:pPr>
        <w:spacing w:after="0" w:line="53"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In August 2020, we entered into an Equity Distribution Agreement with Piper Sandler &amp; Co., or Piper Sandler, as sales agent, pursuant to which we may offer and sell shares of our common stock with an aggregate offering price of up to $75.0 million under the ATM Offering. As of December 31, 2021, we have issued and sold 550,000 shares of common stock under the ATM Offering, resulting in net proceeds of $5.7 million after deducting offering costs.</w:t>
      </w:r>
    </w:p>
    <w:p>
      <w:pPr>
        <w:spacing w:after="0" w:line="39"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On January 22, 2021, we completed a public offering of our common stock and issued and sold 4,600,000 shares of common stock at a public offering price of $11.00 per share, resulting in net proceeds of $47.4 million after deducting underwriting discounts and commissions and offering expenses.</w:t>
      </w:r>
    </w:p>
    <w:p>
      <w:pPr>
        <w:spacing w:after="0" w:line="74" w:lineRule="exact"/>
        <w:rPr>
          <w:sz w:val="20"/>
          <w:szCs w:val="20"/>
          <w:color w:val="auto"/>
        </w:rPr>
      </w:pPr>
    </w:p>
    <w:p>
      <w:pPr>
        <w:jc w:val="both"/>
        <w:ind w:right="540" w:firstLine="509"/>
        <w:spacing w:after="0" w:line="248" w:lineRule="auto"/>
        <w:rPr>
          <w:sz w:val="20"/>
          <w:szCs w:val="20"/>
          <w:color w:val="auto"/>
        </w:rPr>
      </w:pPr>
      <w:r>
        <w:rPr>
          <w:rFonts w:ascii="Arial" w:cs="Arial" w:eastAsia="Arial" w:hAnsi="Arial"/>
          <w:sz w:val="18"/>
          <w:szCs w:val="18"/>
          <w:color w:val="auto"/>
        </w:rPr>
        <w:t>On August 16, 2021, we completed a public offering of our common stock and issued and sold 7,590,000 shares of common stock at a public offering price of $19.00 per share, resulting in net proceeds of $135.5 million after deducting underwriting discounts and commissions and offering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2021 and 2020:</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3"/>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(78,478</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(53,655</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2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(129,669 )</w:t>
            </w:r>
          </w:p>
        </w:tc>
        <w:tc>
          <w:tcPr>
            <w:tcW w:w="3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(57,138 )</w:t>
            </w:r>
          </w:p>
        </w:tc>
      </w:tr>
      <w:tr>
        <w:trPr>
          <w:trHeight w:val="203"/>
        </w:trPr>
        <w:tc>
          <w:tcPr>
            <w:tcW w:w="4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186,507</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71,132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(21,640 )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(39,661 )</w:t>
            </w:r>
          </w:p>
        </w:tc>
      </w:tr>
      <w:tr>
        <w:trPr>
          <w:trHeight w:val="20"/>
        </w:trPr>
        <w:tc>
          <w:tcPr>
            <w:tcW w:w="4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768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320"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Net cash used in operating activities was $78.5 million during the year ended December 31, 2021 compared to net cash used in operating activities of $53.7 million during the year ended December 31, 2020. The increase in net cash used in operating activities of $24.8 million was primarily due to increased external research and development costs as we continue to advance our lead programs, increased employee compensation costs, and increased general and administrative costs to support the growth of our organization.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Net cash used in investing activities was $129.7 million during the year ended December 31, 2021 compared to net cash used in investing activities of $57.1 million during the year ended December 31, 2020. The increase in net cash used in investing activities of $72.6 million was primarily due to higher net purchases of marketable securities during the year ended December 31, 2021.</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financing activities was $186.5 million during the year ended December 31, 2021 compared to net cash provided by financing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activities of $71.1 million during the year ended December 31, 2020. Net cash provided by financing activities during the year ended December 31,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primarily consisted of net proceeds of approximately $182.9 million from the completion of the public offerings of our common stock in January 2021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August 2021. Net cash provided by financing activities during the year ended December 31, 2020 primarily consisted of net proceeds of approximately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$64.2 million from the issuance of common stock in a private placement in June 2020 and net proceeds of $5.7 million received under our ATM Offering.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7" w:lineRule="exact"/>
        <w:rPr>
          <w:sz w:val="20"/>
          <w:szCs w:val="20"/>
          <w:color w:val="auto"/>
        </w:rPr>
      </w:pPr>
    </w:p>
    <w:p>
      <w:pPr>
        <w:ind w:firstLine="509"/>
        <w:spacing w:after="0" w:line="21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63" w:lineRule="exact"/>
        <w:rPr>
          <w:sz w:val="20"/>
          <w:szCs w:val="20"/>
          <w:color w:val="auto"/>
        </w:rPr>
      </w:pPr>
    </w:p>
    <w:p>
      <w:pPr>
        <w:ind w:right="200" w:firstLine="509"/>
        <w:spacing w:after="0" w:line="224"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December 31, 2021 will enable us to fund our operating expenses and capital expenditure requirements into 2024. However, we have based this estimate on assumptions that may prove to be wrong and we could exhaust our capital resources sooner than we expect.</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77" w:lineRule="exact"/>
        <w:rPr>
          <w:sz w:val="20"/>
          <w:szCs w:val="20"/>
          <w:color w:val="auto"/>
        </w:rPr>
      </w:pPr>
    </w:p>
    <w:p>
      <w:pPr>
        <w:ind w:left="900" w:hanging="383"/>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progress, costs and results of our clinical trials of losmapimod and FTX-6058;</w:t>
      </w:r>
    </w:p>
    <w:p>
      <w:pPr>
        <w:spacing w:after="0" w:line="76" w:lineRule="exact"/>
        <w:rPr>
          <w:rFonts w:ascii="Arial" w:cs="Arial" w:eastAsia="Arial" w:hAnsi="Arial"/>
          <w:sz w:val="18"/>
          <w:szCs w:val="18"/>
          <w:color w:val="auto"/>
        </w:rPr>
      </w:pPr>
    </w:p>
    <w:p>
      <w:pPr>
        <w:ind w:left="900" w:right="560" w:hanging="383"/>
        <w:spacing w:after="0" w:line="23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and operations;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76" w:lineRule="exact"/>
        <w:rPr>
          <w:rFonts w:ascii="Arial" w:cs="Arial" w:eastAsia="Arial" w:hAnsi="Arial"/>
          <w:sz w:val="18"/>
          <w:szCs w:val="18"/>
          <w:color w:val="auto"/>
        </w:rPr>
      </w:pPr>
    </w:p>
    <w:p>
      <w:pPr>
        <w:ind w:left="900" w:right="300" w:hanging="383"/>
        <w:spacing w:after="0" w:line="23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76" w:lineRule="exact"/>
        <w:rPr>
          <w:rFonts w:ascii="Arial" w:cs="Arial" w:eastAsia="Arial" w:hAnsi="Arial"/>
          <w:sz w:val="18"/>
          <w:szCs w:val="18"/>
          <w:color w:val="auto"/>
        </w:rPr>
      </w:pPr>
    </w:p>
    <w:p>
      <w:pPr>
        <w:ind w:left="900" w:right="660" w:hanging="383"/>
        <w:spacing w:after="0" w:line="23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76" w:lineRule="exact"/>
        <w:rPr>
          <w:rFonts w:ascii="Arial" w:cs="Arial" w:eastAsia="Arial" w:hAnsi="Arial"/>
          <w:sz w:val="18"/>
          <w:szCs w:val="18"/>
          <w:color w:val="auto"/>
        </w:rPr>
      </w:pPr>
    </w:p>
    <w:p>
      <w:pPr>
        <w:ind w:left="900" w:right="160" w:hanging="383"/>
        <w:spacing w:after="0" w:line="23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99" w:lineRule="exact"/>
        <w:rPr>
          <w:rFonts w:ascii="Arial" w:cs="Arial" w:eastAsia="Arial" w:hAnsi="Arial"/>
          <w:sz w:val="16"/>
          <w:szCs w:val="16"/>
          <w:color w:val="auto"/>
        </w:rPr>
      </w:pPr>
    </w:p>
    <w:p>
      <w:pPr>
        <w:ind w:left="900" w:right="820" w:hanging="383"/>
        <w:spacing w:after="0" w:line="23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Arial" w:cs="Arial" w:eastAsia="Arial" w:hAnsi="Arial"/>
          <w:sz w:val="18"/>
          <w:szCs w:val="18"/>
          <w:color w:val="auto"/>
        </w:rPr>
      </w:pPr>
    </w:p>
    <w:p>
      <w:pPr>
        <w:ind w:left="900" w:hanging="383"/>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185" w:lineRule="exact"/>
        <w:rPr>
          <w:sz w:val="20"/>
          <w:szCs w:val="20"/>
          <w:color w:val="auto"/>
        </w:rPr>
      </w:pPr>
    </w:p>
    <w:p>
      <w:pPr>
        <w:ind w:right="120" w:firstLine="509"/>
        <w:spacing w:after="0" w:line="224"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63"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7" w:name="page108"/>
    <w:bookmarkEnd w:id="107"/>
    <w:p>
      <w:pPr>
        <w:ind w:firstLine="509"/>
        <w:spacing w:after="0" w:line="221"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80"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consolidated financial statements included elsewhere in this Annual Report on Form 10-K for a description of our other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340" w:firstLine="509"/>
        <w:spacing w:after="0" w:line="294" w:lineRule="auto"/>
        <w:rPr>
          <w:sz w:val="20"/>
          <w:szCs w:val="20"/>
          <w:color w:val="auto"/>
        </w:rPr>
      </w:pPr>
      <w:r>
        <w:rPr>
          <w:rFonts w:ascii="Arial" w:cs="Arial" w:eastAsia="Arial" w:hAnsi="Arial"/>
          <w:sz w:val="16"/>
          <w:szCs w:val="16"/>
          <w:color w:val="auto"/>
        </w:rPr>
        <w:t xml:space="preserve">Under the Financial Accounting Standards Board Accounting Standards Codification, or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 entity recognizes revenue when its customer obtains control of promised goods or services, in an amount that reflects the consideration that the entity expects to receive in exchange for those goods or services. In applying ASC 606, we perform the following five steps: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 Identify the promises and performance obligations in the contract</w:t>
      </w:r>
    </w:p>
    <w:p>
      <w:pPr>
        <w:spacing w:after="0" w:line="10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In assessing whether a promised good or service is distinct, we consider factors such as the research, manufacturing and commercialization capabilities of the customer and the availability of the associated expertise in the marketplace. We also consider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8" w:name="page109"/>
    <w:bookmarkEnd w:id="108"/>
    <w:p>
      <w:pPr>
        <w:ind w:left="520"/>
        <w:spacing w:after="0"/>
        <w:rPr>
          <w:sz w:val="20"/>
          <w:szCs w:val="20"/>
          <w:color w:val="auto"/>
        </w:rPr>
      </w:pPr>
      <w:r>
        <w:rPr>
          <w:rFonts w:ascii="Arial" w:cs="Arial" w:eastAsia="Arial" w:hAnsi="Arial"/>
          <w:sz w:val="18"/>
          <w:szCs w:val="18"/>
          <w:i w:val="1"/>
          <w:iCs w:val="1"/>
          <w:color w:val="auto"/>
        </w:rPr>
        <w:t>3) Determine the transaction price</w:t>
      </w:r>
    </w:p>
    <w:p>
      <w:pPr>
        <w:spacing w:after="0" w:line="10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The transaction price is determined based on the consideration to which we will be entitled in exchange for transferring goods and services to the customer. 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6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If an arrangement includes research and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our control, such as regulatory approvals, are generally not considered probable of being achieved until the underlying events occur or the associated approvals are received.</w:t>
      </w:r>
    </w:p>
    <w:p>
      <w:pPr>
        <w:spacing w:after="0" w:line="189"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47"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assess our revenue generating arrangements in order to determine whether a significant financing component exists.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8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For revenue that we recognize over time, we assess whether an input or an output method is the appropriate measure of progress associated with the satisfaction of the performance obligation. In determining the appropriate method for measuring progress, we consider the nature of the good or service that we have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our measurement of progress associated with the satisfaction of performance obligations based on an input method include the total estimated costs to satisfy the associated performance obligation.</w:t>
      </w:r>
    </w:p>
    <w:p>
      <w:pPr>
        <w:spacing w:after="0" w:line="161"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See Note 10, “Collaboration and License Agreements” to our audited consolidated financial statements included elsewhere in this Annual Report on Form 10-K for further information on the application of ASC 606 to the Acceleron and MyoKardia collaboration agreements.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90" w:lineRule="exact"/>
        <w:rPr>
          <w:sz w:val="20"/>
          <w:szCs w:val="20"/>
          <w:color w:val="auto"/>
        </w:rPr>
      </w:pPr>
    </w:p>
    <w:p>
      <w:pPr>
        <w:ind w:right="40" w:firstLine="509"/>
        <w:spacing w:after="0" w:line="238"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7" w:lineRule="exact"/>
        <w:rPr>
          <w:sz w:val="20"/>
          <w:szCs w:val="20"/>
          <w:color w:val="auto"/>
        </w:rPr>
      </w:pPr>
    </w:p>
    <w:p>
      <w:pPr>
        <w:ind w:right="40" w:firstLine="509"/>
        <w:spacing w:after="0" w:line="238"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7"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509"/>
        <w:spacing w:after="0" w:line="239" w:lineRule="auto"/>
        <w:rPr>
          <w:sz w:val="20"/>
          <w:szCs w:val="20"/>
          <w:color w:val="auto"/>
        </w:rPr>
      </w:pPr>
      <w:r>
        <w:rPr>
          <w:rFonts w:ascii="Arial" w:cs="Arial" w:eastAsia="Arial" w:hAnsi="Arial"/>
          <w:sz w:val="17"/>
          <w:szCs w:val="17"/>
          <w:color w:val="auto"/>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6" w:lineRule="exact"/>
        <w:rPr>
          <w:sz w:val="20"/>
          <w:szCs w:val="20"/>
          <w:color w:val="auto"/>
        </w:rPr>
      </w:pPr>
    </w:p>
    <w:p>
      <w:pPr>
        <w:ind w:right="20" w:firstLine="509"/>
        <w:spacing w:after="0" w:line="252" w:lineRule="auto"/>
        <w:rPr>
          <w:sz w:val="20"/>
          <w:szCs w:val="20"/>
          <w:color w:val="auto"/>
        </w:rPr>
      </w:pPr>
      <w:r>
        <w:rPr>
          <w:rFonts w:ascii="Arial" w:cs="Arial" w:eastAsia="Arial" w:hAnsi="Arial"/>
          <w:sz w:val="16"/>
          <w:szCs w:val="16"/>
          <w:color w:val="auto"/>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Given the lack of public market for our common stock prior to the closing of our IPO and a lack of company-specific historical and implied volatility data, we based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66"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6"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audited consolidated financial statements appearing elsewhere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ind w:right="80" w:firstLine="509"/>
        <w:spacing w:after="0" w:line="261"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and our investments are in short-term marketable securities, such as corporate bonds and commercial paper. As of December 31, 2021, we had cash, cash equivalents, and marketable securities of $218.2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2021, we had minimal or no liabilities denominated in foreign currencies.</w:t>
      </w:r>
    </w:p>
    <w:p>
      <w:pPr>
        <w:spacing w:after="0" w:line="175"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2021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4"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Our consolidated financial statements, together with the independent registered public accounting firm report thereon, are presented beginning on page F-1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38" w:right="41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firstLine="509"/>
        <w:spacing w:after="0" w:line="252"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 w:lineRule="exact"/>
        <w:rPr>
          <w:sz w:val="20"/>
          <w:szCs w:val="20"/>
          <w:color w:val="auto"/>
        </w:rPr>
      </w:pPr>
    </w:p>
    <w:p>
      <w:pPr>
        <w:ind w:left="1260" w:right="820" w:hanging="368"/>
        <w:spacing w:after="0" w:line="243"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77" w:lineRule="exact"/>
        <w:rPr>
          <w:rFonts w:ascii="Arial" w:cs="Arial" w:eastAsia="Arial" w:hAnsi="Arial"/>
          <w:sz w:val="18"/>
          <w:szCs w:val="18"/>
          <w:color w:val="auto"/>
        </w:rPr>
      </w:pPr>
    </w:p>
    <w:p>
      <w:pPr>
        <w:ind w:left="1260" w:right="120" w:hanging="368"/>
        <w:spacing w:after="0" w:line="248"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73" w:lineRule="exact"/>
        <w:rPr>
          <w:rFonts w:ascii="Arial" w:cs="Arial" w:eastAsia="Arial" w:hAnsi="Arial"/>
          <w:sz w:val="18"/>
          <w:szCs w:val="18"/>
          <w:color w:val="auto"/>
        </w:rPr>
      </w:pPr>
    </w:p>
    <w:p>
      <w:pPr>
        <w:ind w:left="1260" w:right="400" w:hanging="368"/>
        <w:spacing w:after="0" w:line="261" w:lineRule="auto"/>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 company’s assets that could have a material effect on the financial statements.</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2021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2021.</w:t>
      </w:r>
    </w:p>
    <w:p>
      <w:pPr>
        <w:spacing w:after="0" w:line="172"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an exemption established by the JOBS Act for “emerging growth companies”.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340" w:firstLine="509"/>
        <w:spacing w:after="0" w:line="235"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December 31, 2021 that has materially affected, or is reasonably likely to materially affect, our internal control over financial reporting.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34" w:right="1440" w:bottom="1440" w:gutter="0" w:footer="0" w:header="0"/>
        </w:sectPr>
      </w:pPr>
    </w:p>
    <w:bookmarkStart w:id="113" w:name="page114"/>
    <w:bookmarkEnd w:id="113"/>
    <w:p>
      <w:pPr>
        <w:jc w:val="center"/>
        <w:ind w:left="44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Except to the extent provided below, the information required by this Item 10 will be included in our Definitive Proxy Statement to be filed with the SEC, with respect to our 2022 Annual Meeting of Stockholders and is incorporated herein by reference.</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(ir.fulcrumtx.com) of our corporate website at www.fulcrumtx.com. We intend to disclose on our website any amendments to, or waivers from, the Code of Business Conduct and Ethics that are required to be disclosed pursuant to the disclosure requirements of Item 5.05 of Form 8-K.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2022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2022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2022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2022 Annual Meeting of Stockholders and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4" w:name="page115"/>
    <w:bookmarkEnd w:id="114"/>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documents are included on pages F-1 through F-31 attached hereto and are filed as part of this Annual Report on Form 10-K.</w:t>
      </w:r>
    </w:p>
    <w:p>
      <w:pPr>
        <w:spacing w:after="0" w:line="242" w:lineRule="exact"/>
        <w:rPr>
          <w:sz w:val="20"/>
          <w:szCs w:val="20"/>
          <w:color w:val="auto"/>
        </w:rPr>
      </w:pPr>
    </w:p>
    <w:tbl>
      <w:tblPr>
        <w:tblLayout w:type="fixed"/>
        <w:tblInd w:w="90" w:type="dxa"/>
        <w:tblCellMar>
          <w:top w:w="0" w:type="dxa"/>
          <w:left w:w="0" w:type="dxa"/>
          <w:bottom w:w="0" w:type="dxa"/>
          <w:right w:w="0" w:type="dxa"/>
        </w:tblCellMar>
      </w:tblPr>
      <w:tr>
        <w:trPr>
          <w:trHeight w:val="185"/>
        </w:trPr>
        <w:tc>
          <w:tcPr>
            <w:tcW w:w="10340" w:type="dxa"/>
            <w:vAlign w:val="bottom"/>
            <w:gridSpan w:val="8"/>
            <w:vMerge w:val="restart"/>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8"/>
            <w:vMerge w:val="continue"/>
          </w:tcPr>
          <w:p>
            <w:pPr>
              <w:spacing w:after="0"/>
              <w:rPr>
                <w:sz w:val="14"/>
                <w:szCs w:val="14"/>
                <w:color w:val="auto"/>
              </w:rPr>
            </w:pPr>
          </w:p>
        </w:tc>
        <w:tc>
          <w:tcPr>
            <w:tcW w:w="760" w:type="dxa"/>
            <w:vAlign w:val="bottom"/>
          </w:tcPr>
          <w:p>
            <w:pPr>
              <w:ind w:left="500"/>
              <w:spacing w:after="0" w:line="169"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83"/>
        </w:trPr>
        <w:tc>
          <w:tcPr>
            <w:tcW w:w="21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w:anchor="page118">
              <w:r>
                <w:rPr>
                  <w:rFonts w:ascii="Arial" w:cs="Arial" w:eastAsia="Arial" w:hAnsi="Arial"/>
                  <w:sz w:val="18"/>
                  <w:szCs w:val="18"/>
                  <w:color w:val="0000FF"/>
                  <w:w w:val="88"/>
                </w:rPr>
                <w:t>Consolidated Balance Sheets</w:t>
              </w:r>
            </w:hyperlink>
          </w:p>
        </w:tc>
        <w:tc>
          <w:tcPr>
            <w:tcW w:w="20" w:type="dxa"/>
            <w:vAlign w:val="bottom"/>
            <w:tcBorders>
              <w:top w:val="single" w:sz="8" w:color="0000FF"/>
              <w:bottom w:val="single" w:sz="8" w:color="0000EE"/>
            </w:tcBorders>
          </w:tcPr>
          <w:p>
            <w:pPr>
              <w:spacing w:after="0"/>
              <w:rPr>
                <w:sz w:val="15"/>
                <w:szCs w:val="15"/>
                <w:color w:val="auto"/>
              </w:rPr>
            </w:pPr>
          </w:p>
        </w:tc>
        <w:tc>
          <w:tcPr>
            <w:tcW w:w="2100" w:type="dxa"/>
            <w:vAlign w:val="bottom"/>
            <w:tcBorders>
              <w:top w:val="single" w:sz="8" w:color="0000FF"/>
            </w:tcBorders>
            <w:gridSpan w:val="4"/>
          </w:tcPr>
          <w:p>
            <w:pPr>
              <w:spacing w:after="0"/>
              <w:rPr>
                <w:sz w:val="15"/>
                <w:szCs w:val="15"/>
                <w:color w:val="auto"/>
              </w:rPr>
            </w:pPr>
          </w:p>
        </w:tc>
        <w:tc>
          <w:tcPr>
            <w:tcW w:w="4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760" w:type="dxa"/>
            <w:vAlign w:val="bottom"/>
          </w:tcPr>
          <w:p>
            <w:pPr>
              <w:ind w:left="500"/>
              <w:spacing w:after="0" w:line="182"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83"/>
        </w:trPr>
        <w:tc>
          <w:tcPr>
            <w:tcW w:w="2120" w:type="dxa"/>
            <w:vAlign w:val="bottom"/>
            <w:gridSpan w:val="2"/>
          </w:tcPr>
          <w:p>
            <w:pPr>
              <w:spacing w:after="0" w:line="182" w:lineRule="exact"/>
              <w:rPr>
                <w:rFonts w:ascii="Arial" w:cs="Arial" w:eastAsia="Arial" w:hAnsi="Arial"/>
                <w:sz w:val="18"/>
                <w:szCs w:val="18"/>
                <w:color w:val="0000FF"/>
                <w:w w:val="94"/>
              </w:rPr>
            </w:pPr>
            <w:hyperlink w:anchor="page119">
              <w:r>
                <w:rPr>
                  <w:rFonts w:ascii="Arial" w:cs="Arial" w:eastAsia="Arial" w:hAnsi="Arial"/>
                  <w:sz w:val="18"/>
                  <w:szCs w:val="18"/>
                  <w:color w:val="0000FF"/>
                  <w:w w:val="94"/>
                </w:rPr>
                <w:t>Consolidated Statements of</w:t>
              </w:r>
            </w:hyperlink>
          </w:p>
        </w:tc>
        <w:tc>
          <w:tcPr>
            <w:tcW w:w="8220" w:type="dxa"/>
            <w:vAlign w:val="bottom"/>
            <w:gridSpan w:val="6"/>
          </w:tcPr>
          <w:p>
            <w:pPr>
              <w:spacing w:after="0" w:line="182" w:lineRule="exact"/>
              <w:rPr>
                <w:rFonts w:ascii="Arial" w:cs="Arial" w:eastAsia="Arial" w:hAnsi="Arial"/>
                <w:sz w:val="18"/>
                <w:szCs w:val="18"/>
                <w:color w:val="0000FF"/>
              </w:rPr>
            </w:pPr>
            <w:hyperlink w:anchor="page119">
              <w:r>
                <w:rPr>
                  <w:rFonts w:ascii="Arial" w:cs="Arial" w:eastAsia="Arial" w:hAnsi="Arial"/>
                  <w:sz w:val="18"/>
                  <w:szCs w:val="18"/>
                  <w:color w:val="0000FF"/>
                </w:rPr>
                <w:t>Operations and Comprehensive Loss</w:t>
              </w:r>
            </w:hyperlink>
          </w:p>
        </w:tc>
        <w:tc>
          <w:tcPr>
            <w:tcW w:w="760" w:type="dxa"/>
            <w:vAlign w:val="bottom"/>
          </w:tcPr>
          <w:p>
            <w:pPr>
              <w:ind w:left="500"/>
              <w:spacing w:after="0" w:line="182"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9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660" w:type="dxa"/>
            <w:vAlign w:val="bottom"/>
            <w:vMerge w:val="restart"/>
          </w:tcPr>
          <w:p>
            <w:pPr>
              <w:spacing w:after="0" w:line="20" w:lineRule="exact"/>
              <w:rPr>
                <w:sz w:val="1"/>
                <w:szCs w:val="1"/>
                <w:color w:val="auto"/>
              </w:rPr>
            </w:pPr>
          </w:p>
        </w:tc>
        <w:tc>
          <w:tcPr>
            <w:tcW w:w="760" w:type="dxa"/>
            <w:vAlign w:val="bottom"/>
            <w:vMerge w:val="restart"/>
          </w:tcPr>
          <w:p>
            <w:pPr>
              <w:ind w:left="500"/>
              <w:spacing w:after="0" w:line="202"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line="20" w:lineRule="exact"/>
              <w:rPr>
                <w:sz w:val="1"/>
                <w:szCs w:val="1"/>
                <w:color w:val="auto"/>
              </w:rPr>
            </w:pPr>
          </w:p>
        </w:tc>
      </w:tr>
      <w:tr>
        <w:trPr>
          <w:trHeight w:val="183"/>
        </w:trPr>
        <w:tc>
          <w:tcPr>
            <w:tcW w:w="4680" w:type="dxa"/>
            <w:vAlign w:val="bottom"/>
            <w:gridSpan w:val="7"/>
          </w:tcPr>
          <w:p>
            <w:pPr>
              <w:spacing w:after="0" w:line="182" w:lineRule="exact"/>
              <w:rPr>
                <w:rFonts w:ascii="Arial" w:cs="Arial" w:eastAsia="Arial" w:hAnsi="Arial"/>
                <w:sz w:val="18"/>
                <w:szCs w:val="18"/>
                <w:color w:val="0000FF"/>
              </w:rPr>
            </w:pPr>
            <w:hyperlink w:anchor="page120">
              <w:r>
                <w:rPr>
                  <w:rFonts w:ascii="Arial" w:cs="Arial" w:eastAsia="Arial" w:hAnsi="Arial"/>
                  <w:sz w:val="18"/>
                  <w:szCs w:val="18"/>
                  <w:color w:val="0000FF"/>
                </w:rPr>
                <w:t>Consolidated Statements of Stockholders’ Equity</w:t>
              </w:r>
            </w:hyperlink>
          </w:p>
        </w:tc>
        <w:tc>
          <w:tcPr>
            <w:tcW w:w="56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780" w:type="dxa"/>
            <w:vAlign w:val="bottom"/>
            <w:gridSpan w:val="3"/>
            <w:vMerge w:val="restart"/>
          </w:tcPr>
          <w:p>
            <w:pPr>
              <w:spacing w:after="0" w:line="20" w:lineRule="exact"/>
              <w:rPr>
                <w:sz w:val="1"/>
                <w:szCs w:val="1"/>
                <w:color w:val="auto"/>
              </w:rPr>
            </w:pPr>
          </w:p>
        </w:tc>
        <w:tc>
          <w:tcPr>
            <w:tcW w:w="760" w:type="dxa"/>
            <w:vAlign w:val="bottom"/>
            <w:vMerge w:val="restart"/>
          </w:tcPr>
          <w:p>
            <w:pPr>
              <w:ind w:left="500"/>
              <w:spacing w:after="0" w:line="202"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line="20" w:lineRule="exact"/>
              <w:rPr>
                <w:sz w:val="1"/>
                <w:szCs w:val="1"/>
                <w:color w:val="auto"/>
              </w:rPr>
            </w:pPr>
          </w:p>
        </w:tc>
      </w:tr>
      <w:tr>
        <w:trPr>
          <w:trHeight w:val="183"/>
        </w:trPr>
        <w:tc>
          <w:tcPr>
            <w:tcW w:w="3560" w:type="dxa"/>
            <w:vAlign w:val="bottom"/>
            <w:gridSpan w:val="5"/>
          </w:tcPr>
          <w:p>
            <w:pPr>
              <w:spacing w:after="0" w:line="182" w:lineRule="exact"/>
              <w:rPr>
                <w:rFonts w:ascii="Arial" w:cs="Arial" w:eastAsia="Arial" w:hAnsi="Arial"/>
                <w:sz w:val="18"/>
                <w:szCs w:val="18"/>
                <w:color w:val="0000FF"/>
              </w:rPr>
            </w:pPr>
            <w:hyperlink w:anchor="page121">
              <w:r>
                <w:rPr>
                  <w:rFonts w:ascii="Arial" w:cs="Arial" w:eastAsia="Arial" w:hAnsi="Arial"/>
                  <w:sz w:val="18"/>
                  <w:szCs w:val="18"/>
                  <w:color w:val="0000FF"/>
                </w:rPr>
                <w:t>Consolidated Statements of Cash Flows</w:t>
              </w:r>
            </w:hyperlink>
          </w:p>
        </w:tc>
        <w:tc>
          <w:tcPr>
            <w:tcW w:w="678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760" w:type="dxa"/>
            <w:vAlign w:val="bottom"/>
            <w:vMerge w:val="restart"/>
          </w:tcPr>
          <w:p>
            <w:pPr>
              <w:ind w:left="500"/>
              <w:spacing w:after="0" w:line="202"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line="20" w:lineRule="exact"/>
              <w:rPr>
                <w:sz w:val="1"/>
                <w:szCs w:val="1"/>
                <w:color w:val="auto"/>
              </w:rPr>
            </w:pPr>
          </w:p>
        </w:tc>
      </w:tr>
      <w:tr>
        <w:trPr>
          <w:trHeight w:val="183"/>
        </w:trPr>
        <w:tc>
          <w:tcPr>
            <w:tcW w:w="10340" w:type="dxa"/>
            <w:vAlign w:val="bottom"/>
            <w:gridSpan w:val="8"/>
          </w:tcPr>
          <w:p>
            <w:pPr>
              <w:spacing w:after="0" w:line="182" w:lineRule="exact"/>
              <w:rPr>
                <w:rFonts w:ascii="Arial" w:cs="Arial" w:eastAsia="Arial" w:hAnsi="Arial"/>
                <w:sz w:val="18"/>
                <w:szCs w:val="18"/>
                <w:color w:val="0000FF"/>
              </w:rPr>
            </w:pPr>
            <w:hyperlink w:anchor="page122">
              <w:r>
                <w:rPr>
                  <w:rFonts w:ascii="Arial" w:cs="Arial" w:eastAsia="Arial" w:hAnsi="Arial"/>
                  <w:sz w:val="18"/>
                  <w:szCs w:val="18"/>
                  <w:color w:val="0000FF"/>
                </w:rPr>
                <w:t>Notes to Consolidated Financial Statements</w:t>
              </w:r>
            </w:hyperlink>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94" w:lineRule="exact"/>
        <w:rPr>
          <w:sz w:val="20"/>
          <w:szCs w:val="20"/>
          <w:color w:val="auto"/>
        </w:rPr>
      </w:pPr>
    </w:p>
    <w:p>
      <w:pPr>
        <w:ind w:right="420" w:firstLine="509"/>
        <w:spacing w:after="0" w:line="235" w:lineRule="auto"/>
        <w:rPr>
          <w:sz w:val="20"/>
          <w:szCs w:val="20"/>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0" w:right="39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10380" w:type="dxa"/>
            <w:vAlign w:val="bottom"/>
            <w:gridSpan w:val="8"/>
            <w:vMerge w:val="restart"/>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380" w:type="dxa"/>
            <w:vAlign w:val="bottom"/>
            <w:gridSpan w:val="8"/>
            <w:vMerge w:val="continue"/>
          </w:tcPr>
          <w:p>
            <w:pPr>
              <w:spacing w:after="0"/>
              <w:rPr>
                <w:sz w:val="14"/>
                <w:szCs w:val="14"/>
                <w:color w:val="auto"/>
              </w:rPr>
            </w:pPr>
          </w:p>
        </w:tc>
        <w:tc>
          <w:tcPr>
            <w:tcW w:w="700" w:type="dxa"/>
            <w:vAlign w:val="bottom"/>
          </w:tcPr>
          <w:p>
            <w:pPr>
              <w:ind w:left="440"/>
              <w:spacing w:after="0" w:line="169" w:lineRule="exact"/>
              <w:rPr>
                <w:sz w:val="20"/>
                <w:szCs w:val="20"/>
                <w:color w:val="auto"/>
              </w:rPr>
            </w:pPr>
            <w:r>
              <w:rPr>
                <w:rFonts w:ascii="Arial" w:cs="Arial" w:eastAsia="Arial" w:hAnsi="Arial"/>
                <w:sz w:val="18"/>
                <w:szCs w:val="18"/>
                <w:color w:val="auto"/>
                <w:w w:val="88"/>
              </w:rPr>
              <w:t>F-2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0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7"/>
              </w:rPr>
            </w:pPr>
            <w:hyperlink w:anchor="page118">
              <w:r>
                <w:rPr>
                  <w:rFonts w:ascii="Arial" w:cs="Arial" w:eastAsia="Arial" w:hAnsi="Arial"/>
                  <w:sz w:val="18"/>
                  <w:szCs w:val="18"/>
                  <w:color w:val="0000FF"/>
                  <w:w w:val="87"/>
                </w:rPr>
                <w:t>Consolidated Balance Sheets</w:t>
              </w:r>
            </w:hyperlink>
          </w:p>
        </w:tc>
        <w:tc>
          <w:tcPr>
            <w:tcW w:w="20" w:type="dxa"/>
            <w:vAlign w:val="bottom"/>
            <w:tcBorders>
              <w:top w:val="single" w:sz="8" w:color="0000FF"/>
              <w:bottom w:val="single" w:sz="8" w:color="0000EE"/>
            </w:tcBorders>
          </w:tcPr>
          <w:p>
            <w:pPr>
              <w:spacing w:after="0"/>
              <w:rPr>
                <w:sz w:val="15"/>
                <w:szCs w:val="15"/>
                <w:color w:val="auto"/>
              </w:rPr>
            </w:pPr>
          </w:p>
        </w:tc>
        <w:tc>
          <w:tcPr>
            <w:tcW w:w="2100" w:type="dxa"/>
            <w:vAlign w:val="bottom"/>
            <w:tcBorders>
              <w:top w:val="single" w:sz="8" w:color="0000FF"/>
            </w:tcBorders>
            <w:gridSpan w:val="4"/>
          </w:tcPr>
          <w:p>
            <w:pPr>
              <w:spacing w:after="0"/>
              <w:rPr>
                <w:sz w:val="15"/>
                <w:szCs w:val="15"/>
                <w:color w:val="auto"/>
              </w:rPr>
            </w:pPr>
          </w:p>
        </w:tc>
        <w:tc>
          <w:tcPr>
            <w:tcW w:w="46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700" w:type="dxa"/>
            <w:vAlign w:val="bottom"/>
          </w:tcPr>
          <w:p>
            <w:pPr>
              <w:ind w:left="440"/>
              <w:spacing w:after="0" w:line="182" w:lineRule="exact"/>
              <w:rPr>
                <w:sz w:val="20"/>
                <w:szCs w:val="20"/>
                <w:color w:val="auto"/>
              </w:rPr>
            </w:pPr>
            <w:r>
              <w:rPr>
                <w:rFonts w:ascii="Arial" w:cs="Arial" w:eastAsia="Arial" w:hAnsi="Arial"/>
                <w:sz w:val="18"/>
                <w:szCs w:val="18"/>
                <w:color w:val="auto"/>
                <w:w w:val="88"/>
              </w:rPr>
              <w:t>F-3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100" w:type="dxa"/>
            <w:vAlign w:val="bottom"/>
            <w:gridSpan w:val="2"/>
          </w:tcPr>
          <w:p>
            <w:pPr>
              <w:spacing w:after="0" w:line="182" w:lineRule="exact"/>
              <w:rPr>
                <w:rFonts w:ascii="Arial" w:cs="Arial" w:eastAsia="Arial" w:hAnsi="Arial"/>
                <w:sz w:val="18"/>
                <w:szCs w:val="18"/>
                <w:color w:val="0000FF"/>
                <w:w w:val="94"/>
              </w:rPr>
            </w:pPr>
            <w:hyperlink w:anchor="page119">
              <w:r>
                <w:rPr>
                  <w:rFonts w:ascii="Arial" w:cs="Arial" w:eastAsia="Arial" w:hAnsi="Arial"/>
                  <w:sz w:val="18"/>
                  <w:szCs w:val="18"/>
                  <w:color w:val="0000FF"/>
                  <w:w w:val="94"/>
                </w:rPr>
                <w:t>Consolidated Statements of</w:t>
              </w:r>
            </w:hyperlink>
          </w:p>
        </w:tc>
        <w:tc>
          <w:tcPr>
            <w:tcW w:w="8280" w:type="dxa"/>
            <w:vAlign w:val="bottom"/>
            <w:gridSpan w:val="6"/>
          </w:tcPr>
          <w:p>
            <w:pPr>
              <w:spacing w:after="0" w:line="182" w:lineRule="exact"/>
              <w:rPr>
                <w:rFonts w:ascii="Arial" w:cs="Arial" w:eastAsia="Arial" w:hAnsi="Arial"/>
                <w:sz w:val="18"/>
                <w:szCs w:val="18"/>
                <w:color w:val="0000FF"/>
              </w:rPr>
            </w:pPr>
            <w:hyperlink w:anchor="page119">
              <w:r>
                <w:rPr>
                  <w:rFonts w:ascii="Arial" w:cs="Arial" w:eastAsia="Arial" w:hAnsi="Arial"/>
                  <w:sz w:val="18"/>
                  <w:szCs w:val="18"/>
                  <w:color w:val="0000FF"/>
                </w:rPr>
                <w:t>Operations and Comprehensive Loss</w:t>
              </w:r>
            </w:hyperlink>
          </w:p>
        </w:tc>
        <w:tc>
          <w:tcPr>
            <w:tcW w:w="700" w:type="dxa"/>
            <w:vAlign w:val="bottom"/>
          </w:tcPr>
          <w:p>
            <w:pPr>
              <w:ind w:left="440"/>
              <w:spacing w:after="0" w:line="182" w:lineRule="exact"/>
              <w:rPr>
                <w:sz w:val="20"/>
                <w:szCs w:val="20"/>
                <w:color w:val="auto"/>
              </w:rPr>
            </w:pPr>
            <w:r>
              <w:rPr>
                <w:rFonts w:ascii="Arial" w:cs="Arial" w:eastAsia="Arial" w:hAnsi="Arial"/>
                <w:sz w:val="18"/>
                <w:szCs w:val="18"/>
                <w:color w:val="auto"/>
                <w:w w:val="88"/>
              </w:rPr>
              <w:t>F-4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720" w:type="dxa"/>
            <w:vAlign w:val="bottom"/>
            <w:vMerge w:val="restart"/>
          </w:tcPr>
          <w:p>
            <w:pPr>
              <w:spacing w:after="0" w:line="20" w:lineRule="exact"/>
              <w:rPr>
                <w:sz w:val="1"/>
                <w:szCs w:val="1"/>
                <w:color w:val="auto"/>
              </w:rPr>
            </w:pPr>
          </w:p>
        </w:tc>
        <w:tc>
          <w:tcPr>
            <w:tcW w:w="700" w:type="dxa"/>
            <w:vAlign w:val="bottom"/>
            <w:vMerge w:val="restart"/>
          </w:tcPr>
          <w:p>
            <w:pPr>
              <w:ind w:left="440"/>
              <w:spacing w:after="0" w:line="202" w:lineRule="exact"/>
              <w:rPr>
                <w:sz w:val="20"/>
                <w:szCs w:val="20"/>
                <w:color w:val="auto"/>
              </w:rPr>
            </w:pPr>
            <w:r>
              <w:rPr>
                <w:rFonts w:ascii="Arial" w:cs="Arial" w:eastAsia="Arial" w:hAnsi="Arial"/>
                <w:sz w:val="18"/>
                <w:szCs w:val="18"/>
                <w:color w:val="auto"/>
                <w:w w:val="88"/>
              </w:rPr>
              <w:t>F-5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4660" w:type="dxa"/>
            <w:vAlign w:val="bottom"/>
            <w:gridSpan w:val="7"/>
          </w:tcPr>
          <w:p>
            <w:pPr>
              <w:spacing w:after="0" w:line="182" w:lineRule="exact"/>
              <w:rPr>
                <w:rFonts w:ascii="Arial" w:cs="Arial" w:eastAsia="Arial" w:hAnsi="Arial"/>
                <w:sz w:val="18"/>
                <w:szCs w:val="18"/>
                <w:color w:val="0000FF"/>
              </w:rPr>
            </w:pPr>
            <w:hyperlink w:anchor="page120">
              <w:r>
                <w:rPr>
                  <w:rFonts w:ascii="Arial" w:cs="Arial" w:eastAsia="Arial" w:hAnsi="Arial"/>
                  <w:sz w:val="18"/>
                  <w:szCs w:val="18"/>
                  <w:color w:val="0000FF"/>
                </w:rPr>
                <w:t>Consolidated Statements of Stockholders’ Equity</w:t>
              </w:r>
            </w:hyperlink>
          </w:p>
        </w:tc>
        <w:tc>
          <w:tcPr>
            <w:tcW w:w="57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40" w:type="dxa"/>
            <w:vAlign w:val="bottom"/>
            <w:gridSpan w:val="3"/>
            <w:vMerge w:val="restart"/>
          </w:tcPr>
          <w:p>
            <w:pPr>
              <w:spacing w:after="0" w:line="20" w:lineRule="exact"/>
              <w:rPr>
                <w:sz w:val="1"/>
                <w:szCs w:val="1"/>
                <w:color w:val="auto"/>
              </w:rPr>
            </w:pPr>
          </w:p>
        </w:tc>
        <w:tc>
          <w:tcPr>
            <w:tcW w:w="700" w:type="dxa"/>
            <w:vAlign w:val="bottom"/>
            <w:vMerge w:val="restart"/>
          </w:tcPr>
          <w:p>
            <w:pPr>
              <w:ind w:left="440"/>
              <w:spacing w:after="0" w:line="202" w:lineRule="exact"/>
              <w:rPr>
                <w:sz w:val="20"/>
                <w:szCs w:val="20"/>
                <w:color w:val="auto"/>
              </w:rPr>
            </w:pPr>
            <w:r>
              <w:rPr>
                <w:rFonts w:ascii="Arial" w:cs="Arial" w:eastAsia="Arial" w:hAnsi="Arial"/>
                <w:sz w:val="18"/>
                <w:szCs w:val="18"/>
                <w:color w:val="auto"/>
                <w:w w:val="88"/>
              </w:rPr>
              <w:t>F-6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3540" w:type="dxa"/>
            <w:vAlign w:val="bottom"/>
            <w:gridSpan w:val="5"/>
          </w:tcPr>
          <w:p>
            <w:pPr>
              <w:spacing w:after="0" w:line="182" w:lineRule="exact"/>
              <w:rPr>
                <w:rFonts w:ascii="Arial" w:cs="Arial" w:eastAsia="Arial" w:hAnsi="Arial"/>
                <w:sz w:val="18"/>
                <w:szCs w:val="18"/>
                <w:color w:val="0000FF"/>
              </w:rPr>
            </w:pPr>
            <w:hyperlink w:anchor="page121">
              <w:r>
                <w:rPr>
                  <w:rFonts w:ascii="Arial" w:cs="Arial" w:eastAsia="Arial" w:hAnsi="Arial"/>
                  <w:sz w:val="18"/>
                  <w:szCs w:val="18"/>
                  <w:color w:val="0000FF"/>
                </w:rPr>
                <w:t>Consolidated Statements of Cash Flows</w:t>
              </w:r>
            </w:hyperlink>
          </w:p>
        </w:tc>
        <w:tc>
          <w:tcPr>
            <w:tcW w:w="684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700" w:type="dxa"/>
            <w:vAlign w:val="bottom"/>
            <w:vMerge w:val="restart"/>
          </w:tcPr>
          <w:p>
            <w:pPr>
              <w:ind w:left="440"/>
              <w:spacing w:after="0" w:line="202" w:lineRule="exact"/>
              <w:rPr>
                <w:sz w:val="20"/>
                <w:szCs w:val="20"/>
                <w:color w:val="auto"/>
              </w:rPr>
            </w:pPr>
            <w:r>
              <w:rPr>
                <w:rFonts w:ascii="Arial" w:cs="Arial" w:eastAsia="Arial" w:hAnsi="Arial"/>
                <w:sz w:val="18"/>
                <w:szCs w:val="18"/>
                <w:color w:val="auto"/>
                <w:w w:val="88"/>
              </w:rPr>
              <w:t>F-7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10380" w:type="dxa"/>
            <w:vAlign w:val="bottom"/>
            <w:gridSpan w:val="8"/>
          </w:tcPr>
          <w:p>
            <w:pPr>
              <w:spacing w:after="0" w:line="182" w:lineRule="exact"/>
              <w:rPr>
                <w:rFonts w:ascii="Arial" w:cs="Arial" w:eastAsia="Arial" w:hAnsi="Arial"/>
                <w:sz w:val="18"/>
                <w:szCs w:val="18"/>
                <w:color w:val="0000FF"/>
              </w:rPr>
            </w:pPr>
            <w:hyperlink w:anchor="page122">
              <w:r>
                <w:rPr>
                  <w:rFonts w:ascii="Arial" w:cs="Arial" w:eastAsia="Arial" w:hAnsi="Arial"/>
                  <w:sz w:val="18"/>
                  <w:szCs w:val="18"/>
                  <w:color w:val="0000FF"/>
                </w:rPr>
                <w:t>Notes to Consolidated Financial Statements</w:t>
              </w:r>
            </w:hyperlink>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1"/>
        </w:trPr>
        <w:tc>
          <w:tcPr>
            <w:tcW w:w="100" w:type="dxa"/>
            <w:vAlign w:val="bottom"/>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20" w:type="dxa"/>
            <w:vAlign w:val="bottom"/>
          </w:tcPr>
          <w:p>
            <w:pPr>
              <w:ind w:left="740"/>
              <w:spacing w:after="0"/>
              <w:rPr>
                <w:sz w:val="20"/>
                <w:szCs w:val="20"/>
                <w:color w:val="auto"/>
              </w:rPr>
            </w:pPr>
            <w:r>
              <w:rPr>
                <w:rFonts w:ascii="Arial" w:cs="Arial" w:eastAsia="Arial" w:hAnsi="Arial"/>
                <w:sz w:val="18"/>
                <w:szCs w:val="18"/>
                <w:color w:val="auto"/>
              </w:rPr>
              <w:t>F-1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57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ind w:left="3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audited the accompanying consolidated balance sheets of Fulcrum Therapeutics, Inc. (the Company) as of December 31, 2021 and 2020,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35,412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182,750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55,862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Unbilled accounts receivable</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1,137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4,199</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225,998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119,510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7,368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542</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235,000</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4,788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9,231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7,267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lease incentive, current portion</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 current portion</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4,711</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19,199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Deferred rent, excluding current portion</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lease incentive, excluding current portion</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excluding current portion</w:t>
            </w:r>
          </w:p>
        </w:tc>
        <w:tc>
          <w:tcPr>
            <w:tcW w:w="240" w:type="dxa"/>
            <w:vAlign w:val="bottom"/>
          </w:tcPr>
          <w:p>
            <w:pPr>
              <w:spacing w:after="0"/>
              <w:rPr>
                <w:sz w:val="17"/>
                <w:szCs w:val="17"/>
                <w:color w:val="auto"/>
              </w:rPr>
            </w:pPr>
          </w:p>
        </w:tc>
        <w:tc>
          <w:tcPr>
            <w:tcW w:w="1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23,461</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w w:val="96"/>
              </w:rPr>
              <w:t>Preferred stock, $0.001 par value; 5,000,000 shares authorized; no shares issued or outstanding</w:t>
            </w:r>
          </w:p>
        </w:tc>
        <w:tc>
          <w:tcPr>
            <w:tcW w:w="240" w:type="dxa"/>
            <w:vAlign w:val="bottom"/>
          </w:tcPr>
          <w:p>
            <w:pPr>
              <w:spacing w:after="0"/>
              <w:rPr>
                <w:sz w:val="17"/>
                <w:szCs w:val="17"/>
                <w:color w:val="auto"/>
              </w:rPr>
            </w:pPr>
          </w:p>
        </w:tc>
        <w:tc>
          <w:tcPr>
            <w:tcW w:w="1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1"/>
              </w:rPr>
              <w:t>Common stock, $0.001 par value; 200,000,000 shares authorized; 40,636,398 and 28,067,402 shares</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issued as of December 31, 2021 and December 31, 2020, respectively; 40,626,224 and</w:t>
            </w:r>
          </w:p>
        </w:tc>
        <w:tc>
          <w:tcPr>
            <w:tcW w:w="24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27,941,566 shares outstanding as of December 31, 2021 and December 31, 2020, respectively</w:t>
            </w:r>
          </w:p>
        </w:tc>
        <w:tc>
          <w:tcPr>
            <w:tcW w:w="240" w:type="dxa"/>
            <w:vAlign w:val="bottom"/>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Treasury stock, at cost; no shares as of December 31, 2021 and December 31, 2020</w:t>
            </w:r>
          </w:p>
        </w:tc>
        <w:tc>
          <w:tcPr>
            <w:tcW w:w="240" w:type="dxa"/>
            <w:vAlign w:val="bottom"/>
          </w:tcPr>
          <w:p>
            <w:pPr>
              <w:spacing w:after="0"/>
              <w:rPr>
                <w:sz w:val="17"/>
                <w:szCs w:val="17"/>
                <w:color w:val="auto"/>
              </w:rPr>
            </w:pPr>
          </w:p>
        </w:tc>
        <w:tc>
          <w:tcPr>
            <w:tcW w:w="1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514,362</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316,775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7"/>
                <w:szCs w:val="17"/>
                <w:color w:val="auto"/>
              </w:rPr>
            </w:pP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(397 )</w:t>
            </w:r>
          </w:p>
        </w:tc>
        <w:tc>
          <w:tcPr>
            <w:tcW w:w="240" w:type="dxa"/>
            <w:vAlign w:val="bottom"/>
          </w:tcPr>
          <w:p>
            <w:pPr>
              <w:spacing w:after="0"/>
              <w:rPr>
                <w:sz w:val="17"/>
                <w:szCs w:val="17"/>
                <w:color w:val="auto"/>
              </w:rPr>
            </w:pPr>
          </w:p>
        </w:tc>
        <w:tc>
          <w:tcPr>
            <w:tcW w:w="1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(302,467 )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(221,620 )</w:t>
            </w:r>
          </w:p>
        </w:tc>
        <w:tc>
          <w:tcPr>
            <w:tcW w:w="0" w:type="dxa"/>
            <w:vAlign w:val="bottom"/>
          </w:tcPr>
          <w:p>
            <w:pPr>
              <w:spacing w:after="0"/>
              <w:rPr>
                <w:sz w:val="1"/>
                <w:szCs w:val="1"/>
                <w:color w:val="auto"/>
              </w:rPr>
            </w:pPr>
          </w:p>
        </w:tc>
      </w:tr>
      <w:tr>
        <w:trPr>
          <w:trHeight w:val="196"/>
        </w:trPr>
        <w:tc>
          <w:tcPr>
            <w:tcW w:w="7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211,539</w:t>
            </w: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95,181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235,000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129,577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-3665220</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-3665220</wp:posOffset>
            </wp:positionV>
            <wp:extent cx="596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-3142615</wp:posOffset>
            </wp:positionV>
            <wp:extent cx="603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-3142615</wp:posOffset>
            </wp:positionV>
            <wp:extent cx="596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-296545</wp:posOffset>
            </wp:positionV>
            <wp:extent cx="603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48"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Collaboration revenue</w:t>
            </w:r>
          </w:p>
        </w:tc>
        <w:tc>
          <w:tcPr>
            <w:tcW w:w="1000" w:type="dxa"/>
            <w:vAlign w:val="bottom"/>
            <w:shd w:val="clear" w:color="auto" w:fill="CFF0FC"/>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19,163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8,823</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69,701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59,042</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30,516</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21,392</w:t>
            </w:r>
          </w:p>
        </w:tc>
        <w:tc>
          <w:tcPr>
            <w:tcW w:w="100" w:type="dxa"/>
            <w:vAlign w:val="bottom"/>
          </w:tcPr>
          <w:p>
            <w:pPr>
              <w:spacing w:after="0"/>
              <w:rPr>
                <w:sz w:val="17"/>
                <w:szCs w:val="17"/>
                <w:color w:val="auto"/>
              </w:rPr>
            </w:pP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100,217</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80,434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7"/>
                <w:szCs w:val="17"/>
                <w:color w:val="auto"/>
              </w:rPr>
            </w:pPr>
          </w:p>
        </w:tc>
        <w:tc>
          <w:tcPr>
            <w:tcW w:w="9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4"/>
              </w:rPr>
              <w:t>(81,054 )</w:t>
            </w:r>
          </w:p>
        </w:tc>
        <w:tc>
          <w:tcPr>
            <w:tcW w:w="38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(71,611 )</w:t>
            </w: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207</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4"/>
              </w:rPr>
              <w:t>(80,847 )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(70,819 )</w:t>
            </w:r>
          </w:p>
        </w:tc>
      </w:tr>
      <w:tr>
        <w:trPr>
          <w:trHeight w:val="20"/>
        </w:trPr>
        <w:tc>
          <w:tcPr>
            <w:tcW w:w="7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1000" w:type="dxa"/>
            <w:vAlign w:val="bottom"/>
            <w:tcBorders>
              <w:bottom w:val="single" w:sz="8" w:color="auto"/>
            </w:tcBorders>
            <w:shd w:val="clear" w:color="auto" w:fill="CFF0FC"/>
          </w:tcPr>
          <w:p>
            <w:pPr>
              <w:jc w:val="right"/>
              <w:ind w:right="813"/>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(2.29</w:t>
            </w:r>
          </w:p>
        </w:tc>
        <w:tc>
          <w:tcPr>
            <w:tcW w:w="280" w:type="dxa"/>
            <w:vAlign w:val="bottom"/>
            <w:tcBorders>
              <w:bottom w:val="single" w:sz="8" w:color="CFF0FC"/>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(2.79</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common shares outstanding, basic and diluted</w:t>
            </w: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35,361</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25,354</w:t>
            </w:r>
          </w:p>
        </w:tc>
        <w:tc>
          <w:tcPr>
            <w:tcW w:w="10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Comprehensive loss: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ind w:right="813"/>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4"/>
              </w:rPr>
              <w:t>(80,847 )</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(70,819 )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 on marketable securities</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(395 )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
        </w:trPr>
        <w:tc>
          <w:tcPr>
            <w:tcW w:w="76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300"/>
              <w:spacing w:after="0" w:line="196" w:lineRule="exact"/>
              <w:rPr>
                <w:sz w:val="20"/>
                <w:szCs w:val="20"/>
                <w:color w:val="auto"/>
              </w:rPr>
            </w:pPr>
            <w:r>
              <w:rPr>
                <w:rFonts w:ascii="Arial" w:cs="Arial" w:eastAsia="Arial" w:hAnsi="Arial"/>
                <w:sz w:val="18"/>
                <w:szCs w:val="18"/>
                <w:color w:val="auto"/>
              </w:rPr>
              <w:t>Total other comprehensive loss</w:t>
            </w:r>
          </w:p>
        </w:tc>
        <w:tc>
          <w:tcPr>
            <w:tcW w:w="1000" w:type="dxa"/>
            <w:vAlign w:val="bottom"/>
          </w:tcPr>
          <w:p>
            <w:pPr>
              <w:spacing w:after="0"/>
              <w:rPr>
                <w:sz w:val="17"/>
                <w:szCs w:val="17"/>
                <w:color w:val="auto"/>
              </w:rPr>
            </w:pPr>
          </w:p>
        </w:tc>
        <w:tc>
          <w:tcPr>
            <w:tcW w:w="9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(395 )</w:t>
            </w:r>
          </w:p>
        </w:tc>
        <w:tc>
          <w:tcPr>
            <w:tcW w:w="380" w:type="dxa"/>
            <w:vAlign w:val="bottom"/>
          </w:tcPr>
          <w:p>
            <w:pPr>
              <w:spacing w:after="0"/>
              <w:rPr>
                <w:sz w:val="17"/>
                <w:szCs w:val="17"/>
                <w:color w:val="auto"/>
              </w:rPr>
            </w:pP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(2 )</w:t>
            </w: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1000" w:type="dxa"/>
            <w:vAlign w:val="bottom"/>
            <w:tcBorders>
              <w:top w:val="single" w:sz="8" w:color="auto"/>
              <w:bottom w:val="single" w:sz="8" w:color="auto"/>
            </w:tcBorders>
            <w:shd w:val="clear" w:color="auto" w:fill="CFF0FC"/>
          </w:tcPr>
          <w:p>
            <w:pPr>
              <w:jc w:val="right"/>
              <w:ind w:right="813"/>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(81,242</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(70,821</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-1676400</wp:posOffset>
            </wp:positionV>
            <wp:extent cx="603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-1676400</wp:posOffset>
            </wp:positionV>
            <wp:extent cx="596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-1410970</wp:posOffset>
            </wp:positionV>
            <wp:extent cx="603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-1410970</wp:posOffset>
            </wp:positionV>
            <wp:extent cx="596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-1122045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-1104900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-1122045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-1104900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-296545</wp:posOffset>
            </wp:positionV>
            <wp:extent cx="603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rPr>
              <w:t>Accumulated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5"/>
                <w:szCs w:val="15"/>
                <w:color w:val="auto"/>
              </w:rPr>
            </w:pPr>
          </w:p>
        </w:tc>
        <w:tc>
          <w:tcPr>
            <w:tcW w:w="1100" w:type="dxa"/>
            <w:vAlign w:val="bottom"/>
            <w:gridSpan w:val="3"/>
          </w:tcPr>
          <w:p>
            <w:pPr>
              <w:jc w:val="center"/>
              <w:ind w:right="310"/>
              <w:spacing w:after="0" w:line="176" w:lineRule="exact"/>
              <w:rPr>
                <w:sz w:val="20"/>
                <w:szCs w:val="20"/>
                <w:color w:val="auto"/>
              </w:rPr>
            </w:pPr>
            <w:r>
              <w:rPr>
                <w:rFonts w:ascii="Arial" w:cs="Arial" w:eastAsia="Arial" w:hAnsi="Arial"/>
                <w:sz w:val="18"/>
                <w:szCs w:val="18"/>
                <w:b w:val="1"/>
                <w:bCs w:val="1"/>
                <w:color w:val="auto"/>
                <w:w w:val="95"/>
              </w:rPr>
              <w:t>Other</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88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Common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16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auto"/>
                <w:w w:val="95"/>
              </w:rPr>
              <w:t>Comprehensi  Accumulat Stockholder</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880" w:type="dxa"/>
            <w:vAlign w:val="bottom"/>
            <w:gridSpan w:val="3"/>
            <w:vMerge w:val="continue"/>
          </w:tcPr>
          <w:p>
            <w:pPr>
              <w:spacing w:after="0"/>
              <w:rPr>
                <w:sz w:val="17"/>
                <w:szCs w:val="17"/>
                <w:color w:val="auto"/>
              </w:rPr>
            </w:pPr>
          </w:p>
        </w:tc>
        <w:tc>
          <w:tcPr>
            <w:tcW w:w="2020" w:type="dxa"/>
            <w:vAlign w:val="bottom"/>
            <w:gridSpan w:val="5"/>
          </w:tcPr>
          <w:p>
            <w:pPr>
              <w:jc w:val="right"/>
              <w:ind w:right="450"/>
              <w:spacing w:after="0" w:line="202" w:lineRule="exact"/>
              <w:rPr>
                <w:sz w:val="20"/>
                <w:szCs w:val="20"/>
                <w:color w:val="auto"/>
              </w:rPr>
            </w:pPr>
            <w:r>
              <w:rPr>
                <w:rFonts w:ascii="Arial" w:cs="Arial" w:eastAsia="Arial" w:hAnsi="Arial"/>
                <w:sz w:val="18"/>
                <w:szCs w:val="18"/>
                <w:b w:val="1"/>
                <w:bCs w:val="1"/>
                <w:color w:val="auto"/>
              </w:rPr>
              <w:t>Treasury Stock</w:t>
            </w:r>
          </w:p>
        </w:tc>
        <w:tc>
          <w:tcPr>
            <w:tcW w:w="8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Paid-In</w:t>
            </w:r>
          </w:p>
        </w:tc>
        <w:tc>
          <w:tcPr>
            <w:tcW w:w="200" w:type="dxa"/>
            <w:vAlign w:val="bottom"/>
          </w:tcPr>
          <w:p>
            <w:pPr>
              <w:spacing w:after="0"/>
              <w:rPr>
                <w:sz w:val="17"/>
                <w:szCs w:val="17"/>
                <w:color w:val="auto"/>
              </w:rPr>
            </w:pPr>
          </w:p>
        </w:tc>
        <w:tc>
          <w:tcPr>
            <w:tcW w:w="1100" w:type="dxa"/>
            <w:vAlign w:val="bottom"/>
            <w:gridSpan w:val="3"/>
          </w:tcPr>
          <w:p>
            <w:pPr>
              <w:jc w:val="center"/>
              <w:ind w:right="330"/>
              <w:spacing w:after="0" w:line="202" w:lineRule="exact"/>
              <w:rPr>
                <w:sz w:val="20"/>
                <w:szCs w:val="20"/>
                <w:color w:val="auto"/>
              </w:rPr>
            </w:pPr>
            <w:r>
              <w:rPr>
                <w:rFonts w:ascii="Arial" w:cs="Arial" w:eastAsia="Arial" w:hAnsi="Arial"/>
                <w:sz w:val="18"/>
                <w:szCs w:val="18"/>
                <w:b w:val="1"/>
                <w:bCs w:val="1"/>
                <w:color w:val="auto"/>
                <w:w w:val="79"/>
              </w:rPr>
              <w:t>ve</w:t>
            </w:r>
          </w:p>
        </w:tc>
        <w:tc>
          <w:tcPr>
            <w:tcW w:w="1000" w:type="dxa"/>
            <w:vAlign w:val="bottom"/>
            <w:gridSpan w:val="3"/>
          </w:tcPr>
          <w:p>
            <w:pPr>
              <w:jc w:val="right"/>
              <w:ind w:right="510"/>
              <w:spacing w:after="0" w:line="202" w:lineRule="exact"/>
              <w:rPr>
                <w:sz w:val="20"/>
                <w:szCs w:val="20"/>
                <w:color w:val="auto"/>
              </w:rPr>
            </w:pPr>
            <w:r>
              <w:rPr>
                <w:rFonts w:ascii="Arial" w:cs="Arial" w:eastAsia="Arial" w:hAnsi="Arial"/>
                <w:sz w:val="18"/>
                <w:szCs w:val="18"/>
                <w:b w:val="1"/>
                <w:bCs w:val="1"/>
                <w:color w:val="auto"/>
              </w:rPr>
              <w:t>ed</w:t>
            </w:r>
          </w:p>
        </w:tc>
        <w:tc>
          <w:tcPr>
            <w:tcW w:w="8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9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1"/>
              </w:rPr>
              <w:t>Amount</w:t>
            </w:r>
          </w:p>
        </w:tc>
        <w:tc>
          <w:tcPr>
            <w:tcW w:w="920" w:type="dxa"/>
            <w:vAlign w:val="bottom"/>
            <w:tcBorders>
              <w:top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7"/>
                <w:szCs w:val="17"/>
                <w:color w:val="auto"/>
              </w:rPr>
            </w:pPr>
          </w:p>
        </w:tc>
        <w:tc>
          <w:tcPr>
            <w:tcW w:w="88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17"/>
                <w:szCs w:val="17"/>
                <w:color w:val="auto"/>
              </w:rPr>
            </w:pPr>
          </w:p>
        </w:tc>
        <w:tc>
          <w:tcPr>
            <w:tcW w:w="1100" w:type="dxa"/>
            <w:vAlign w:val="bottom"/>
            <w:gridSpan w:val="3"/>
          </w:tcPr>
          <w:p>
            <w:pPr>
              <w:jc w:val="center"/>
              <w:ind w:right="330"/>
              <w:spacing w:after="0" w:line="196" w:lineRule="exact"/>
              <w:rPr>
                <w:sz w:val="20"/>
                <w:szCs w:val="20"/>
                <w:color w:val="auto"/>
              </w:rPr>
            </w:pPr>
            <w:r>
              <w:rPr>
                <w:rFonts w:ascii="Arial" w:cs="Arial" w:eastAsia="Arial" w:hAnsi="Arial"/>
                <w:sz w:val="18"/>
                <w:szCs w:val="18"/>
                <w:b w:val="1"/>
                <w:bCs w:val="1"/>
                <w:color w:val="auto"/>
                <w:w w:val="85"/>
              </w:rPr>
              <w:t>Loss</w:t>
            </w:r>
          </w:p>
        </w:tc>
        <w:tc>
          <w:tcPr>
            <w:tcW w:w="1000" w:type="dxa"/>
            <w:vAlign w:val="bottom"/>
            <w:gridSpan w:val="3"/>
          </w:tcPr>
          <w:p>
            <w:pPr>
              <w:jc w:val="right"/>
              <w:ind w:right="350"/>
              <w:spacing w:after="0" w:line="196" w:lineRule="exact"/>
              <w:rPr>
                <w:sz w:val="20"/>
                <w:szCs w:val="20"/>
                <w:color w:val="auto"/>
              </w:rPr>
            </w:pPr>
            <w:r>
              <w:rPr>
                <w:rFonts w:ascii="Arial" w:cs="Arial" w:eastAsia="Arial" w:hAnsi="Arial"/>
                <w:sz w:val="18"/>
                <w:szCs w:val="18"/>
                <w:b w:val="1"/>
                <w:bCs w:val="1"/>
                <w:color w:val="auto"/>
                <w:w w:val="98"/>
              </w:rPr>
              <w:t>Deficit</w:t>
            </w:r>
          </w:p>
        </w:tc>
        <w:tc>
          <w:tcPr>
            <w:tcW w:w="860" w:type="dxa"/>
            <w:vAlign w:val="bottom"/>
          </w:tcPr>
          <w:p>
            <w:pPr>
              <w:jc w:val="center"/>
              <w:ind w:right="130"/>
              <w:spacing w:after="0" w:line="196"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6"/>
        </w:trPr>
        <w:tc>
          <w:tcPr>
            <w:tcW w:w="3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9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22,654,444</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CFF0FC"/>
            </w:tcBorders>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237,931</w:t>
            </w:r>
          </w:p>
        </w:tc>
        <w:tc>
          <w:tcPr>
            <w:tcW w:w="2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(150,801</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87,153</w:t>
            </w: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line="162" w:lineRule="exact"/>
              <w:rPr>
                <w:sz w:val="20"/>
                <w:szCs w:val="20"/>
                <w:color w:val="auto"/>
              </w:rPr>
            </w:pPr>
            <w:r>
              <w:rPr>
                <w:rFonts w:ascii="Arial" w:cs="Arial" w:eastAsia="Arial" w:hAnsi="Arial"/>
                <w:sz w:val="18"/>
                <w:szCs w:val="18"/>
                <w:color w:val="auto"/>
                <w:w w:val="95"/>
              </w:rPr>
              <w:t>Issuance of common stock in connection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200"/>
              <w:spacing w:after="0" w:line="176" w:lineRule="exact"/>
              <w:rPr>
                <w:sz w:val="20"/>
                <w:szCs w:val="20"/>
                <w:color w:val="auto"/>
              </w:rPr>
            </w:pPr>
            <w:r>
              <w:rPr>
                <w:rFonts w:ascii="Arial" w:cs="Arial" w:eastAsia="Arial" w:hAnsi="Arial"/>
                <w:sz w:val="18"/>
                <w:szCs w:val="18"/>
                <w:color w:val="auto"/>
                <w:w w:val="95"/>
              </w:rPr>
              <w:t>with private placement, net of placement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4,029,411</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64,314</w:t>
            </w:r>
          </w:p>
        </w:tc>
        <w:tc>
          <w:tcPr>
            <w:tcW w:w="200" w:type="dxa"/>
            <w:vAlign w:val="bottom"/>
          </w:tcPr>
          <w:p>
            <w:pPr>
              <w:spacing w:after="0"/>
              <w:rPr>
                <w:sz w:val="15"/>
                <w:szCs w:val="15"/>
                <w:color w:val="auto"/>
              </w:rPr>
            </w:pPr>
          </w:p>
        </w:tc>
        <w:tc>
          <w:tcPr>
            <w:tcW w:w="11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64,318</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agent fees and offering costs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common stock in "at-the-</w:t>
            </w: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5,735</w:t>
            </w:r>
          </w:p>
        </w:tc>
        <w:tc>
          <w:tcPr>
            <w:tcW w:w="200" w:type="dxa"/>
            <w:vAlign w:val="bottom"/>
            <w:shd w:val="clear" w:color="auto" w:fill="CFF0FC"/>
          </w:tcPr>
          <w:p>
            <w:pPr>
              <w:spacing w:after="0"/>
              <w:rPr>
                <w:sz w:val="14"/>
                <w:szCs w:val="14"/>
                <w:color w:val="auto"/>
              </w:rPr>
            </w:pPr>
          </w:p>
        </w:tc>
        <w:tc>
          <w:tcPr>
            <w:tcW w:w="1100" w:type="dxa"/>
            <w:vAlign w:val="bottom"/>
            <w:gridSpan w:val="3"/>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 offering, net of issuance costs</w:t>
            </w:r>
          </w:p>
        </w:tc>
        <w:tc>
          <w:tcPr>
            <w:tcW w:w="940" w:type="dxa"/>
            <w:vAlign w:val="bottom"/>
            <w:tcBorders>
              <w:right w:val="single" w:sz="8" w:color="CFF0FC"/>
            </w:tcBorders>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right w:val="single" w:sz="8" w:color="CFF0FC"/>
            </w:tcBorders>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88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vMerge w:val="continue"/>
            <w:shd w:val="clear" w:color="auto" w:fill="CFF0FC"/>
          </w:tcPr>
          <w:p>
            <w:pPr>
              <w:spacing w:after="0"/>
              <w:rPr>
                <w:sz w:val="18"/>
                <w:szCs w:val="18"/>
                <w:color w:val="auto"/>
              </w:rPr>
            </w:pPr>
          </w:p>
        </w:tc>
        <w:tc>
          <w:tcPr>
            <w:tcW w:w="1000" w:type="dxa"/>
            <w:vAlign w:val="bottom"/>
            <w:gridSpan w:val="3"/>
            <w:vMerge w:val="continue"/>
            <w:shd w:val="clear" w:color="auto" w:fill="CFF0FC"/>
          </w:tcPr>
          <w:p>
            <w:pPr>
              <w:spacing w:after="0"/>
              <w:rPr>
                <w:sz w:val="18"/>
                <w:szCs w:val="18"/>
                <w:color w:val="auto"/>
              </w:rPr>
            </w:pPr>
          </w:p>
        </w:tc>
        <w:tc>
          <w:tcPr>
            <w:tcW w:w="86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line="162" w:lineRule="exact"/>
              <w:rPr>
                <w:sz w:val="20"/>
                <w:szCs w:val="20"/>
                <w:color w:val="auto"/>
              </w:rPr>
            </w:pPr>
            <w:r>
              <w:rPr>
                <w:rFonts w:ascii="Arial" w:cs="Arial" w:eastAsia="Arial" w:hAnsi="Arial"/>
                <w:sz w:val="18"/>
                <w:szCs w:val="18"/>
                <w:color w:val="auto"/>
              </w:rPr>
              <w:t>Issuance of common stock under</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182,359</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1,430</w:t>
            </w:r>
          </w:p>
        </w:tc>
        <w:tc>
          <w:tcPr>
            <w:tcW w:w="200" w:type="dxa"/>
            <w:vAlign w:val="bottom"/>
          </w:tcPr>
          <w:p>
            <w:pPr>
              <w:spacing w:after="0"/>
              <w:rPr>
                <w:sz w:val="14"/>
                <w:szCs w:val="14"/>
                <w:color w:val="auto"/>
              </w:rPr>
            </w:pPr>
          </w:p>
        </w:tc>
        <w:tc>
          <w:tcPr>
            <w:tcW w:w="11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employee benefit plans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Vesting of restricted stock awards</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525,352</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line="162" w:lineRule="exact"/>
              <w:rPr>
                <w:sz w:val="20"/>
                <w:szCs w:val="20"/>
                <w:color w:val="auto"/>
              </w:rPr>
            </w:pPr>
            <w:r>
              <w:rPr>
                <w:rFonts w:ascii="Arial" w:cs="Arial" w:eastAsia="Arial" w:hAnsi="Arial"/>
                <w:sz w:val="18"/>
                <w:szCs w:val="18"/>
                <w:color w:val="auto"/>
                <w:w w:val="95"/>
              </w:rPr>
              <w:t>Repurchase of unvested restricted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1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awards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Retirement of treasury shares</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(29,882 )</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7,350</w:t>
            </w:r>
          </w:p>
        </w:tc>
        <w:tc>
          <w:tcPr>
            <w:tcW w:w="200" w:type="dxa"/>
            <w:vAlign w:val="bottom"/>
          </w:tcPr>
          <w:p>
            <w:pPr>
              <w:spacing w:after="0"/>
              <w:rPr>
                <w:sz w:val="17"/>
                <w:szCs w:val="17"/>
                <w:color w:val="auto"/>
              </w:rPr>
            </w:pPr>
          </w:p>
        </w:tc>
        <w:tc>
          <w:tcPr>
            <w:tcW w:w="11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5"/>
              </w:rPr>
              <w:t>Unrealized loss on marketable securities</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(2 )</w:t>
            </w:r>
          </w:p>
        </w:tc>
        <w:tc>
          <w:tcPr>
            <w:tcW w:w="10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(70,819 )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(70,819 )</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94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27,941,566</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right w:val="single" w:sz="8" w:color="CFF0FC"/>
            </w:tcBorders>
            <w:shd w:val="clear" w:color="auto" w:fill="CFF0FC"/>
          </w:tcPr>
          <w:p>
            <w:pPr>
              <w:ind w:left="58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316,775</w:t>
            </w:r>
          </w:p>
        </w:tc>
        <w:tc>
          <w:tcPr>
            <w:tcW w:w="20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(221,620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95,181</w:t>
            </w:r>
          </w:p>
        </w:tc>
        <w:tc>
          <w:tcPr>
            <w:tcW w:w="0" w:type="dxa"/>
            <w:vAlign w:val="bottom"/>
          </w:tcPr>
          <w:p>
            <w:pPr>
              <w:spacing w:after="0"/>
              <w:rPr>
                <w:sz w:val="1"/>
                <w:szCs w:val="1"/>
                <w:color w:val="auto"/>
              </w:rPr>
            </w:pPr>
          </w:p>
        </w:tc>
      </w:tr>
      <w:tr>
        <w:trPr>
          <w:trHeight w:val="143"/>
        </w:trPr>
        <w:tc>
          <w:tcPr>
            <w:tcW w:w="3300" w:type="dxa"/>
            <w:vAlign w:val="bottom"/>
          </w:tcPr>
          <w:p>
            <w:pPr>
              <w:ind w:left="200"/>
              <w:spacing w:after="0" w:line="142" w:lineRule="exact"/>
              <w:rPr>
                <w:sz w:val="20"/>
                <w:szCs w:val="20"/>
                <w:color w:val="auto"/>
              </w:rPr>
            </w:pPr>
            <w:r>
              <w:rPr>
                <w:rFonts w:ascii="Arial" w:cs="Arial" w:eastAsia="Arial" w:hAnsi="Arial"/>
                <w:sz w:val="16"/>
                <w:szCs w:val="16"/>
                <w:color w:val="auto"/>
              </w:rPr>
              <w:t>Issuance of common stock in connection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200"/>
              <w:spacing w:after="0" w:line="176" w:lineRule="exact"/>
              <w:rPr>
                <w:sz w:val="20"/>
                <w:szCs w:val="20"/>
                <w:color w:val="auto"/>
              </w:rPr>
            </w:pPr>
            <w:r>
              <w:rPr>
                <w:rFonts w:ascii="Arial" w:cs="Arial" w:eastAsia="Arial" w:hAnsi="Arial"/>
                <w:sz w:val="18"/>
                <w:szCs w:val="18"/>
                <w:color w:val="auto"/>
              </w:rPr>
              <w:t>with public offerings, net of issuance</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12,190,000</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182,845</w:t>
            </w:r>
          </w:p>
        </w:tc>
        <w:tc>
          <w:tcPr>
            <w:tcW w:w="200" w:type="dxa"/>
            <w:vAlign w:val="bottom"/>
          </w:tcPr>
          <w:p>
            <w:pPr>
              <w:spacing w:after="0"/>
              <w:rPr>
                <w:sz w:val="15"/>
                <w:szCs w:val="15"/>
                <w:color w:val="auto"/>
              </w:rPr>
            </w:pPr>
          </w:p>
        </w:tc>
        <w:tc>
          <w:tcPr>
            <w:tcW w:w="11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182,857</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costs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Issuance of common stock under</w:t>
            </w: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381,967</w:t>
            </w: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200" w:type="dxa"/>
            <w:vAlign w:val="bottom"/>
            <w:shd w:val="clear" w:color="auto" w:fill="CFF0FC"/>
          </w:tcPr>
          <w:p>
            <w:pPr>
              <w:spacing w:after="0"/>
              <w:rPr>
                <w:sz w:val="14"/>
                <w:szCs w:val="14"/>
                <w:color w:val="auto"/>
              </w:rPr>
            </w:pPr>
          </w:p>
        </w:tc>
        <w:tc>
          <w:tcPr>
            <w:tcW w:w="1100" w:type="dxa"/>
            <w:vAlign w:val="bottom"/>
            <w:gridSpan w:val="3"/>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employee benefit plans</w:t>
            </w:r>
          </w:p>
        </w:tc>
        <w:tc>
          <w:tcPr>
            <w:tcW w:w="940" w:type="dxa"/>
            <w:vAlign w:val="bottom"/>
            <w:tcBorders>
              <w:right w:val="single" w:sz="8" w:color="CFF0FC"/>
            </w:tcBorders>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right w:val="single" w:sz="8" w:color="CFF0FC"/>
            </w:tcBorders>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88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vMerge w:val="continue"/>
            <w:shd w:val="clear" w:color="auto" w:fill="CFF0FC"/>
          </w:tcPr>
          <w:p>
            <w:pPr>
              <w:spacing w:after="0"/>
              <w:rPr>
                <w:sz w:val="18"/>
                <w:szCs w:val="18"/>
                <w:color w:val="auto"/>
              </w:rPr>
            </w:pPr>
          </w:p>
        </w:tc>
        <w:tc>
          <w:tcPr>
            <w:tcW w:w="1000" w:type="dxa"/>
            <w:vAlign w:val="bottom"/>
            <w:gridSpan w:val="3"/>
            <w:vMerge w:val="continue"/>
            <w:shd w:val="clear" w:color="auto" w:fill="CFF0FC"/>
          </w:tcPr>
          <w:p>
            <w:pPr>
              <w:spacing w:after="0"/>
              <w:rPr>
                <w:sz w:val="18"/>
                <w:szCs w:val="18"/>
                <w:color w:val="auto"/>
              </w:rPr>
            </w:pPr>
          </w:p>
        </w:tc>
        <w:tc>
          <w:tcPr>
            <w:tcW w:w="86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Vesting of restricted stock awards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112,691</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1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2"/>
        </w:trPr>
        <w:tc>
          <w:tcPr>
            <w:tcW w:w="33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5"/>
              </w:rPr>
              <w:t>Repurchase of unvested restricted stock</w:t>
            </w: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3"/>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awards</w:t>
            </w:r>
          </w:p>
        </w:tc>
        <w:tc>
          <w:tcPr>
            <w:tcW w:w="940" w:type="dxa"/>
            <w:vAlign w:val="bottom"/>
            <w:tcBorders>
              <w:right w:val="single" w:sz="8" w:color="CFF0FC"/>
            </w:tcBorders>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right w:val="single" w:sz="8" w:color="CFF0FC"/>
            </w:tcBorders>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880" w:type="dxa"/>
            <w:vAlign w:val="bottom"/>
            <w:tcBorders>
              <w:right w:val="single" w:sz="8" w:color="CFF0FC"/>
            </w:tcBorders>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vMerge w:val="continue"/>
            <w:shd w:val="clear" w:color="auto" w:fill="CFF0FC"/>
          </w:tcPr>
          <w:p>
            <w:pPr>
              <w:spacing w:after="0"/>
              <w:rPr>
                <w:sz w:val="18"/>
                <w:szCs w:val="18"/>
                <w:color w:val="auto"/>
              </w:rPr>
            </w:pPr>
          </w:p>
        </w:tc>
        <w:tc>
          <w:tcPr>
            <w:tcW w:w="1000" w:type="dxa"/>
            <w:vAlign w:val="bottom"/>
            <w:gridSpan w:val="3"/>
            <w:vMerge w:val="continue"/>
            <w:shd w:val="clear" w:color="auto" w:fill="CFF0FC"/>
          </w:tcPr>
          <w:p>
            <w:pPr>
              <w:spacing w:after="0"/>
              <w:rPr>
                <w:sz w:val="18"/>
                <w:szCs w:val="18"/>
                <w:color w:val="auto"/>
              </w:rPr>
            </w:pPr>
          </w:p>
        </w:tc>
        <w:tc>
          <w:tcPr>
            <w:tcW w:w="86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Retirement of treasury shares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(2,971 )</w:t>
            </w:r>
          </w:p>
        </w:tc>
        <w:tc>
          <w:tcPr>
            <w:tcW w:w="120" w:type="dxa"/>
            <w:vAlign w:val="bottom"/>
          </w:tcPr>
          <w:p>
            <w:pPr>
              <w:spacing w:after="0"/>
              <w:rPr>
                <w:sz w:val="17"/>
                <w:szCs w:val="17"/>
                <w:color w:val="auto"/>
              </w:rPr>
            </w:pP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11,070</w:t>
            </w: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w w:val="95"/>
              </w:rPr>
              <w:t>Unrealized loss on marketable securities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(395 )</w:t>
            </w:r>
          </w:p>
        </w:tc>
        <w:tc>
          <w:tcPr>
            <w:tcW w:w="10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03"/>
        </w:trPr>
        <w:tc>
          <w:tcPr>
            <w:tcW w:w="3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loss</w:t>
            </w:r>
          </w:p>
        </w:tc>
        <w:tc>
          <w:tcPr>
            <w:tcW w:w="9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ind w:left="5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8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(80,847 )</w:t>
            </w: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(80,847 )</w:t>
            </w: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w w:val="95"/>
              </w:rPr>
              <w:t>40,626,224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line="196" w:lineRule="exact"/>
              <w:rPr>
                <w:sz w:val="20"/>
                <w:szCs w:val="20"/>
                <w:color w:val="auto"/>
              </w:rPr>
            </w:pPr>
            <w:r>
              <w:rPr>
                <w:rFonts w:ascii="Arial" w:cs="Arial" w:eastAsia="Arial" w:hAnsi="Arial"/>
                <w:sz w:val="18"/>
                <w:szCs w:val="18"/>
                <w:color w:val="auto"/>
              </w:rPr>
              <w:t>— $</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514,362</w:t>
            </w: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(397 )$</w:t>
            </w:r>
          </w:p>
        </w:tc>
        <w:tc>
          <w:tcPr>
            <w:tcW w:w="10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9"/>
              </w:rPr>
              <w:t>(302,467 )$</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211,539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-1662430</wp:posOffset>
            </wp:positionV>
            <wp:extent cx="342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-1645285</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-1662430</wp:posOffset>
            </wp:positionV>
            <wp:extent cx="342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-1645285</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-1662430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-1645285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-1662430</wp:posOffset>
            </wp:positionV>
            <wp:extent cx="342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-1645285</wp:posOffset>
            </wp:positionV>
            <wp:extent cx="342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-1662430</wp:posOffset>
            </wp:positionV>
            <wp:extent cx="254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-1645285</wp:posOffset>
            </wp:positionV>
            <wp:extent cx="254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-1662430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-1645285</wp:posOffset>
            </wp:positionV>
            <wp:extent cx="431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-1662430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-1645285</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-1662430</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-1645285</wp:posOffset>
            </wp:positionV>
            <wp:extent cx="43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-159385</wp:posOffset>
            </wp:positionV>
            <wp:extent cx="3429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-159385</wp:posOffset>
            </wp:positionV>
            <wp:extent cx="342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-159385</wp:posOffset>
            </wp:positionV>
            <wp:extent cx="514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-159385</wp:posOffset>
            </wp:positionV>
            <wp:extent cx="342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-159385</wp:posOffset>
            </wp:positionV>
            <wp:extent cx="2540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wp:posOffset>
            </wp:positionV>
            <wp:extent cx="431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-159385</wp:posOffset>
            </wp:positionV>
            <wp:extent cx="431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3" w:lineRule="exact"/>
        <w:rPr>
          <w:sz w:val="20"/>
          <w:szCs w:val="20"/>
          <w:color w:val="auto"/>
        </w:rPr>
      </w:pPr>
    </w:p>
    <w:p>
      <w:pPr>
        <w:jc w:val="center"/>
        <w:ind w:left="7520"/>
        <w:spacing w:after="0"/>
        <w:rPr>
          <w:sz w:val="20"/>
          <w:szCs w:val="20"/>
          <w:color w:val="auto"/>
        </w:rPr>
      </w:pPr>
      <w:r>
        <w:rPr>
          <w:rFonts w:ascii="Arial" w:cs="Arial" w:eastAsia="Arial" w:hAnsi="Arial"/>
          <w:sz w:val="17"/>
          <w:szCs w:val="17"/>
          <w:b w:val="1"/>
          <w:bCs w:val="1"/>
          <w:color w:val="auto"/>
        </w:rPr>
        <w:t>Year Ended</w:t>
      </w:r>
    </w:p>
    <w:p>
      <w:pPr>
        <w:jc w:val="center"/>
        <w:ind w:left="7520"/>
        <w:spacing w:after="0"/>
        <w:rPr>
          <w:sz w:val="20"/>
          <w:szCs w:val="20"/>
          <w:color w:val="auto"/>
        </w:rPr>
      </w:pPr>
      <w:r>
        <w:rPr>
          <w:rFonts w:ascii="Arial" w:cs="Arial" w:eastAsia="Arial" w:hAnsi="Arial"/>
          <w:sz w:val="17"/>
          <w:szCs w:val="17"/>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7"/>
                <w:szCs w:val="17"/>
                <w:color w:val="auto"/>
              </w:rPr>
            </w:pPr>
          </w:p>
        </w:tc>
      </w:tr>
      <w:tr>
        <w:trPr>
          <w:trHeight w:val="196"/>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76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20" w:type="dxa"/>
            <w:vAlign w:val="bottom"/>
          </w:tcPr>
          <w:p>
            <w:pPr>
              <w:jc w:val="right"/>
              <w:ind w:right="835"/>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w w:val="99"/>
              </w:rPr>
              <w:t>(80,847 )</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(70,819 )</w:t>
            </w:r>
          </w:p>
        </w:tc>
      </w:tr>
      <w:tr>
        <w:trPr>
          <w:trHeight w:val="203"/>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2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2,515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2,379</w:t>
            </w:r>
          </w:p>
        </w:tc>
        <w:tc>
          <w:tcPr>
            <w:tcW w:w="80" w:type="dxa"/>
            <w:vAlign w:val="bottom"/>
          </w:tcPr>
          <w:p>
            <w:pPr>
              <w:spacing w:after="0"/>
              <w:rPr>
                <w:sz w:val="17"/>
                <w:szCs w:val="17"/>
                <w:color w:val="auto"/>
              </w:rPr>
            </w:pPr>
          </w:p>
        </w:tc>
      </w:tr>
      <w:tr>
        <w:trPr>
          <w:trHeight w:val="203"/>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 expense</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11,070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7,350</w:t>
            </w:r>
          </w:p>
        </w:tc>
        <w:tc>
          <w:tcPr>
            <w:tcW w:w="80" w:type="dxa"/>
            <w:vAlign w:val="bottom"/>
            <w:shd w:val="clear" w:color="auto" w:fill="CFF0FC"/>
          </w:tcPr>
          <w:p>
            <w:pPr>
              <w:spacing w:after="0"/>
              <w:rPr>
                <w:sz w:val="17"/>
                <w:szCs w:val="17"/>
                <w:color w:val="auto"/>
              </w:rPr>
            </w:pPr>
          </w:p>
        </w:tc>
      </w:tr>
      <w:tr>
        <w:trPr>
          <w:trHeight w:val="203"/>
        </w:trPr>
        <w:tc>
          <w:tcPr>
            <w:tcW w:w="7620" w:type="dxa"/>
            <w:vAlign w:val="bottom"/>
          </w:tcPr>
          <w:p>
            <w:pPr>
              <w:ind w:left="200"/>
              <w:spacing w:after="0"/>
              <w:rPr>
                <w:sz w:val="20"/>
                <w:szCs w:val="20"/>
                <w:color w:val="auto"/>
              </w:rPr>
            </w:pPr>
            <w:r>
              <w:rPr>
                <w:rFonts w:ascii="Arial" w:cs="Arial" w:eastAsia="Arial" w:hAnsi="Arial"/>
                <w:sz w:val="17"/>
                <w:szCs w:val="17"/>
                <w:color w:val="auto"/>
              </w:rPr>
              <w:t>Net amortization of premiums and discounts on marketable securities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673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(68 )</w:t>
            </w:r>
          </w:p>
        </w:tc>
      </w:tr>
      <w:tr>
        <w:trPr>
          <w:trHeight w:val="203"/>
        </w:trPr>
        <w:tc>
          <w:tcPr>
            <w:tcW w:w="76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20" w:type="dxa"/>
            <w:vAlign w:val="bottom"/>
          </w:tcPr>
          <w:p>
            <w:pPr>
              <w:ind w:left="380"/>
              <w:spacing w:after="0"/>
              <w:rPr>
                <w:sz w:val="20"/>
                <w:szCs w:val="20"/>
                <w:color w:val="auto"/>
              </w:rPr>
            </w:pPr>
            <w:r>
              <w:rPr>
                <w:rFonts w:ascii="Arial" w:cs="Arial" w:eastAsia="Arial" w:hAnsi="Arial"/>
                <w:sz w:val="17"/>
                <w:szCs w:val="17"/>
                <w:color w:val="auto"/>
              </w:rPr>
              <w:t>Accounts receivable</w:t>
            </w:r>
          </w:p>
        </w:tc>
        <w:tc>
          <w:tcPr>
            <w:tcW w:w="1020" w:type="dxa"/>
            <w:vAlign w:val="bottom"/>
          </w:tcPr>
          <w:p>
            <w:pPr>
              <w:spacing w:after="0"/>
              <w:rPr>
                <w:sz w:val="17"/>
                <w:szCs w:val="17"/>
                <w:color w:val="auto"/>
              </w:rPr>
            </w:pP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rPr>
              <w:t>(500 )</w:t>
            </w: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(2,000 )</w:t>
            </w:r>
          </w:p>
        </w:tc>
      </w:tr>
      <w:tr>
        <w:trPr>
          <w:trHeight w:val="203"/>
        </w:trPr>
        <w:tc>
          <w:tcPr>
            <w:tcW w:w="76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Unbilled accounts receivable</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(606 )</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(531 )</w:t>
            </w:r>
          </w:p>
        </w:tc>
      </w:tr>
      <w:tr>
        <w:trPr>
          <w:trHeight w:val="203"/>
        </w:trPr>
        <w:tc>
          <w:tcPr>
            <w:tcW w:w="762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1020" w:type="dxa"/>
            <w:vAlign w:val="bottom"/>
          </w:tcPr>
          <w:p>
            <w:pPr>
              <w:spacing w:after="0"/>
              <w:rPr>
                <w:sz w:val="17"/>
                <w:szCs w:val="17"/>
                <w:color w:val="auto"/>
              </w:rPr>
            </w:pP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rPr>
              <w:t>(134 )</w:t>
            </w: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(697 )</w:t>
            </w:r>
          </w:p>
        </w:tc>
      </w:tr>
      <w:tr>
        <w:trPr>
          <w:trHeight w:val="203"/>
        </w:trPr>
        <w:tc>
          <w:tcPr>
            <w:tcW w:w="76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assets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(519 )</w:t>
            </w:r>
          </w:p>
        </w:tc>
      </w:tr>
      <w:tr>
        <w:trPr>
          <w:trHeight w:val="203"/>
        </w:trPr>
        <w:tc>
          <w:tcPr>
            <w:tcW w:w="762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973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1,773</w:t>
            </w:r>
          </w:p>
        </w:tc>
        <w:tc>
          <w:tcPr>
            <w:tcW w:w="80" w:type="dxa"/>
            <w:vAlign w:val="bottom"/>
          </w:tcPr>
          <w:p>
            <w:pPr>
              <w:spacing w:after="0"/>
              <w:rPr>
                <w:sz w:val="17"/>
                <w:szCs w:val="17"/>
                <w:color w:val="auto"/>
              </w:rPr>
            </w:pPr>
          </w:p>
        </w:tc>
      </w:tr>
      <w:tr>
        <w:trPr>
          <w:trHeight w:val="203"/>
        </w:trPr>
        <w:tc>
          <w:tcPr>
            <w:tcW w:w="76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expenses and other liabilities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1,976</w:t>
            </w:r>
          </w:p>
        </w:tc>
        <w:tc>
          <w:tcPr>
            <w:tcW w:w="80" w:type="dxa"/>
            <w:vAlign w:val="bottom"/>
            <w:shd w:val="clear" w:color="auto" w:fill="CFF0FC"/>
          </w:tcPr>
          <w:p>
            <w:pPr>
              <w:spacing w:after="0"/>
              <w:rPr>
                <w:sz w:val="17"/>
                <w:szCs w:val="17"/>
                <w:color w:val="auto"/>
              </w:rPr>
            </w:pPr>
          </w:p>
        </w:tc>
      </w:tr>
      <w:tr>
        <w:trPr>
          <w:trHeight w:val="203"/>
        </w:trPr>
        <w:tc>
          <w:tcPr>
            <w:tcW w:w="7620" w:type="dxa"/>
            <w:vAlign w:val="bottom"/>
          </w:tcPr>
          <w:p>
            <w:pPr>
              <w:ind w:left="380"/>
              <w:spacing w:after="0"/>
              <w:rPr>
                <w:sz w:val="20"/>
                <w:szCs w:val="20"/>
                <w:color w:val="auto"/>
              </w:rPr>
            </w:pPr>
            <w:r>
              <w:rPr>
                <w:rFonts w:ascii="Arial" w:cs="Arial" w:eastAsia="Arial" w:hAnsi="Arial"/>
                <w:sz w:val="17"/>
                <w:szCs w:val="17"/>
                <w:color w:val="auto"/>
              </w:rPr>
              <w:t>Deferred revenue</w:t>
            </w:r>
          </w:p>
        </w:tc>
        <w:tc>
          <w:tcPr>
            <w:tcW w:w="1020" w:type="dxa"/>
            <w:vAlign w:val="bottom"/>
          </w:tcPr>
          <w:p>
            <w:pPr>
              <w:spacing w:after="0"/>
              <w:rPr>
                <w:sz w:val="17"/>
                <w:szCs w:val="17"/>
                <w:color w:val="auto"/>
              </w:rPr>
            </w:pP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w w:val="99"/>
              </w:rPr>
              <w:t>(13,170 )</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7,881</w:t>
            </w:r>
          </w:p>
        </w:tc>
        <w:tc>
          <w:tcPr>
            <w:tcW w:w="80" w:type="dxa"/>
            <w:vAlign w:val="bottom"/>
          </w:tcPr>
          <w:p>
            <w:pPr>
              <w:spacing w:after="0"/>
              <w:rPr>
                <w:sz w:val="17"/>
                <w:szCs w:val="17"/>
                <w:color w:val="auto"/>
              </w:rPr>
            </w:pPr>
          </w:p>
        </w:tc>
      </w:tr>
      <w:tr>
        <w:trPr>
          <w:trHeight w:val="203"/>
        </w:trPr>
        <w:tc>
          <w:tcPr>
            <w:tcW w:w="76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Deferred rent and deferred lease incentive</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(438 )</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(380 )</w:t>
            </w:r>
          </w:p>
        </w:tc>
      </w:tr>
      <w:tr>
        <w:trPr>
          <w:trHeight w:val="20"/>
        </w:trPr>
        <w:tc>
          <w:tcPr>
            <w:tcW w:w="76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20" w:type="dxa"/>
            <w:vAlign w:val="bottom"/>
          </w:tcPr>
          <w:p>
            <w:pPr>
              <w:ind w:left="20"/>
              <w:spacing w:after="0"/>
              <w:rPr>
                <w:sz w:val="20"/>
                <w:szCs w:val="20"/>
                <w:color w:val="auto"/>
              </w:rPr>
            </w:pPr>
            <w:r>
              <w:rPr>
                <w:rFonts w:ascii="Arial" w:cs="Arial" w:eastAsia="Arial" w:hAnsi="Arial"/>
                <w:sz w:val="17"/>
                <w:szCs w:val="17"/>
                <w:color w:val="auto"/>
              </w:rPr>
              <w:t>Net cash used in operating activities</w:t>
            </w:r>
          </w:p>
        </w:tc>
        <w:tc>
          <w:tcPr>
            <w:tcW w:w="1020" w:type="dxa"/>
            <w:vAlign w:val="bottom"/>
          </w:tcPr>
          <w:p>
            <w:pPr>
              <w:jc w:val="right"/>
              <w:ind w:right="835"/>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w w:val="99"/>
              </w:rPr>
              <w:t>(78,478 )</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(53,655 )</w:t>
            </w:r>
          </w:p>
        </w:tc>
      </w:tr>
      <w:tr>
        <w:trPr>
          <w:trHeight w:val="203"/>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7"/>
                <w:szCs w:val="17"/>
                <w:color w:val="auto"/>
              </w:rPr>
              <w:t>Purchases of marketable securities</w:t>
            </w:r>
          </w:p>
        </w:tc>
        <w:tc>
          <w:tcPr>
            <w:tcW w:w="1020" w:type="dxa"/>
            <w:vAlign w:val="bottom"/>
          </w:tcPr>
          <w:p>
            <w:pPr>
              <w:spacing w:after="0"/>
              <w:rPr>
                <w:sz w:val="17"/>
                <w:szCs w:val="17"/>
                <w:color w:val="auto"/>
              </w:rPr>
            </w:pP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w w:val="87"/>
              </w:rPr>
              <w:t>(216,234 )</w:t>
            </w: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(124,270 )</w:t>
            </w:r>
          </w:p>
        </w:tc>
      </w:tr>
      <w:tr>
        <w:trPr>
          <w:trHeight w:val="203"/>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Maturities of marketable securities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88,278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68,474</w:t>
            </w:r>
          </w:p>
        </w:tc>
        <w:tc>
          <w:tcPr>
            <w:tcW w:w="8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7"/>
                <w:szCs w:val="17"/>
                <w:color w:val="auto"/>
              </w:rPr>
              <w:t>Purchases of property and equipment</w:t>
            </w:r>
          </w:p>
        </w:tc>
        <w:tc>
          <w:tcPr>
            <w:tcW w:w="1020" w:type="dxa"/>
            <w:vAlign w:val="bottom"/>
          </w:tcPr>
          <w:p>
            <w:pPr>
              <w:spacing w:after="0"/>
              <w:rPr>
                <w:sz w:val="17"/>
                <w:szCs w:val="17"/>
                <w:color w:val="auto"/>
              </w:rPr>
            </w:pP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rPr>
              <w:t>(1,713 )</w:t>
            </w: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(1,342 )</w:t>
            </w:r>
          </w:p>
        </w:tc>
      </w:tr>
      <w:tr>
        <w:trPr>
          <w:trHeight w:val="196"/>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20" w:type="dxa"/>
            <w:vAlign w:val="bottom"/>
            <w:tcBorders>
              <w:top w:val="single" w:sz="8" w:color="auto"/>
            </w:tcBorders>
            <w:shd w:val="clear" w:color="auto" w:fill="CFF0FC"/>
          </w:tcPr>
          <w:p>
            <w:pPr>
              <w:jc w:val="right"/>
              <w:ind w:right="835"/>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(129,669</w:t>
            </w:r>
          </w:p>
        </w:tc>
        <w:tc>
          <w:tcPr>
            <w:tcW w:w="2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(57,138</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Payment of initial public offering costs</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(193 )</w:t>
            </w:r>
          </w:p>
        </w:tc>
      </w:tr>
      <w:tr>
        <w:trPr>
          <w:trHeight w:val="158"/>
        </w:trPr>
        <w:tc>
          <w:tcPr>
            <w:tcW w:w="7620" w:type="dxa"/>
            <w:vAlign w:val="bottom"/>
          </w:tcPr>
          <w:p>
            <w:pPr>
              <w:ind w:left="20"/>
              <w:spacing w:after="0" w:line="158" w:lineRule="exact"/>
              <w:rPr>
                <w:sz w:val="20"/>
                <w:szCs w:val="20"/>
                <w:color w:val="auto"/>
              </w:rPr>
            </w:pPr>
            <w:r>
              <w:rPr>
                <w:rFonts w:ascii="Arial" w:cs="Arial" w:eastAsia="Arial" w:hAnsi="Arial"/>
                <w:sz w:val="17"/>
                <w:szCs w:val="17"/>
                <w:color w:val="auto"/>
                <w:w w:val="93"/>
              </w:rPr>
              <w:t>Proceeds from issuance of common stock in connection with private placement, net of placement agent fees</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8"/>
        </w:trPr>
        <w:tc>
          <w:tcPr>
            <w:tcW w:w="7620" w:type="dxa"/>
            <w:vAlign w:val="bottom"/>
          </w:tcPr>
          <w:p>
            <w:pPr>
              <w:ind w:left="20"/>
              <w:spacing w:after="0"/>
              <w:rPr>
                <w:sz w:val="20"/>
                <w:szCs w:val="20"/>
                <w:color w:val="auto"/>
              </w:rPr>
            </w:pPr>
            <w:r>
              <w:rPr>
                <w:rFonts w:ascii="Arial" w:cs="Arial" w:eastAsia="Arial" w:hAnsi="Arial"/>
                <w:sz w:val="17"/>
                <w:szCs w:val="17"/>
                <w:color w:val="auto"/>
              </w:rPr>
              <w:t>and offering costs</w:t>
            </w:r>
          </w:p>
        </w:tc>
        <w:tc>
          <w:tcPr>
            <w:tcW w:w="1020" w:type="dxa"/>
            <w:vAlign w:val="bottom"/>
          </w:tcPr>
          <w:p>
            <w:pPr>
              <w:spacing w:after="0"/>
              <w:rPr>
                <w:sz w:val="18"/>
                <w:szCs w:val="18"/>
                <w:color w:val="auto"/>
              </w:rPr>
            </w:pPr>
          </w:p>
        </w:tc>
        <w:tc>
          <w:tcPr>
            <w:tcW w:w="8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64,210</w:t>
            </w:r>
          </w:p>
        </w:tc>
        <w:tc>
          <w:tcPr>
            <w:tcW w:w="80" w:type="dxa"/>
            <w:vAlign w:val="bottom"/>
          </w:tcPr>
          <w:p>
            <w:pPr>
              <w:spacing w:after="0"/>
              <w:rPr>
                <w:sz w:val="18"/>
                <w:szCs w:val="18"/>
                <w:color w:val="auto"/>
              </w:rPr>
            </w:pPr>
          </w:p>
        </w:tc>
      </w:tr>
      <w:tr>
        <w:trPr>
          <w:trHeight w:val="204"/>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color w:val="auto"/>
                <w:w w:val="95"/>
              </w:rPr>
              <w:t>Proceeds from issuance of common stock in connection with at-the-market offering, net of issuance costs</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5,736</w:t>
            </w:r>
          </w:p>
        </w:tc>
        <w:tc>
          <w:tcPr>
            <w:tcW w:w="8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7"/>
                <w:szCs w:val="17"/>
                <w:color w:val="auto"/>
              </w:rPr>
              <w:t>Proceeds from issuance of common stock in connection with public offerings, net of issuance costs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182,857</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3"/>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Principal payments on capital lease obligations</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5"/>
              <w:spacing w:after="0"/>
              <w:rPr>
                <w:sz w:val="20"/>
                <w:szCs w:val="20"/>
                <w:color w:val="auto"/>
              </w:rPr>
            </w:pPr>
            <w:r>
              <w:rPr>
                <w:rFonts w:ascii="Arial" w:cs="Arial" w:eastAsia="Arial" w:hAnsi="Arial"/>
                <w:sz w:val="17"/>
                <w:szCs w:val="17"/>
                <w:color w:val="auto"/>
              </w:rPr>
              <w:t>(18 )</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(50 )</w:t>
            </w:r>
          </w:p>
        </w:tc>
      </w:tr>
      <w:tr>
        <w:trPr>
          <w:trHeight w:val="203"/>
        </w:trPr>
        <w:tc>
          <w:tcPr>
            <w:tcW w:w="7620" w:type="dxa"/>
            <w:vAlign w:val="bottom"/>
          </w:tcPr>
          <w:p>
            <w:pPr>
              <w:ind w:left="20"/>
              <w:spacing w:after="0"/>
              <w:rPr>
                <w:sz w:val="20"/>
                <w:szCs w:val="20"/>
                <w:color w:val="auto"/>
              </w:rPr>
            </w:pPr>
            <w:r>
              <w:rPr>
                <w:rFonts w:ascii="Arial" w:cs="Arial" w:eastAsia="Arial" w:hAnsi="Arial"/>
                <w:sz w:val="17"/>
                <w:szCs w:val="17"/>
                <w:color w:val="auto"/>
              </w:rPr>
              <w:t>Proceeds from issuance of common stock under benefit plans, net</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w:t>
            </w:r>
          </w:p>
        </w:tc>
        <w:tc>
          <w:tcPr>
            <w:tcW w:w="80" w:type="dxa"/>
            <w:vAlign w:val="bottom"/>
          </w:tcPr>
          <w:p>
            <w:pPr>
              <w:spacing w:after="0"/>
              <w:rPr>
                <w:sz w:val="17"/>
                <w:szCs w:val="17"/>
                <w:color w:val="auto"/>
              </w:rPr>
            </w:pPr>
          </w:p>
        </w:tc>
      </w:tr>
      <w:tr>
        <w:trPr>
          <w:trHeight w:val="19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186,507</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71,132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1020" w:type="dxa"/>
            <w:vAlign w:val="bottom"/>
          </w:tcPr>
          <w:p>
            <w:pPr>
              <w:spacing w:after="0"/>
              <w:rPr>
                <w:sz w:val="17"/>
                <w:szCs w:val="17"/>
                <w:color w:val="auto"/>
              </w:rPr>
            </w:pPr>
          </w:p>
        </w:tc>
        <w:tc>
          <w:tcPr>
            <w:tcW w:w="880" w:type="dxa"/>
            <w:vAlign w:val="bottom"/>
            <w:gridSpan w:val="2"/>
          </w:tcPr>
          <w:p>
            <w:pPr>
              <w:jc w:val="right"/>
              <w:ind w:right="95"/>
              <w:spacing w:after="0"/>
              <w:rPr>
                <w:sz w:val="20"/>
                <w:szCs w:val="20"/>
                <w:color w:val="auto"/>
              </w:rPr>
            </w:pPr>
            <w:r>
              <w:rPr>
                <w:rFonts w:ascii="Arial" w:cs="Arial" w:eastAsia="Arial" w:hAnsi="Arial"/>
                <w:sz w:val="17"/>
                <w:szCs w:val="17"/>
                <w:color w:val="auto"/>
                <w:w w:val="99"/>
              </w:rPr>
              <w:t>(21,640 )</w:t>
            </w:r>
          </w:p>
        </w:tc>
        <w:tc>
          <w:tcPr>
            <w:tcW w:w="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(39,661 )</w:t>
            </w:r>
          </w:p>
        </w:tc>
      </w:tr>
      <w:tr>
        <w:trPr>
          <w:trHeight w:val="20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58,144</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97,805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36,504</w:t>
            </w:r>
          </w:p>
        </w:tc>
        <w:tc>
          <w:tcPr>
            <w:tcW w:w="260" w:type="dxa"/>
            <w:vAlign w:val="bottom"/>
          </w:tcPr>
          <w:p>
            <w:pPr>
              <w:spacing w:after="0"/>
              <w:rPr>
                <w:sz w:val="17"/>
                <w:szCs w:val="17"/>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58,144</w:t>
            </w:r>
          </w:p>
        </w:tc>
        <w:tc>
          <w:tcPr>
            <w:tcW w:w="8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2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Supplemental cash flow information</w:t>
            </w:r>
          </w:p>
        </w:tc>
        <w:tc>
          <w:tcPr>
            <w:tcW w:w="10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7"/>
                <w:szCs w:val="17"/>
                <w:color w:val="auto"/>
              </w:rPr>
              <w:t>Cash paid for interest</w:t>
            </w:r>
          </w:p>
        </w:tc>
        <w:tc>
          <w:tcPr>
            <w:tcW w:w="1020" w:type="dxa"/>
            <w:vAlign w:val="bottom"/>
          </w:tcPr>
          <w:p>
            <w:pPr>
              <w:jc w:val="right"/>
              <w:ind w:right="835"/>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Non-cash investing and financing activities: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7"/>
                <w:szCs w:val="17"/>
                <w:color w:val="auto"/>
              </w:rPr>
              <w:t>Property and equipment purchases unpaid at end of period</w:t>
            </w:r>
          </w:p>
        </w:tc>
        <w:tc>
          <w:tcPr>
            <w:tcW w:w="1020" w:type="dxa"/>
            <w:vAlign w:val="bottom"/>
          </w:tcPr>
          <w:p>
            <w:pPr>
              <w:jc w:val="right"/>
              <w:ind w:right="835"/>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-2885440</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-2885440</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-948055</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-948055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-682625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-682625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15"/>
              <w:spacing w:after="0"/>
              <w:rPr>
                <w:sz w:val="20"/>
                <w:szCs w:val="20"/>
                <w:color w:val="auto"/>
              </w:rPr>
            </w:pPr>
            <w:r>
              <w:rPr>
                <w:rFonts w:ascii="Arial" w:cs="Arial" w:eastAsia="Arial" w:hAnsi="Arial"/>
                <w:sz w:val="17"/>
                <w:szCs w:val="17"/>
                <w:b w:val="1"/>
                <w:bCs w:val="1"/>
                <w:color w:val="auto"/>
                <w:w w:val="97"/>
              </w:rPr>
              <w:t>December 31,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15"/>
              <w:spacing w:after="0"/>
              <w:rPr>
                <w:sz w:val="20"/>
                <w:szCs w:val="20"/>
                <w:color w:val="auto"/>
              </w:rPr>
            </w:pPr>
            <w:r>
              <w:rPr>
                <w:rFonts w:ascii="Arial" w:cs="Arial" w:eastAsia="Arial" w:hAnsi="Arial"/>
                <w:sz w:val="17"/>
                <w:szCs w:val="17"/>
                <w:b w:val="1"/>
                <w:bCs w:val="1"/>
                <w:color w:val="auto"/>
                <w:w w:val="95"/>
              </w:rPr>
              <w:t>December 31,</w:t>
            </w:r>
          </w:p>
        </w:tc>
        <w:tc>
          <w:tcPr>
            <w:tcW w:w="100" w:type="dxa"/>
            <w:vAlign w:val="bottom"/>
          </w:tcPr>
          <w:p>
            <w:pPr>
              <w:spacing w:after="0"/>
              <w:rPr>
                <w:sz w:val="16"/>
                <w:szCs w:val="16"/>
                <w:color w:val="auto"/>
              </w:rPr>
            </w:pPr>
          </w:p>
        </w:tc>
      </w:tr>
      <w:tr>
        <w:trPr>
          <w:trHeight w:val="220"/>
        </w:trPr>
        <w:tc>
          <w:tcPr>
            <w:tcW w:w="7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r>
      <w:tr>
        <w:trPr>
          <w:trHeight w:val="200"/>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35,412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57,052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cash, cash equivalents, and restricted cash</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36,504</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58,144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08"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genetically-defined rare diseases in areas of high unmet medical need.</w:t>
      </w:r>
    </w:p>
    <w:p>
      <w:pPr>
        <w:spacing w:after="0" w:line="17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ind w:right="60" w:firstLine="509"/>
        <w:spacing w:after="0" w:line="270"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12" w:lineRule="exact"/>
        <w:rPr>
          <w:sz w:val="20"/>
          <w:szCs w:val="20"/>
          <w:color w:val="auto"/>
        </w:rPr>
      </w:pPr>
    </w:p>
    <w:p>
      <w:pPr>
        <w:jc w:val="both"/>
        <w:ind w:right="40" w:firstLine="509"/>
        <w:spacing w:after="0" w:line="261"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net proceeds of $64.3 million after deducting offering costs.</w:t>
      </w:r>
    </w:p>
    <w:p>
      <w:pPr>
        <w:spacing w:after="0" w:line="17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August 11, 2020, the Company entered into an Equity Distribution Agreement with Piper Sandler &amp; Co. (“Piper Sandler”), as sales agent, pursuant to which the Company may offer and sell shares of its common stock with an aggregate offering price of up to $75.0 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December 31, 2021, the Company has issued and sold 550,000 shares under the ATM Offering, resulting in aggregate net proceeds of $5.7 million after deducting issuance costs of $0.2 million.</w:t>
      </w:r>
    </w:p>
    <w:p>
      <w:pPr>
        <w:spacing w:after="0" w:line="189"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8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On August 16, 2021, the Company completed a public offering of its common stock and issued and sold 7,590,000 shares of common stock at a public offering price of $19.00 per share, resulting in net proceeds of $135.5 million after deducting underwriting discounts and commissions and offering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Company has incurred recurring losses and negative cash flows from operations since inception and has primarily funded its operations with proceeds from the sale of shares of common stock in public offerings, a private placement, and the ATM Offering, through issuances of convertible preferred stock, and from upfront payments received from the collaboration and license agreements with Acceleron Pharma Inc. (“Acceleron”), a wholly-owned subsidiary of Merck &amp; Co., Inc., and MyoKardia, Inc. (“MyoKardia”), a wholly-owned subsidiary of Bristol Myers Squibb Company. As of December 31, 2021, the Company had an accumulated deficit of $302.5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22" w:name="page123"/>
    <w:bookmarkEnd w:id="122"/>
    <w:p>
      <w:pPr>
        <w:ind w:right="40" w:firstLine="509"/>
        <w:spacing w:after="0" w:line="257" w:lineRule="auto"/>
        <w:rPr>
          <w:sz w:val="20"/>
          <w:szCs w:val="20"/>
          <w:color w:val="auto"/>
        </w:rPr>
      </w:pPr>
      <w:r>
        <w:rPr>
          <w:rFonts w:ascii="Arial" w:cs="Arial" w:eastAsia="Arial" w:hAnsi="Arial"/>
          <w:sz w:val="17"/>
          <w:szCs w:val="17"/>
          <w:color w:val="auto"/>
        </w:rPr>
        <w:t>The Company expects that its cash, cash equivalents, and marketable securities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79" w:lineRule="exact"/>
        <w:rPr>
          <w:sz w:val="20"/>
          <w:szCs w:val="20"/>
          <w:color w:val="auto"/>
        </w:rPr>
      </w:pPr>
    </w:p>
    <w:p>
      <w:pPr>
        <w:ind w:right="7660" w:firstLine="8"/>
        <w:spacing w:after="0" w:line="362" w:lineRule="auto"/>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Cash equivalents include investments in money market funds that invest in U.S. Treasury obligations. The Company maintains its bank accounts at major financial institutions.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represents cash held to secure a letter of credit associated with the Company’s facility lease.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67" w:lineRule="exact"/>
        <w:rPr>
          <w:sz w:val="20"/>
          <w:szCs w:val="20"/>
          <w:color w:val="auto"/>
        </w:rPr>
      </w:pPr>
    </w:p>
    <w:p>
      <w:pPr>
        <w:ind w:left="520" w:right="100"/>
        <w:spacing w:after="0" w:line="261"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3" w:lineRule="exact"/>
        <w:rPr>
          <w:sz w:val="20"/>
          <w:szCs w:val="20"/>
          <w:color w:val="auto"/>
        </w:rPr>
      </w:pPr>
    </w:p>
    <w:p>
      <w:pPr>
        <w:ind w:left="520" w:right="520"/>
        <w:spacing w:after="0" w:line="261"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3" w:lineRule="exact"/>
        <w:rPr>
          <w:sz w:val="20"/>
          <w:szCs w:val="20"/>
          <w:color w:val="auto"/>
        </w:rPr>
      </w:pPr>
    </w:p>
    <w:p>
      <w:pPr>
        <w:ind w:left="520" w:right="420"/>
        <w:spacing w:after="0" w:line="261"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pricing services utilize industry standard valuation models, including both income and market-based approaches, to determine fair value.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2" w:lineRule="exact"/>
        <w:rPr>
          <w:sz w:val="20"/>
          <w:szCs w:val="20"/>
          <w:color w:val="auto"/>
        </w:rPr>
      </w:pPr>
    </w:p>
    <w:p>
      <w:pPr>
        <w:ind w:right="60" w:firstLine="578"/>
        <w:spacing w:after="0" w:line="294" w:lineRule="auto"/>
        <w:rPr>
          <w:sz w:val="20"/>
          <w:szCs w:val="20"/>
          <w:color w:val="auto"/>
        </w:rPr>
      </w:pPr>
      <w:r>
        <w:rPr>
          <w:rFonts w:ascii="Arial" w:cs="Arial" w:eastAsia="Arial" w:hAnsi="Arial"/>
          <w:sz w:val="16"/>
          <w:szCs w:val="16"/>
          <w:color w:val="auto"/>
        </w:rPr>
        <w:t>The Company classifies securities with a remaining maturity when purchased of greater than three months as marketable securities. As of December 31, 2021, the Company’s marketable securities consisted of investments in corporate bonds and commercial paper. Marketable securities are classified as current assets on the consolidated balance sheets if the marketable securities are available to be converted into cash to fund current operations.</w:t>
      </w:r>
    </w:p>
    <w:p>
      <w:pPr>
        <w:spacing w:after="0" w:line="147" w:lineRule="exact"/>
        <w:rPr>
          <w:sz w:val="20"/>
          <w:szCs w:val="20"/>
          <w:color w:val="auto"/>
        </w:rPr>
      </w:pPr>
    </w:p>
    <w:p>
      <w:pPr>
        <w:ind w:right="20" w:firstLine="578"/>
        <w:spacing w:after="0" w:line="241" w:lineRule="auto"/>
        <w:rPr>
          <w:sz w:val="20"/>
          <w:szCs w:val="20"/>
          <w:color w:val="auto"/>
        </w:rPr>
      </w:pPr>
      <w:r>
        <w:rPr>
          <w:rFonts w:ascii="Arial" w:cs="Arial" w:eastAsia="Arial" w:hAnsi="Arial"/>
          <w:sz w:val="18"/>
          <w:szCs w:val="18"/>
          <w:color w:val="auto"/>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spacing w:after="0" w:line="189" w:lineRule="exact"/>
        <w:rPr>
          <w:sz w:val="20"/>
          <w:szCs w:val="20"/>
          <w:color w:val="auto"/>
        </w:rPr>
      </w:pPr>
    </w:p>
    <w:p>
      <w:pPr>
        <w:ind w:right="140" w:firstLine="578"/>
        <w:spacing w:after="0" w:line="248"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jc w:val="both"/>
        <w:ind w:right="80" w:firstLine="509"/>
        <w:spacing w:after="0" w:line="324"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Estimated Useful Life (in years)</w:t>
            </w:r>
          </w:p>
        </w:tc>
      </w:tr>
      <w:tr>
        <w:trPr>
          <w:trHeight w:val="203"/>
        </w:trPr>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 equipment</w:t>
            </w:r>
          </w:p>
        </w:tc>
        <w:tc>
          <w:tcPr>
            <w:tcW w:w="5120" w:type="dxa"/>
            <w:vAlign w:val="bottom"/>
            <w:shd w:val="clear" w:color="auto" w:fill="CCEEFF"/>
          </w:tcPr>
          <w:p>
            <w:pPr>
              <w:jc w:val="center"/>
              <w:ind w:left="13"/>
              <w:spacing w:after="0" w:line="202" w:lineRule="exact"/>
              <w:rPr>
                <w:sz w:val="20"/>
                <w:szCs w:val="20"/>
                <w:color w:val="auto"/>
              </w:rPr>
            </w:pPr>
            <w:r>
              <w:rPr>
                <w:rFonts w:ascii="Arial" w:cs="Arial" w:eastAsia="Arial" w:hAnsi="Arial"/>
                <w:sz w:val="18"/>
                <w:szCs w:val="18"/>
                <w:color w:val="auto"/>
                <w:w w:val="99"/>
              </w:rPr>
              <w:t>5</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5120" w:type="dxa"/>
            <w:vAlign w:val="bottom"/>
          </w:tcPr>
          <w:p>
            <w:pPr>
              <w:jc w:val="center"/>
              <w:ind w:left="13"/>
              <w:spacing w:after="0" w:line="202" w:lineRule="exact"/>
              <w:rPr>
                <w:sz w:val="20"/>
                <w:szCs w:val="20"/>
                <w:color w:val="auto"/>
              </w:rPr>
            </w:pPr>
            <w:r>
              <w:rPr>
                <w:rFonts w:ascii="Arial" w:cs="Arial" w:eastAsia="Arial" w:hAnsi="Arial"/>
                <w:sz w:val="18"/>
                <w:szCs w:val="18"/>
                <w:color w:val="auto"/>
                <w:w w:val="99"/>
              </w:rPr>
              <w:t>4</w:t>
            </w:r>
          </w:p>
        </w:tc>
      </w:tr>
      <w:tr>
        <w:trPr>
          <w:trHeight w:val="203"/>
        </w:trPr>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5120" w:type="dxa"/>
            <w:vAlign w:val="bottom"/>
            <w:shd w:val="clear" w:color="auto" w:fill="CCEEFF"/>
          </w:tcPr>
          <w:p>
            <w:pPr>
              <w:jc w:val="center"/>
              <w:ind w:left="13"/>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5120" w:type="dxa"/>
            <w:vAlign w:val="bottom"/>
          </w:tcPr>
          <w:p>
            <w:pPr>
              <w:jc w:val="center"/>
              <w:ind w:left="13"/>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5120" w:type="dxa"/>
            <w:vAlign w:val="bottom"/>
            <w:shd w:val="clear" w:color="auto" w:fill="CCEEFF"/>
          </w:tcPr>
          <w:p>
            <w:pPr>
              <w:jc w:val="center"/>
              <w:ind w:left="33"/>
              <w:spacing w:after="0" w:line="202" w:lineRule="exact"/>
              <w:rPr>
                <w:sz w:val="20"/>
                <w:szCs w:val="20"/>
                <w:color w:val="auto"/>
              </w:rPr>
            </w:pPr>
            <w:r>
              <w:rPr>
                <w:rFonts w:ascii="Arial" w:cs="Arial" w:eastAsia="Arial" w:hAnsi="Arial"/>
                <w:sz w:val="18"/>
                <w:szCs w:val="18"/>
                <w:color w:val="auto"/>
                <w:w w:val="91"/>
              </w:rPr>
              <w:t>Shorter of useful life or remaining lease term</w:t>
            </w:r>
          </w:p>
        </w:tc>
      </w:tr>
    </w:tbl>
    <w:p>
      <w:pPr>
        <w:spacing w:after="0" w:line="22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2021 and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Leases are classified at their inception as either operating or capital leases. The Company recognizes rent expense for its facility leases, which are classified as operating leases,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t>deferred lease incentive and amortizes the lease incentive as a reduction to rent expense on a straight-line basis over the respective lease term.</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 xml:space="preserve">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 Identify the promises and performance obligations in the contract</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3) Determine the transaction price</w:t>
      </w:r>
    </w:p>
    <w:p>
      <w:pPr>
        <w:spacing w:after="0" w:line="90" w:lineRule="exact"/>
        <w:rPr>
          <w:sz w:val="20"/>
          <w:szCs w:val="20"/>
          <w:color w:val="auto"/>
        </w:rPr>
      </w:pPr>
    </w:p>
    <w:p>
      <w:pPr>
        <w:ind w:right="40" w:firstLine="509"/>
        <w:spacing w:after="0" w:line="237"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80" w:lineRule="exact"/>
        <w:rPr>
          <w:sz w:val="20"/>
          <w:szCs w:val="20"/>
          <w:color w:val="auto"/>
        </w:rPr>
      </w:pPr>
    </w:p>
    <w:p>
      <w:pPr>
        <w:ind w:right="100" w:firstLine="509"/>
        <w:spacing w:after="0" w:line="228" w:lineRule="auto"/>
        <w:rPr>
          <w:sz w:val="20"/>
          <w:szCs w:val="20"/>
          <w:color w:val="auto"/>
        </w:rPr>
      </w:pPr>
      <w:r>
        <w:rPr>
          <w:rFonts w:ascii="Arial" w:cs="Arial" w:eastAsia="Arial" w:hAnsi="Arial"/>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spacing w:after="0" w:line="178" w:lineRule="exact"/>
        <w:rPr>
          <w:sz w:val="20"/>
          <w:szCs w:val="20"/>
          <w:color w:val="auto"/>
        </w:rPr>
      </w:pPr>
    </w:p>
    <w:p>
      <w:pPr>
        <w:jc w:val="both"/>
        <w:ind w:right="100" w:firstLine="509"/>
        <w:spacing w:after="0" w:line="276" w:lineRule="auto"/>
        <w:rPr>
          <w:sz w:val="20"/>
          <w:szCs w:val="20"/>
          <w:color w:val="auto"/>
        </w:rPr>
      </w:pPr>
      <w:r>
        <w:rPr>
          <w:rFonts w:ascii="Arial" w:cs="Arial" w:eastAsia="Arial" w:hAnsi="Arial"/>
          <w:sz w:val="16"/>
          <w:szCs w:val="16"/>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48" w:lineRule="exact"/>
        <w:rPr>
          <w:sz w:val="20"/>
          <w:szCs w:val="20"/>
          <w:color w:val="auto"/>
        </w:rPr>
      </w:pPr>
    </w:p>
    <w:p>
      <w:pPr>
        <w:ind w:right="100" w:firstLine="509"/>
        <w:spacing w:after="0" w:line="235" w:lineRule="auto"/>
        <w:rPr>
          <w:sz w:val="20"/>
          <w:szCs w:val="20"/>
          <w:color w:val="auto"/>
        </w:rPr>
      </w:pPr>
      <w:r>
        <w:rPr>
          <w:rFonts w:ascii="Arial" w:cs="Arial" w:eastAsia="Arial" w:hAnsi="Arial"/>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25" w:name="page126"/>
    <w:bookmarkEnd w:id="125"/>
    <w:p>
      <w:pPr>
        <w:ind w:left="52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90"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90"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8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spacing w:after="0" w:line="191"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See Note 10, “Collaboration and License Agreements”, for further information on the application of ASC 606 to the collaboration and license agreement with Acceleron (the “Acceleron Collaboration Agreement”) and the collaboration and license agreement with MyoKardia (the “MyoKardia Collaboration Agreement”).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are made in determining the accrued balances at each reporting period. Actual results could differ from the Company’s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104"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8"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w:t>
      </w:r>
    </w:p>
    <w:p>
      <w:pPr>
        <w:spacing w:after="0" w:line="165" w:lineRule="exact"/>
        <w:rPr>
          <w:sz w:val="20"/>
          <w:szCs w:val="20"/>
          <w:color w:val="auto"/>
        </w:rPr>
      </w:pPr>
    </w:p>
    <w:p>
      <w:pPr>
        <w:ind w:right="40" w:firstLine="509"/>
        <w:spacing w:after="0" w:line="254" w:lineRule="auto"/>
        <w:rPr>
          <w:sz w:val="20"/>
          <w:szCs w:val="20"/>
          <w:color w:val="auto"/>
        </w:rPr>
      </w:pPr>
      <w:r>
        <w:rPr>
          <w:rFonts w:ascii="Arial" w:cs="Arial" w:eastAsia="Arial" w:hAnsi="Arial"/>
          <w:sz w:val="16"/>
          <w:szCs w:val="16"/>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65"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6"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90" w:lineRule="exact"/>
        <w:rPr>
          <w:sz w:val="20"/>
          <w:szCs w:val="20"/>
          <w:color w:val="auto"/>
        </w:rPr>
      </w:pPr>
    </w:p>
    <w:p>
      <w:pPr>
        <w:ind w:right="40" w:firstLine="509"/>
        <w:spacing w:after="0" w:line="307" w:lineRule="auto"/>
        <w:rPr>
          <w:sz w:val="20"/>
          <w:szCs w:val="20"/>
          <w:color w:val="auto"/>
        </w:rPr>
      </w:pPr>
      <w:r>
        <w:rPr>
          <w:rFonts w:ascii="Arial" w:cs="Arial" w:eastAsia="Arial" w:hAnsi="Arial"/>
          <w:sz w:val="16"/>
          <w:szCs w:val="16"/>
          <w:color w:val="auto"/>
        </w:rPr>
        <w:t>Comprehensive loss is defined as the change in equity of a business enterprise during a period from transactions and other events and circumstances from non-owner sources. For the years ended December 31, 2021 and 2020, comprehensive loss consists of net loss and unrealized losses on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1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Basic net income (loss) per share is computed by dividing the net income (loss) by the weighted average number of shares of common stock outstanding for the period. Diluted net income (loss) per share is computed by dividing net income (loss) by the weighted average number of shares of common stock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127" w:name="page128"/>
    <w:bookmarkEnd w:id="127"/>
    <w:p>
      <w:pPr>
        <w:ind w:right="40"/>
        <w:spacing w:after="0" w:line="239" w:lineRule="auto"/>
        <w:rPr>
          <w:sz w:val="20"/>
          <w:szCs w:val="20"/>
          <w:color w:val="auto"/>
        </w:rPr>
      </w:pPr>
      <w:r>
        <w:rPr>
          <w:rFonts w:ascii="Arial" w:cs="Arial" w:eastAsia="Arial" w:hAnsi="Arial"/>
          <w:sz w:val="18"/>
          <w:szCs w:val="18"/>
          <w:color w:val="auto"/>
        </w:rPr>
        <w:t>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including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its initial public offering or such earlier time that it is no longer an EGC.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90" w:lineRule="exact"/>
        <w:rPr>
          <w:sz w:val="20"/>
          <w:szCs w:val="20"/>
          <w:color w:val="auto"/>
        </w:rPr>
      </w:pPr>
    </w:p>
    <w:p>
      <w:pPr>
        <w:ind w:firstLine="509"/>
        <w:spacing w:after="0" w:line="234"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 amended by various subsequently issued ASUs.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The standard requires lessees to recognize an operating lease with a term greater than one year on their balance sheets as a right-of-use asset and corresponding lease liability, measured at the present value of the lease payments.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which permits entities to continue applying legacy guidance in ASC 840, </w:t>
      </w:r>
      <w:r>
        <w:rPr>
          <w:rFonts w:ascii="Arial" w:cs="Arial" w:eastAsia="Arial" w:hAnsi="Arial"/>
          <w:sz w:val="17"/>
          <w:szCs w:val="17"/>
          <w:i w:val="1"/>
          <w:iCs w:val="1"/>
          <w:color w:val="auto"/>
        </w:rPr>
        <w:t>Leases</w:t>
      </w:r>
      <w:r>
        <w:rPr>
          <w:rFonts w:ascii="Arial" w:cs="Arial" w:eastAsia="Arial" w:hAnsi="Arial"/>
          <w:sz w:val="17"/>
          <w:szCs w:val="17"/>
          <w:color w:val="auto"/>
        </w:rPr>
        <w:t>, including its disclosure requirements, in the comparative periods presented in the year that the entity adopts the new leasing standard. In November 2019, the FASB deferred the effective date of ASU 2016-02, as amended, for private companies to fiscal years beginning after December 15, 2020. In June 2020, the FASB further deferred the effective date of ASU 2016-02, as amended, for private companies to fiscal years beginning after December 15, 2021. The new standard will become effective for the Company on January 1, 2022.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as amended,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 The Company expects that the adoption of ASU 2016-02, as amended, will result in the recognition of material right-of-use assets and lease liabilities in its consolidated balance sheets. The Company does not expect the adoption of ASU 2016-02, as amended, will have a material impact to its consolidated statements of operations and comprehensive loss.</w:t>
      </w:r>
    </w:p>
    <w:p>
      <w:pPr>
        <w:spacing w:after="0" w:line="187" w:lineRule="exact"/>
        <w:rPr>
          <w:sz w:val="20"/>
          <w:szCs w:val="20"/>
          <w:color w:val="auto"/>
        </w:rPr>
      </w:pPr>
    </w:p>
    <w:p>
      <w:pPr>
        <w:ind w:right="40" w:firstLine="509"/>
        <w:spacing w:after="0" w:line="26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requires that credit losses be reported using an expected losses model rather than the incurred losses model that is currently used,</w:t>
      </w:r>
      <w:r>
        <w:rPr>
          <w:rFonts w:ascii="Arial" w:cs="Arial" w:eastAsia="Arial" w:hAnsi="Arial"/>
          <w:sz w:val="16"/>
          <w:szCs w:val="16"/>
          <w:i w:val="1"/>
          <w:iCs w:val="1"/>
          <w:color w:val="auto"/>
        </w:rPr>
        <w:t xml:space="preserve"> </w:t>
      </w:r>
      <w:r>
        <w:rPr>
          <w:rFonts w:ascii="Arial" w:cs="Arial" w:eastAsia="Arial" w:hAnsi="Arial"/>
          <w:sz w:val="16"/>
          <w:szCs w:val="16"/>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8" w:name="page129"/>
    <w:bookmarkEnd w:id="128"/>
    <w:p>
      <w:pPr>
        <w:ind w:right="40" w:firstLine="509"/>
        <w:spacing w:after="0" w:line="22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0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December 31, 2021 and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3"/>
              </w:rPr>
              <w:t>Fair Value Measurements at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14"/>
                <w:szCs w:val="14"/>
                <w:b w:val="1"/>
                <w:bCs w:val="1"/>
                <w:color w:val="auto"/>
                <w:w w:val="91"/>
              </w:rPr>
              <w:t>December 31, 2021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35,412</w:t>
            </w:r>
          </w:p>
        </w:tc>
        <w:tc>
          <w:tcPr>
            <w:tcW w:w="48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35,412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8"/>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101,368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101,368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81,382</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81,382</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4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gridSpan w:val="2"/>
            <w:shd w:val="clear" w:color="auto" w:fill="CFF0FC"/>
          </w:tcPr>
          <w:p>
            <w:pPr>
              <w:spacing w:after="0"/>
              <w:rPr>
                <w:sz w:val="17"/>
                <w:szCs w:val="17"/>
                <w:color w:val="auto"/>
              </w:rPr>
            </w:pPr>
          </w:p>
        </w:tc>
      </w:tr>
      <w:tr>
        <w:trPr>
          <w:trHeight w:val="196"/>
        </w:trPr>
        <w:tc>
          <w:tcPr>
            <w:tcW w:w="572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218,162</w:t>
            </w:r>
          </w:p>
        </w:tc>
        <w:tc>
          <w:tcPr>
            <w:tcW w:w="240" w:type="dxa"/>
            <w:vAlign w:val="bottom"/>
            <w:gridSpan w:val="2"/>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35,412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182,750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740"/>
              <w:spacing w:after="0" w:line="196" w:lineRule="exact"/>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5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3"/>
              </w:rPr>
              <w:t>Fair Value Measurements at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57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57,052</w:t>
            </w:r>
          </w:p>
        </w:tc>
        <w:tc>
          <w:tcPr>
            <w:tcW w:w="4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57,052</w:t>
            </w:r>
          </w:p>
        </w:tc>
        <w:tc>
          <w:tcPr>
            <w:tcW w:w="2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23,339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23,339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32,523</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32,523</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ind w:left="7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72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112,914</w:t>
            </w:r>
          </w:p>
        </w:tc>
        <w:tc>
          <w:tcPr>
            <w:tcW w:w="480" w:type="dxa"/>
            <w:vAlign w:val="bottom"/>
            <w:gridSpan w:val="3"/>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57,052</w:t>
            </w:r>
          </w:p>
        </w:tc>
        <w:tc>
          <w:tcPr>
            <w:tcW w:w="2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55,862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ind w:left="760"/>
              <w:spacing w:after="0" w:line="196" w:lineRule="exact"/>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-1453515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-1453515</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-1453515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-1453515</wp:posOffset>
            </wp:positionV>
            <wp:extent cx="5969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-159385</wp:posOffset>
            </wp:positionV>
            <wp:extent cx="514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wp:posOffset>
            </wp:positionV>
            <wp:extent cx="5143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wp:posOffset>
            </wp:positionV>
            <wp:extent cx="431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years ended December 31, 2021 or 2020.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equivalents and marketable securities consisted of the following as of December 31, 2021 and December 31, 2020 (in thousands):</w:t>
      </w:r>
    </w:p>
    <w:p>
      <w:pPr>
        <w:spacing w:after="0" w:line="255"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-6985</wp:posOffset>
            </wp:positionV>
            <wp:extent cx="93980" cy="3340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-6985</wp:posOffset>
            </wp:positionV>
            <wp:extent cx="93980" cy="3340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-6985</wp:posOffset>
            </wp:positionV>
            <wp:extent cx="93980" cy="3340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-6985</wp:posOffset>
            </wp:positionV>
            <wp:extent cx="85090" cy="3340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090" cy="3340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4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44"/>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35,412</w:t>
            </w:r>
          </w:p>
        </w:tc>
        <w:tc>
          <w:tcPr>
            <w:tcW w:w="1180" w:type="dxa"/>
            <w:vAlign w:val="bottom"/>
            <w:gridSpan w:val="3"/>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cash equivalents</w:t>
            </w:r>
          </w:p>
        </w:tc>
        <w:tc>
          <w:tcPr>
            <w:tcW w:w="1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35,412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bonds</w:t>
            </w: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101,697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(329 )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101,368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81,450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ind w:left="4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81,382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marketable securities</w:t>
            </w:r>
          </w:p>
        </w:tc>
        <w:tc>
          <w:tcPr>
            <w:tcW w:w="1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183,147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182,750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380"/>
              <w:spacing w:after="0" w:line="196" w:lineRule="exact"/>
              <w:rPr>
                <w:sz w:val="20"/>
                <w:szCs w:val="20"/>
                <w:color w:val="auto"/>
              </w:rPr>
            </w:pPr>
            <w:r>
              <w:rPr>
                <w:rFonts w:ascii="Arial" w:cs="Arial" w:eastAsia="Arial" w:hAnsi="Arial"/>
                <w:sz w:val="18"/>
                <w:szCs w:val="18"/>
                <w:color w:val="auto"/>
              </w:rPr>
              <w:t>Total cash equivalents and marketable securities</w:t>
            </w:r>
          </w:p>
        </w:tc>
        <w:tc>
          <w:tcPr>
            <w:tcW w:w="11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218,559</w:t>
            </w:r>
          </w:p>
        </w:tc>
        <w:tc>
          <w:tcPr>
            <w:tcW w:w="240" w:type="dxa"/>
            <w:vAlign w:val="bottom"/>
            <w:gridSpan w:val="2"/>
          </w:tcPr>
          <w:p>
            <w:pPr>
              <w:spacing w:after="0"/>
              <w:rPr>
                <w:sz w:val="17"/>
                <w:szCs w:val="17"/>
                <w:color w:val="auto"/>
              </w:rPr>
            </w:pPr>
          </w:p>
        </w:tc>
        <w:tc>
          <w:tcPr>
            <w:tcW w:w="940" w:type="dxa"/>
            <w:vAlign w:val="bottom"/>
          </w:tcPr>
          <w:p>
            <w:pPr>
              <w:jc w:val="right"/>
              <w:ind w:right="764"/>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(397 )</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218,162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60" w:type="dxa"/>
            <w:vAlign w:val="bottom"/>
          </w:tcPr>
          <w:p>
            <w:pPr>
              <w:spacing w:after="0"/>
              <w:rPr>
                <w:sz w:val="24"/>
                <w:szCs w:val="24"/>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F-14</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-639445</wp:posOffset>
            </wp:positionV>
            <wp:extent cx="685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-639445</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-639445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-639445</wp:posOffset>
            </wp:positionV>
            <wp:extent cx="5969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ind w:left="420"/>
              <w:spacing w:after="0"/>
              <w:rPr>
                <w:sz w:val="20"/>
                <w:szCs w:val="20"/>
                <w:color w:val="auto"/>
              </w:rPr>
            </w:pPr>
            <w:r>
              <w:rPr>
                <w:rFonts w:ascii="Arial" w:cs="Arial" w:eastAsia="Arial" w:hAnsi="Arial"/>
                <w:sz w:val="14"/>
                <w:szCs w:val="14"/>
                <w:b w:val="1"/>
                <w:bCs w:val="1"/>
                <w:color w:val="auto"/>
              </w:rPr>
              <w:t>Fair Value Measurements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4"/>
                <w:szCs w:val="14"/>
                <w:b w:val="1"/>
                <w:bCs w:val="1"/>
                <w:color w:val="auto"/>
              </w:rPr>
              <w:t>Gross</w:t>
            </w:r>
          </w:p>
        </w:tc>
        <w:tc>
          <w:tcPr>
            <w:tcW w:w="2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top w:val="single" w:sz="8" w:color="auto"/>
            </w:tcBorders>
          </w:tcPr>
          <w:p>
            <w:pPr>
              <w:jc w:val="center"/>
              <w:ind w:left="12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w w:val="98"/>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57,052</w:t>
            </w:r>
          </w:p>
        </w:tc>
        <w:tc>
          <w:tcPr>
            <w:tcW w:w="1200" w:type="dxa"/>
            <w:vAlign w:val="bottom"/>
            <w:gridSpan w:val="3"/>
          </w:tcPr>
          <w:p>
            <w:pPr>
              <w:jc w:val="right"/>
              <w:ind w:right="80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88"/>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57,052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57,052</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57,052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23,341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(4 )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23,339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32,523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32,523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55,864</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55,862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380"/>
              <w:spacing w:after="0" w:line="196" w:lineRule="exact"/>
              <w:rPr>
                <w:sz w:val="20"/>
                <w:szCs w:val="20"/>
                <w:color w:val="auto"/>
              </w:rPr>
            </w:pPr>
            <w:r>
              <w:rPr>
                <w:rFonts w:ascii="Arial" w:cs="Arial" w:eastAsia="Arial" w:hAnsi="Arial"/>
                <w:sz w:val="18"/>
                <w:szCs w:val="18"/>
                <w:color w:val="auto"/>
              </w:rPr>
              <w:t>Total cash equivalents and marketable securities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112,916</w:t>
            </w:r>
          </w:p>
        </w:tc>
        <w:tc>
          <w:tcPr>
            <w:tcW w:w="1200" w:type="dxa"/>
            <w:vAlign w:val="bottom"/>
            <w:gridSpan w:val="3"/>
          </w:tcPr>
          <w:p>
            <w:pPr>
              <w:jc w:val="right"/>
              <w:ind w:right="808"/>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788"/>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6"/>
              </w:rPr>
              <w:t>(4 )</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112,914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-1400810</wp:posOffset>
            </wp:positionV>
            <wp:extent cx="76835" cy="3340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-1400810</wp:posOffset>
            </wp:positionV>
            <wp:extent cx="76835" cy="3340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-1400810</wp:posOffset>
            </wp:positionV>
            <wp:extent cx="85725" cy="3340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-1400810</wp:posOffset>
            </wp:positionV>
            <wp:extent cx="68580" cy="3340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-159385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-159385</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60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82" w:lineRule="exact"/>
        <w:rPr>
          <w:sz w:val="20"/>
          <w:szCs w:val="20"/>
          <w:color w:val="auto"/>
        </w:rPr>
      </w:pPr>
    </w:p>
    <w:p>
      <w:pPr>
        <w:jc w:val="both"/>
        <w:ind w:right="520" w:firstLine="509"/>
        <w:spacing w:after="0" w:line="248" w:lineRule="auto"/>
        <w:rPr>
          <w:sz w:val="20"/>
          <w:szCs w:val="20"/>
          <w:color w:val="auto"/>
        </w:rPr>
      </w:pPr>
      <w:r>
        <w:rPr>
          <w:rFonts w:ascii="Arial" w:cs="Arial" w:eastAsia="Arial" w:hAnsi="Arial"/>
          <w:sz w:val="18"/>
          <w:szCs w:val="18"/>
          <w:color w:val="auto"/>
        </w:rPr>
        <w:t>There were no sales of marketable securities during the year ended December 31, 2021. As of December 31, 2021, the aggregate fair value of securities that were in an unrealized loss position for less than twelve months was $180.8 million. As of December 31, 2021, no securities were in an unrealized loss position for greater than twelve months.</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 determined that it did not hold any securities with any other-than-temporary impairment as of December 31, 2021. As of December 31, 2021, the aggregate fair value of securities with a remaining contractual maturity of greater than one year was $39.7 million. As of December 31, 2021, the Company did not intend to sell, and would not be more likely than not be required to sell, the securities in an unrealized loss position before recovery of their amortized cost bases.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 equipment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8,182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6,877</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12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6,289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6,210</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16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120" w:type="dxa"/>
            <w:vAlign w:val="bottom"/>
          </w:tcPr>
          <w:p>
            <w:pPr>
              <w:spacing w:after="0"/>
              <w:rPr>
                <w:sz w:val="17"/>
                <w:szCs w:val="17"/>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15,637</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14,515</w:t>
            </w:r>
          </w:p>
        </w:tc>
        <w:tc>
          <w:tcPr>
            <w:tcW w:w="12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(8,269 )</w:t>
            </w:r>
          </w:p>
        </w:tc>
        <w:tc>
          <w:tcPr>
            <w:tcW w:w="16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(6,118 )</w:t>
            </w:r>
          </w:p>
        </w:tc>
      </w:tr>
      <w:tr>
        <w:trPr>
          <w:trHeight w:val="236"/>
        </w:trPr>
        <w:tc>
          <w:tcPr>
            <w:tcW w:w="5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7,368</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8,397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Depreciation expense for the years ended December 31, 2021 and 2020 was $2.5 million and $2.4 million, respectively. Total property and equipment, gross, as of December 31, 2020 included $0.2 million of property and equipment recorded under capital leases. Accumulated depreciation as of December 31, 2020 included $0.2 million for property and equipment recorded under capital leases. No property and equipment was recorded under capital leases as of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Prepaid expenses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3,668</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Prepaid sign-on bonuses subject to vesting provisions</w:t>
            </w: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income receivable</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4,199</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4,065</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15"/>
        </w:trPr>
        <w:tc>
          <w:tcPr>
            <w:tcW w:w="1700" w:type="dxa"/>
            <w:vAlign w:val="bottom"/>
          </w:tcPr>
          <w:p>
            <w:pPr>
              <w:spacing w:after="0"/>
              <w:rPr>
                <w:sz w:val="24"/>
                <w:szCs w:val="24"/>
                <w:color w:val="auto"/>
              </w:rPr>
            </w:pPr>
          </w:p>
        </w:tc>
        <w:tc>
          <w:tcPr>
            <w:tcW w:w="5040" w:type="dxa"/>
            <w:vAlign w:val="bottom"/>
          </w:tcPr>
          <w:p>
            <w:pPr>
              <w:ind w:left="3760"/>
              <w:spacing w:after="0"/>
              <w:rPr>
                <w:sz w:val="20"/>
                <w:szCs w:val="20"/>
                <w:color w:val="auto"/>
              </w:rPr>
            </w:pPr>
            <w:r>
              <w:rPr>
                <w:rFonts w:ascii="Arial" w:cs="Arial" w:eastAsia="Arial" w:hAnsi="Arial"/>
                <w:sz w:val="18"/>
                <w:szCs w:val="18"/>
                <w:color w:val="auto"/>
              </w:rPr>
              <w:t>F-15</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5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-496570</wp:posOffset>
            </wp:positionV>
            <wp:extent cx="431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-479425</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-496570</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-479425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0" w:name="page131"/>
    <w:bookmarkEnd w:id="130"/>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r>
      <w:tr>
        <w:trPr>
          <w:trHeight w:val="185"/>
        </w:trPr>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External research and development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3,171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4,082</w:t>
            </w: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Payroll and benefits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4,990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2,928</w:t>
            </w:r>
          </w:p>
        </w:tc>
        <w:tc>
          <w:tcPr>
            <w:tcW w:w="6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996</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w:t>
            </w: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Capital lease obligation, current portion</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r>
      <w:tr>
        <w:trPr>
          <w:trHeight w:val="203"/>
        </w:trPr>
        <w:tc>
          <w:tcPr>
            <w:tcW w:w="5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9,231</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7,267</w:t>
            </w:r>
          </w:p>
        </w:tc>
        <w:tc>
          <w:tcPr>
            <w:tcW w:w="60" w:type="dxa"/>
            <w:vAlign w:val="bottom"/>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-159385</wp:posOffset>
            </wp:positionV>
            <wp:extent cx="3429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As of December 31, 2021 and 2020, 5,000,000 shares of undesignated preferred stock were authorized. No shares of preferred stock were issued or outstanding as of December 31, 2021 and 2020.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200,000,000 shares of common stock, $0.001 par value per share, were authorized.</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and 2020, the Company has reserved for future issuance the following number of shares of common stock:</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0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Shares reserved for exercises of outstanding stock options</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5,188,354</w:t>
            </w:r>
          </w:p>
        </w:tc>
        <w:tc>
          <w:tcPr>
            <w:tcW w:w="18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2,962,347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8"/>
                <w:szCs w:val="18"/>
                <w:color w:val="auto"/>
              </w:rPr>
              <w:t>Shares reserved for future issuance under the 2019 Stock</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286,324</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1,728,616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Incentive Plan</w:t>
            </w:r>
          </w:p>
        </w:tc>
        <w:tc>
          <w:tcPr>
            <w:tcW w:w="130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Shares reserved for future issuance under the 2019</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706,658</w:t>
            </w:r>
          </w:p>
        </w:tc>
        <w:tc>
          <w:tcPr>
            <w:tcW w:w="180" w:type="dxa"/>
            <w:vAlign w:val="bottom"/>
            <w:vMerge w:val="restart"/>
            <w:shd w:val="clear" w:color="auto" w:fill="CFF0FC"/>
          </w:tcPr>
          <w:p>
            <w:pPr>
              <w:spacing w:after="0"/>
              <w:rPr>
                <w:sz w:val="14"/>
                <w:szCs w:val="14"/>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465,999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Employee Stock Purchase Plan</w:t>
            </w: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128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6,181,336</w:t>
            </w: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5,156,962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-159385</wp:posOffset>
            </wp:positionV>
            <wp:extent cx="431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3" w:lineRule="exact"/>
        <w:rPr>
          <w:sz w:val="20"/>
          <w:szCs w:val="20"/>
          <w:color w:val="auto"/>
        </w:rPr>
      </w:pPr>
    </w:p>
    <w:p>
      <w:pPr>
        <w:ind w:right="8260" w:firstLine="8"/>
        <w:spacing w:after="0" w:line="383" w:lineRule="auto"/>
        <w:tabs>
          <w:tab w:leader="none" w:pos="18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Expense </w:t>
      </w:r>
      <w:r>
        <w:rPr>
          <w:rFonts w:ascii="Arial" w:cs="Arial" w:eastAsia="Arial" w:hAnsi="Arial"/>
          <w:sz w:val="17"/>
          <w:szCs w:val="17"/>
          <w:b w:val="1"/>
          <w:bCs w:val="1"/>
          <w:i w:val="1"/>
          <w:iCs w:val="1"/>
          <w:color w:val="auto"/>
        </w:rPr>
        <w:t>2016 Stock Incentive Plan</w:t>
      </w:r>
    </w:p>
    <w:p>
      <w:pPr>
        <w:spacing w:after="0" w:line="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2021 and 2020, no shares remained available for future issuance under the 2016 Plan. Any options or other awards outstanding under the 2016 Plan remain outstanding and effective.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90"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2021, there were 286,324 shares available for future issuance under the 2019 Plan. On January 1, 2022, the number of shares reserved for issuance under the 2019 Plan was increased by 1,625,455 shares.</w:t>
      </w:r>
    </w:p>
    <w:p>
      <w:pPr>
        <w:spacing w:after="0" w:line="168"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Inducement Stock Incentive Plan</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98"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activity under the 2019 Plan and 2016 Plan since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2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6"/>
              </w:rPr>
              <w:t>Date Fair</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Value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2019</w:t>
            </w:r>
          </w:p>
        </w:tc>
        <w:tc>
          <w:tcPr>
            <w:tcW w:w="200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346,423</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200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344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(233,563 )</w:t>
            </w:r>
          </w:p>
        </w:tc>
        <w:tc>
          <w:tcPr>
            <w:tcW w:w="16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tcPr>
          <w:p>
            <w:pPr>
              <w:ind w:left="180"/>
              <w:spacing w:after="0" w:line="202" w:lineRule="exact"/>
              <w:rPr>
                <w:sz w:val="20"/>
                <w:szCs w:val="20"/>
                <w:color w:val="auto"/>
              </w:rPr>
            </w:pPr>
            <w:r>
              <w:rPr>
                <w:rFonts w:ascii="Arial" w:cs="Arial" w:eastAsia="Arial" w:hAnsi="Arial"/>
                <w:sz w:val="18"/>
                <w:szCs w:val="18"/>
                <w:color w:val="auto"/>
              </w:rPr>
              <w:t>Repurchased</w:t>
            </w:r>
          </w:p>
        </w:tc>
        <w:tc>
          <w:tcPr>
            <w:tcW w:w="34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(29,882 )</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2020</w:t>
            </w:r>
          </w:p>
        </w:tc>
        <w:tc>
          <w:tcPr>
            <w:tcW w:w="200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82,978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200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344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(69,833 )</w:t>
            </w:r>
          </w:p>
        </w:tc>
        <w:tc>
          <w:tcPr>
            <w:tcW w:w="16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3.17</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040" w:type="dxa"/>
            <w:vAlign w:val="bottom"/>
          </w:tcPr>
          <w:p>
            <w:pPr>
              <w:ind w:left="180"/>
              <w:spacing w:after="0" w:line="202" w:lineRule="exact"/>
              <w:rPr>
                <w:sz w:val="20"/>
                <w:szCs w:val="20"/>
                <w:color w:val="auto"/>
              </w:rPr>
            </w:pPr>
            <w:r>
              <w:rPr>
                <w:rFonts w:ascii="Arial" w:cs="Arial" w:eastAsia="Arial" w:hAnsi="Arial"/>
                <w:sz w:val="18"/>
                <w:szCs w:val="18"/>
                <w:color w:val="auto"/>
              </w:rPr>
              <w:t>Repurchased</w:t>
            </w:r>
          </w:p>
        </w:tc>
        <w:tc>
          <w:tcPr>
            <w:tcW w:w="34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(2,971 )</w:t>
            </w: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3.22</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0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at December 31, 2021</w:t>
            </w:r>
          </w:p>
        </w:tc>
        <w:tc>
          <w:tcPr>
            <w:tcW w:w="20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10,174</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FF0FC"/>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3.35</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40" w:type="dxa"/>
            <w:vAlign w:val="bottom"/>
            <w:gridSpan w:val="3"/>
          </w:tcPr>
          <w:p>
            <w:pPr>
              <w:jc w:val="right"/>
              <w:ind w:right="2380"/>
              <w:spacing w:after="0"/>
              <w:rPr>
                <w:sz w:val="20"/>
                <w:szCs w:val="20"/>
                <w:color w:val="auto"/>
              </w:rPr>
            </w:pPr>
            <w:r>
              <w:rPr>
                <w:rFonts w:ascii="Arial" w:cs="Arial" w:eastAsia="Arial" w:hAnsi="Arial"/>
                <w:sz w:val="18"/>
                <w:szCs w:val="18"/>
                <w:color w:val="auto"/>
              </w:rPr>
              <w:t>F-17</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-504825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-488315</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32" w:name="page133"/>
    <w:bookmarkEnd w:id="132"/>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Stock options granted by the Company typically vest over a four 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year ended December 31, 2021:</w:t>
      </w:r>
    </w:p>
    <w:p>
      <w:pPr>
        <w:spacing w:after="0" w:line="200" w:lineRule="exact"/>
        <w:rPr>
          <w:sz w:val="20"/>
          <w:szCs w:val="20"/>
          <w:color w:val="auto"/>
        </w:rPr>
      </w:pP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9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98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2,962,347</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11.57</w:t>
            </w:r>
          </w:p>
        </w:tc>
        <w:tc>
          <w:tcPr>
            <w:tcW w:w="2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5,767,895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2,976,667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(341,952 )</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80"/>
              <w:spacing w:after="0" w:line="202" w:lineRule="exact"/>
              <w:rPr>
                <w:sz w:val="20"/>
                <w:szCs w:val="20"/>
                <w:color w:val="auto"/>
              </w:rPr>
            </w:pPr>
            <w:r>
              <w:rPr>
                <w:rFonts w:ascii="Arial" w:cs="Arial" w:eastAsia="Arial" w:hAnsi="Arial"/>
                <w:sz w:val="18"/>
                <w:szCs w:val="18"/>
                <w:color w:val="auto"/>
              </w:rPr>
              <w:t>Cancelled</w:t>
            </w: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(408,708 )</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12.44</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December 31, 2021</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5,188,354</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13.91</w:t>
            </w:r>
          </w:p>
        </w:tc>
        <w:tc>
          <w:tcPr>
            <w:tcW w:w="12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8.57</w:t>
            </w:r>
          </w:p>
        </w:tc>
        <w:tc>
          <w:tcPr>
            <w:tcW w:w="460" w:type="dxa"/>
            <w:vAlign w:val="bottom"/>
            <w:tcBorders>
              <w:bottom w:val="single" w:sz="8" w:color="CFF0FC"/>
            </w:tcBorders>
            <w:gridSpan w:val="2"/>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27,082,052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line="182" w:lineRule="exact"/>
              <w:rPr>
                <w:sz w:val="20"/>
                <w:szCs w:val="20"/>
                <w:color w:val="auto"/>
              </w:rPr>
            </w:pPr>
            <w:r>
              <w:rPr>
                <w:rFonts w:ascii="Arial" w:cs="Arial" w:eastAsia="Arial" w:hAnsi="Arial"/>
                <w:sz w:val="18"/>
                <w:szCs w:val="18"/>
                <w:color w:val="auto"/>
              </w:rPr>
              <w:t>Exercisable at December 31, 2021</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1,476,669</w:t>
            </w:r>
          </w:p>
        </w:tc>
        <w:tc>
          <w:tcPr>
            <w:tcW w:w="200" w:type="dxa"/>
            <w:vAlign w:val="bottom"/>
          </w:tcPr>
          <w:p>
            <w:pPr>
              <w:spacing w:after="0"/>
              <w:rPr>
                <w:sz w:val="15"/>
                <w:szCs w:val="15"/>
                <w:color w:val="auto"/>
              </w:rPr>
            </w:pP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11.54</w:t>
            </w: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7.70</w:t>
            </w:r>
          </w:p>
        </w:tc>
        <w:tc>
          <w:tcPr>
            <w:tcW w:w="46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9,083,995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-179070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-161925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right="40" w:firstLine="509"/>
        <w:spacing w:after="0" w:line="324"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weighted average grant date fair value of stock options granted in the years ended December 31, 2021 and 2020 was $11.37 per share and $9.76 per share, respectively. The total intrinsic value of stock options exercised in the years ended December 31, 2021 and 2020 was $3.5 million and $1.4 million, respectively.</w:t>
      </w:r>
    </w:p>
    <w:p>
      <w:pPr>
        <w:spacing w:after="0" w:line="182"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fair value of stock options granted during the years ended December 31, 2021 and 2020 has been calculated on the date of grant using the following weighted average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Year</w:t>
            </w:r>
          </w:p>
        </w:tc>
        <w:tc>
          <w:tcPr>
            <w:tcW w:w="1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Year</w:t>
            </w:r>
          </w:p>
        </w:tc>
        <w:tc>
          <w:tcPr>
            <w:tcW w:w="1680" w:type="dxa"/>
            <w:vAlign w:val="bottom"/>
          </w:tcPr>
          <w:p>
            <w:pPr>
              <w:spacing w:after="0"/>
              <w:rPr>
                <w:sz w:val="14"/>
                <w:szCs w:val="14"/>
                <w:color w:val="auto"/>
              </w:rPr>
            </w:pPr>
          </w:p>
        </w:tc>
      </w:tr>
      <w:tr>
        <w:trPr>
          <w:trHeight w:val="148"/>
        </w:trPr>
        <w:tc>
          <w:tcPr>
            <w:tcW w:w="17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2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3"/>
              </w:rPr>
              <w:t>Ended</w:t>
            </w:r>
          </w:p>
        </w:tc>
        <w:tc>
          <w:tcPr>
            <w:tcW w:w="1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Ended</w:t>
            </w:r>
          </w:p>
        </w:tc>
        <w:tc>
          <w:tcPr>
            <w:tcW w:w="1680" w:type="dxa"/>
            <w:vAlign w:val="bottom"/>
          </w:tcPr>
          <w:p>
            <w:pPr>
              <w:spacing w:after="0"/>
              <w:rPr>
                <w:sz w:val="12"/>
                <w:szCs w:val="12"/>
                <w:color w:val="auto"/>
              </w:rPr>
            </w:pPr>
          </w:p>
        </w:tc>
      </w:tr>
      <w:tr>
        <w:trPr>
          <w:trHeight w:val="185"/>
        </w:trPr>
        <w:tc>
          <w:tcPr>
            <w:tcW w:w="17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1"/>
              </w:rPr>
              <w:t>December 31, 2021</w:t>
            </w:r>
          </w:p>
        </w:tc>
        <w:tc>
          <w:tcPr>
            <w:tcW w:w="1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1"/>
              </w:rPr>
              <w:t>December 31, 2020</w:t>
            </w: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2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298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96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0.0 %</w:t>
            </w:r>
          </w:p>
        </w:tc>
        <w:tc>
          <w:tcPr>
            <w:tcW w:w="19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0.0 %</w:t>
            </w:r>
          </w:p>
        </w:tc>
        <w:tc>
          <w:tcPr>
            <w:tcW w:w="1680" w:type="dxa"/>
            <w:vAlign w:val="bottom"/>
          </w:tcPr>
          <w:p>
            <w:pPr>
              <w:spacing w:after="0"/>
              <w:rPr>
                <w:sz w:val="17"/>
                <w:szCs w:val="17"/>
                <w:color w:val="auto"/>
              </w:rPr>
            </w:pPr>
          </w:p>
        </w:tc>
      </w:tr>
      <w:tr>
        <w:trPr>
          <w:trHeight w:val="229"/>
        </w:trPr>
        <w:tc>
          <w:tcPr>
            <w:tcW w:w="170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960" w:type="dxa"/>
            <w:vAlign w:val="bottom"/>
            <w:gridSpan w:val="3"/>
          </w:tcPr>
          <w:p>
            <w:pPr>
              <w:jc w:val="right"/>
              <w:ind w:right="110"/>
              <w:spacing w:after="0"/>
              <w:rPr>
                <w:sz w:val="20"/>
                <w:szCs w:val="20"/>
                <w:color w:val="auto"/>
              </w:rPr>
            </w:pPr>
            <w:r>
              <w:rPr>
                <w:rFonts w:ascii="Arial" w:cs="Arial" w:eastAsia="Arial" w:hAnsi="Arial"/>
                <w:sz w:val="18"/>
                <w:szCs w:val="18"/>
                <w:color w:val="auto"/>
              </w:rPr>
              <w:t>87.3 %</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77.6 %</w:t>
            </w:r>
          </w:p>
        </w:tc>
        <w:tc>
          <w:tcPr>
            <w:tcW w:w="1680" w:type="dxa"/>
            <w:vAlign w:val="bottom"/>
          </w:tcPr>
          <w:p>
            <w:pPr>
              <w:spacing w:after="0"/>
              <w:rPr>
                <w:sz w:val="20"/>
                <w:szCs w:val="20"/>
                <w:color w:val="auto"/>
              </w:rPr>
            </w:pPr>
          </w:p>
        </w:tc>
      </w:tr>
      <w:tr>
        <w:trPr>
          <w:trHeight w:val="607"/>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960" w:type="dxa"/>
            <w:vAlign w:val="bottom"/>
            <w:gridSpan w:val="3"/>
          </w:tcPr>
          <w:p>
            <w:pPr>
              <w:jc w:val="right"/>
              <w:ind w:right="1750"/>
              <w:spacing w:after="0"/>
              <w:rPr>
                <w:sz w:val="20"/>
                <w:szCs w:val="20"/>
                <w:color w:val="auto"/>
              </w:rPr>
            </w:pPr>
            <w:r>
              <w:rPr>
                <w:rFonts w:ascii="Arial" w:cs="Arial" w:eastAsia="Arial" w:hAnsi="Arial"/>
                <w:sz w:val="18"/>
                <w:szCs w:val="18"/>
                <w:color w:val="auto"/>
              </w:rPr>
              <w:t>F-18</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Restricted Stock Grants Outside of the 2016 Plan and the 2019 Plan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since December 31, 2019:</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1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6"/>
              </w:rPr>
              <w:t>Date Fair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16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2019</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334,647</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(291,789 )</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Repurchased</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2020</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42,858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(42,858 )</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Repurchased</w:t>
            </w: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2021</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right="300" w:firstLine="509"/>
        <w:spacing w:after="0" w:line="235"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2021 and 2020 was $1.5 million and $8.8 million,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77" w:lineRule="exact"/>
        <w:rPr>
          <w:sz w:val="20"/>
          <w:szCs w:val="20"/>
          <w:color w:val="auto"/>
        </w:rPr>
      </w:pPr>
    </w:p>
    <w:p>
      <w:pPr>
        <w:ind w:right="540" w:firstLine="509"/>
        <w:spacing w:after="0" w:line="235" w:lineRule="auto"/>
        <w:rPr>
          <w:sz w:val="20"/>
          <w:szCs w:val="20"/>
          <w:color w:val="auto"/>
        </w:rPr>
      </w:pPr>
      <w:r>
        <w:rPr>
          <w:rFonts w:ascii="Arial" w:cs="Arial" w:eastAsia="Arial" w:hAnsi="Arial"/>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180"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6,614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3,970</w:t>
            </w:r>
          </w:p>
        </w:tc>
        <w:tc>
          <w:tcPr>
            <w:tcW w:w="8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4,456</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3,380</w:t>
            </w:r>
          </w:p>
        </w:tc>
        <w:tc>
          <w:tcPr>
            <w:tcW w:w="80" w:type="dxa"/>
            <w:vAlign w:val="bottom"/>
          </w:tcPr>
          <w:p>
            <w:pPr>
              <w:spacing w:after="0"/>
              <w:rPr>
                <w:sz w:val="17"/>
                <w:szCs w:val="17"/>
                <w:color w:val="auto"/>
              </w:rPr>
            </w:pPr>
          </w:p>
        </w:tc>
      </w:tr>
      <w:tr>
        <w:trPr>
          <w:trHeight w:val="236"/>
        </w:trPr>
        <w:tc>
          <w:tcPr>
            <w:tcW w:w="5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11,070</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7,350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43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43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As of December 31, 2021, the Company had an aggregate of $34.6 million of unrecognized stock-based compensation expense, which is expected to be recognized over a weighted average period of 2.76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77" w:lineRule="exact"/>
        <w:rPr>
          <w:sz w:val="20"/>
          <w:szCs w:val="20"/>
          <w:color w:val="auto"/>
        </w:rPr>
      </w:pPr>
    </w:p>
    <w:p>
      <w:pPr>
        <w:ind w:right="100" w:firstLine="509"/>
        <w:spacing w:after="0" w:line="241"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annually increased on January 1, 2020, and will be increased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2021, there were 706,658 shares available for future issuance under the ESPP. On January 1, 2022, the number of shares reserved for issuance under the 2019 ESPP was increased by 406,363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34" w:name="page135"/>
    <w:bookmarkEnd w:id="134"/>
    <w:p>
      <w:pPr>
        <w:ind w:right="7980" w:firstLine="8"/>
        <w:spacing w:after="0" w:line="435" w:lineRule="auto"/>
        <w:tabs>
          <w:tab w:leader="none" w:pos="27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and License Agreements </w:t>
      </w:r>
      <w:r>
        <w:rPr>
          <w:rFonts w:ascii="Arial" w:cs="Arial" w:eastAsia="Arial" w:hAnsi="Arial"/>
          <w:sz w:val="16"/>
          <w:szCs w:val="16"/>
          <w:b w:val="1"/>
          <w:bCs w:val="1"/>
          <w:i w:val="1"/>
          <w:iCs w:val="1"/>
          <w:color w:val="auto"/>
        </w:rPr>
        <w:t>Acceleron Collaboration Agreement</w:t>
      </w:r>
    </w:p>
    <w:p>
      <w:pPr>
        <w:spacing w:after="0" w:line="26"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59"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8" w:lineRule="exact"/>
        <w:rPr>
          <w:sz w:val="20"/>
          <w:szCs w:val="20"/>
          <w:color w:val="auto"/>
        </w:rPr>
      </w:pPr>
    </w:p>
    <w:p>
      <w:pPr>
        <w:ind w:right="140" w:firstLine="509"/>
        <w:spacing w:after="0" w:line="272" w:lineRule="auto"/>
        <w:rPr>
          <w:sz w:val="20"/>
          <w:szCs w:val="20"/>
          <w:color w:val="auto"/>
        </w:rPr>
      </w:pPr>
      <w:r>
        <w:rPr>
          <w:rFonts w:ascii="Arial" w:cs="Arial" w:eastAsia="Arial" w:hAnsi="Arial"/>
          <w:sz w:val="16"/>
          <w:szCs w:val="16"/>
          <w:color w:val="auto"/>
        </w:rPr>
        <w:t>The Company received a non-refundable upfront payment of $10.0 million in December 2019 upon the execution of the Acceleron Collaboration Agreement. The Company is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To date, the Company achieved $2.0 million of specified research milestones. In addition, the Company is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6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35" w:name="page136"/>
    <w:bookmarkEnd w:id="135"/>
    <w:p>
      <w:pPr>
        <w:ind w:right="140" w:firstLine="509"/>
        <w:spacing w:after="0"/>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Contract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0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5"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7"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90" w:lineRule="exact"/>
        <w:rPr>
          <w:sz w:val="20"/>
          <w:szCs w:val="20"/>
          <w:color w:val="auto"/>
        </w:rPr>
      </w:pPr>
    </w:p>
    <w:p>
      <w:pPr>
        <w:ind w:right="40" w:firstLine="509"/>
        <w:spacing w:after="0" w:line="237" w:lineRule="auto"/>
        <w:rPr>
          <w:sz w:val="20"/>
          <w:szCs w:val="20"/>
          <w:color w:val="auto"/>
        </w:rPr>
      </w:pPr>
      <w:r>
        <w:rPr>
          <w:rFonts w:ascii="Arial" w:cs="Arial" w:eastAsia="Arial" w:hAnsi="Arial"/>
          <w:sz w:val="17"/>
          <w:szCs w:val="17"/>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were previously constrained due to the significant uncertainty regarding whether such research milestones would be achieved. The Company included this amount in the transaction price as of December 31, 2020.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remaining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included in the transaction price the expected amount of costs to be reimbursed for the Research Services.</w:t>
      </w:r>
    </w:p>
    <w:p>
      <w:pPr>
        <w:spacing w:after="0" w:line="90" w:lineRule="exact"/>
        <w:rPr>
          <w:sz w:val="20"/>
          <w:szCs w:val="20"/>
          <w:color w:val="auto"/>
        </w:rPr>
      </w:pPr>
    </w:p>
    <w:p>
      <w:pPr>
        <w:ind w:right="820" w:firstLine="509"/>
        <w:spacing w:after="0" w:line="246"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w:t>
      </w:r>
    </w:p>
    <w:p>
      <w:pPr>
        <w:spacing w:after="0" w:line="170" w:lineRule="exact"/>
        <w:rPr>
          <w:sz w:val="20"/>
          <w:szCs w:val="20"/>
          <w:color w:val="auto"/>
        </w:rPr>
      </w:pPr>
    </w:p>
    <w:p>
      <w:pPr>
        <w:jc w:val="both"/>
        <w:ind w:right="120" w:firstLine="509"/>
        <w:spacing w:after="0" w:line="235"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6" w:name="page137"/>
    <w:bookmarkEnd w:id="136"/>
    <w:p>
      <w:pPr>
        <w:ind w:left="520"/>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90"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Recognition of Revenue</w:t>
      </w:r>
    </w:p>
    <w:p>
      <w:pPr>
        <w:spacing w:after="0" w:line="90" w:lineRule="exact"/>
        <w:rPr>
          <w:sz w:val="20"/>
          <w:szCs w:val="20"/>
          <w:color w:val="auto"/>
        </w:rPr>
      </w:pPr>
    </w:p>
    <w:p>
      <w:pPr>
        <w:ind w:firstLine="509"/>
        <w:spacing w:after="0"/>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9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During the year ended December 31, 2021, the Company recognized $9.6 million of collaboration revenue associated with the Acceleron Collaboration Agreement, which includes $7.3 million of revenue recognized that was included in deferred revenue as of December 31, 2020. During the year ended December 31, 2020, the Company recognized $6.3 million of collaboration revenue associated with the Acceleron Collaboration Agreement, which includes $3.4 million of revenue recognized that was included in deferred revenue as of December 31, 2019 and a cumulative catch-up adjustment of $0.5 million attributable to the removal of the constraint associated with the $2.0 million of research milestones achieved in December 2020. As of December 31, 2021 and 2020, the Company recorded deferred revenue associated with the Acceleron Collaboration Agreement of $0.6 million and $7.9 million, respectively,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2021 and 2020. As of December 31, 2021, the Company had received $3.9 million of cost reimbursement payments under the Acceleron Collaboration Agreement and $2.0 million associated with the achievement of specified research milestones. As of December 31, 2020, the Company had received $1.7 million of cost reimbursement payments and no milestone or royalty payments under the Acceleron Collaboration Agreement. As of December 31, 2021, the Company recorded unbilled accounts receivable of $0.7 million related to reimbursable research and development costs under the Acceleron Collaboration Agreement for activities performed during the three months ended December 31, 2021. As of December 31, 2020, the Company recorded unbilled accounts receivable of $0.5 million related to reimbursable research and development costs under the Acceleron Collaboration Agreement for activities performed during the three months ended December 31, 2020. As of December 31, 2021, the Company had recorded no accounts receivable under the Acceleron Collaboration Agreement. As of December 31, 2020, the Company recorded accounts receivable of $2.0 million associated with the achievement of specified research milestones in December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198"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9"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efforts to seek regulatory approval for and to commercialize one product directed against an Identified Target in certain specified countries.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137" w:name="page138"/>
    <w:bookmarkEnd w:id="137"/>
    <w:p>
      <w:pPr>
        <w:ind w:right="220" w:firstLine="509"/>
        <w:spacing w:after="0" w:line="255"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80"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69"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Contract</w:t>
      </w:r>
    </w:p>
    <w:p>
      <w:pPr>
        <w:spacing w:after="0" w:line="10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8" w:name="page139"/>
    <w:bookmarkEnd w:id="138"/>
    <w:p>
      <w:pPr>
        <w:ind w:right="20" w:firstLine="509"/>
        <w:spacing w:after="0" w:line="248"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86"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63" w:lineRule="exact"/>
        <w:rPr>
          <w:sz w:val="20"/>
          <w:szCs w:val="20"/>
          <w:color w:val="auto"/>
        </w:rPr>
      </w:pPr>
    </w:p>
    <w:p>
      <w:pPr>
        <w:ind w:right="820" w:firstLine="509"/>
        <w:spacing w:after="0" w:line="261"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w:t>
      </w:r>
    </w:p>
    <w:p>
      <w:pPr>
        <w:spacing w:after="0" w:line="6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90"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Recognition of Revenue</w:t>
      </w:r>
    </w:p>
    <w:p>
      <w:pPr>
        <w:spacing w:after="0" w:line="90" w:lineRule="exact"/>
        <w:rPr>
          <w:sz w:val="20"/>
          <w:szCs w:val="20"/>
          <w:color w:val="auto"/>
        </w:rPr>
      </w:pPr>
    </w:p>
    <w:p>
      <w:pPr>
        <w:ind w:right="100" w:firstLine="509"/>
        <w:spacing w:after="0" w:line="258"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55" w:lineRule="exact"/>
        <w:rPr>
          <w:sz w:val="20"/>
          <w:szCs w:val="20"/>
          <w:color w:val="auto"/>
        </w:rPr>
      </w:pPr>
    </w:p>
    <w:p>
      <w:pPr>
        <w:ind w:right="60" w:firstLine="509"/>
        <w:spacing w:after="0" w:line="235" w:lineRule="auto"/>
        <w:rPr>
          <w:sz w:val="20"/>
          <w:szCs w:val="20"/>
          <w:color w:val="auto"/>
        </w:rPr>
      </w:pPr>
      <w:r>
        <w:rPr>
          <w:rFonts w:ascii="Arial" w:cs="Arial" w:eastAsia="Arial" w:hAnsi="Arial"/>
          <w:sz w:val="17"/>
          <w:szCs w:val="17"/>
          <w:color w:val="auto"/>
        </w:rPr>
        <w:t>During the year ended December 31, 2021, the Company recognized $9.6 million of collaboration revenue associated with the MyoKardia Collaboration Agreement, which includes $6.7 million of revenue recognized that was included in deferred revenue as of December 31, 2020 and a cumulative catch-up adjustment of $1.7 million attributable to the removal of the constraint associated with the $2.5 million preclinical milestone achieved in December 2021. During the year ended December 31, 2020, the Company recognized $2.5 million of collaboration revenue associated with the MyoKardia Collaboration Agreement. As of December 31, 2021 and 2020, the Company recorded deferred revenue of $4.1 million and $10.0 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2021 and 2020. As of December 31, 2021, the Company had received $3.2 million of cost reimbursement payments under the MyoKardia Collaboration Agreement, including the $2.5 million payment as prepaid research funding in July 2020, and no milestone or royalty payments. As of December 31, 2020, the Company had not received any milestone, royalty, or cost reimbursement payments under the MyoKardia Collaboration Agreement, other than the $2.5 million payment as prepaid research funding in July 2020. As of December 31, 2021, the Company recorded unbilled accounts receivable of $0.5 million related to reimbursable research and development costs under the MyoKardia Collaboration Agreement for activities performed during the three months ended December 31, 2021. As of December 31, 2021, the Company has recorded accounts receivable of $2.5 million under the MyoKardia Collaboration Agreement associated with the achievement of a preclinical milestone in December 2021. As of December 31, 2020, the Company had recorded no accounts receivable under the MyoKardia Collaboration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11. Right of Reference and License Agreement</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GSK Agreement, the Company issued 12,500,000 shares of Series B Preferred Stock to GSK. In addition, the Company may owe GSK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up to $37.5 million in certain specified clinical and regulatory milestones, including $2.5 million previously achieved and paid during 2019, and up to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$60.0 million in certain specified sales milestones. The Company has agreed to pay tiered royalties on annual net sales of losmapimod that range from mid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single-digit percentages to a low double-digit, but less than teens, percentage. The royalties are payable on a product-by-product and country-by-country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basis, and may be reduced in specified circumstances.</w:t>
      </w:r>
    </w:p>
    <w:p>
      <w:pPr>
        <w:spacing w:after="0" w:line="196"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78" w:lineRule="exact"/>
        <w:rPr>
          <w:sz w:val="20"/>
          <w:szCs w:val="20"/>
          <w:color w:val="auto"/>
        </w:rPr>
      </w:pPr>
    </w:p>
    <w:p>
      <w:pPr>
        <w:ind w:right="8420" w:firstLine="8"/>
        <w:spacing w:after="0" w:line="376" w:lineRule="auto"/>
        <w:tabs>
          <w:tab w:leader="none" w:pos="27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26 Landsdowne Street</w:t>
      </w:r>
    </w:p>
    <w:p>
      <w:pPr>
        <w:spacing w:after="0" w:line="198" w:lineRule="exact"/>
        <w:rPr>
          <w:sz w:val="20"/>
          <w:szCs w:val="20"/>
          <w:color w:val="auto"/>
        </w:rPr>
      </w:pPr>
    </w:p>
    <w:p>
      <w:pPr>
        <w:ind w:right="20" w:firstLine="509"/>
        <w:spacing w:after="0" w:line="252"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comprising approximately 28,731 square feet of office and laboratory space at 26 Landsdowne Street in Cambridge, Massachusetts, commencing December 2017 when the Company gained access to the leased space for purposes of making leasehold improvements.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2021 and 2020. The Company records rent expense for this lease on a straight-line basis. Rent expense associated with this lease for the years ended December 31, 2021 and 2020 was approximately $1.9 million.</w:t>
      </w:r>
    </w:p>
    <w:p>
      <w:pPr>
        <w:spacing w:after="0" w:line="166"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2021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2240" w:type="dxa"/>
            <w:vAlign w:val="bottom"/>
          </w:tcPr>
          <w:p>
            <w:pPr>
              <w:spacing w:after="0"/>
              <w:rPr>
                <w:sz w:val="18"/>
                <w:szCs w:val="18"/>
                <w:color w:val="auto"/>
              </w:rPr>
            </w:pPr>
          </w:p>
        </w:tc>
      </w:tr>
      <w:tr>
        <w:trPr>
          <w:trHeight w:val="203"/>
        </w:trPr>
        <w:tc>
          <w:tcPr>
            <w:tcW w:w="226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2,497</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2,572</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2,649</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7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2,729</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4,237</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2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27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17,108</w:t>
            </w:r>
          </w:p>
        </w:tc>
        <w:tc>
          <w:tcPr>
            <w:tcW w:w="2240" w:type="dxa"/>
            <w:vAlign w:val="bottom"/>
          </w:tcPr>
          <w:p>
            <w:pPr>
              <w:spacing w:after="0"/>
              <w:rPr>
                <w:sz w:val="20"/>
                <w:szCs w:val="20"/>
                <w:color w:val="auto"/>
              </w:rPr>
            </w:pPr>
          </w:p>
        </w:tc>
      </w:tr>
      <w:tr>
        <w:trPr>
          <w:trHeight w:val="615"/>
        </w:trPr>
        <w:tc>
          <w:tcPr>
            <w:tcW w:w="2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gridSpan w:val="2"/>
          </w:tcPr>
          <w:p>
            <w:pPr>
              <w:jc w:val="right"/>
              <w:ind w:right="2250"/>
              <w:spacing w:after="0"/>
              <w:rPr>
                <w:sz w:val="20"/>
                <w:szCs w:val="20"/>
                <w:color w:val="auto"/>
              </w:rPr>
            </w:pPr>
            <w:r>
              <w:rPr>
                <w:rFonts w:ascii="Arial" w:cs="Arial" w:eastAsia="Arial" w:hAnsi="Arial"/>
                <w:sz w:val="18"/>
                <w:szCs w:val="18"/>
                <w:color w:val="auto"/>
              </w:rPr>
              <w:t>F-25</w:t>
            </w: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-505460</wp:posOffset>
            </wp:positionV>
            <wp:extent cx="431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-488315</wp:posOffset>
            </wp:positionV>
            <wp:extent cx="43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0" w:name="page141"/>
    <w:bookmarkEnd w:id="140"/>
    <w:p>
      <w:pPr>
        <w:ind w:left="520"/>
        <w:spacing w:after="0"/>
        <w:rPr>
          <w:sz w:val="20"/>
          <w:szCs w:val="20"/>
          <w:color w:val="auto"/>
        </w:rPr>
      </w:pPr>
      <w:r>
        <w:rPr>
          <w:rFonts w:ascii="Arial" w:cs="Arial" w:eastAsia="Arial" w:hAnsi="Arial"/>
          <w:sz w:val="18"/>
          <w:szCs w:val="18"/>
          <w:i w:val="1"/>
          <w:iCs w:val="1"/>
          <w:color w:val="auto"/>
        </w:rPr>
        <w:t>125 Sidney Street</w:t>
      </w:r>
    </w:p>
    <w:p>
      <w:pPr>
        <w:spacing w:after="0" w:line="198" w:lineRule="exact"/>
        <w:rPr>
          <w:sz w:val="20"/>
          <w:szCs w:val="20"/>
          <w:color w:val="auto"/>
        </w:rPr>
      </w:pPr>
    </w:p>
    <w:p>
      <w:pPr>
        <w:ind w:right="160" w:firstLine="509"/>
        <w:spacing w:after="0" w:line="225" w:lineRule="auto"/>
        <w:rPr>
          <w:sz w:val="20"/>
          <w:szCs w:val="20"/>
          <w:color w:val="auto"/>
        </w:rPr>
      </w:pPr>
      <w:r>
        <w:rPr>
          <w:rFonts w:ascii="Arial" w:cs="Arial" w:eastAsia="Arial" w:hAnsi="Arial"/>
          <w:sz w:val="18"/>
          <w:szCs w:val="18"/>
          <w:color w:val="auto"/>
        </w:rPr>
        <w:t>In November 2021, the Company entered into a lease agreement comprising approximately 12,196 square feet of office space at 125 Sidney Street in Cambridge, Massachusetts, commencing November 2021 when the Company gained access to the leased space for purposes of making leasehold improvements.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 Rent expense associated with this lease for the year ended December 31, 2021 was $0.1 million.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future minimum lease payments associated with the 125 Sidney Street lease as of December 31, 2021 are as follows (in thousands):</w:t>
      </w:r>
    </w:p>
    <w:p>
      <w:pPr>
        <w:spacing w:after="0" w:line="206"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FF0FC"/>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836</w:t>
            </w:r>
          </w:p>
        </w:tc>
        <w:tc>
          <w:tcPr>
            <w:tcW w:w="60" w:type="dxa"/>
            <w:vAlign w:val="bottom"/>
          </w:tcPr>
          <w:p>
            <w:pPr>
              <w:spacing w:after="0"/>
              <w:rPr>
                <w:sz w:val="17"/>
                <w:szCs w:val="17"/>
                <w:color w:val="auto"/>
              </w:rPr>
            </w:pPr>
          </w:p>
        </w:tc>
      </w:tr>
      <w:tr>
        <w:trPr>
          <w:trHeight w:val="203"/>
        </w:trPr>
        <w:tc>
          <w:tcPr>
            <w:tcW w:w="5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680" w:type="dxa"/>
            <w:vAlign w:val="bottom"/>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1,659</w:t>
            </w:r>
          </w:p>
        </w:tc>
        <w:tc>
          <w:tcPr>
            <w:tcW w:w="60" w:type="dxa"/>
            <w:vAlign w:val="bottom"/>
          </w:tcPr>
          <w:p>
            <w:pPr>
              <w:spacing w:after="0"/>
              <w:rPr>
                <w:sz w:val="17"/>
                <w:szCs w:val="17"/>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-159385</wp:posOffset>
            </wp:positionV>
            <wp:extent cx="431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0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2021, the Company has not exercised its rights to license such technologies.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2021 or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2021 and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13. Income Taxes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3"/>
              </w:rPr>
              <w:t>Year Ended</w:t>
            </w:r>
          </w:p>
        </w:tc>
        <w:tc>
          <w:tcPr>
            <w:tcW w:w="15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4660" w:type="dxa"/>
            <w:vAlign w:val="bottom"/>
          </w:tcPr>
          <w:p>
            <w:pPr>
              <w:spacing w:after="0"/>
              <w:rPr>
                <w:sz w:val="12"/>
                <w:szCs w:val="12"/>
                <w:color w:val="auto"/>
              </w:rPr>
            </w:pPr>
          </w:p>
        </w:tc>
        <w:tc>
          <w:tcPr>
            <w:tcW w:w="166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5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46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6"/>
                <w:szCs w:val="16"/>
                <w:color w:val="auto"/>
              </w:rPr>
            </w:pP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income tax at statutory rate</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21.00</w:t>
            </w:r>
          </w:p>
        </w:tc>
        <w:tc>
          <w:tcPr>
            <w:tcW w:w="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16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(0.31 )</w:t>
            </w: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(0.79 )</w:t>
            </w: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Federal and state research and development credits</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280" w:type="dxa"/>
            <w:vAlign w:val="bottom"/>
            <w:shd w:val="clear" w:color="auto" w:fill="CFF0FC"/>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Federal orphan drug credits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280" w:type="dxa"/>
            <w:vAlign w:val="bottom"/>
          </w:tcPr>
          <w:p>
            <w:pPr>
              <w:spacing w:after="0"/>
              <w:rPr>
                <w:sz w:val="17"/>
                <w:szCs w:val="17"/>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State income tax, net of federal benefit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6.12</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w:t>
            </w:r>
          </w:p>
        </w:tc>
        <w:tc>
          <w:tcPr>
            <w:tcW w:w="280" w:type="dxa"/>
            <w:vAlign w:val="bottom"/>
            <w:shd w:val="clear" w:color="auto" w:fill="CFF0FC"/>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(0.06 )</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0.47</w:t>
            </w:r>
          </w:p>
        </w:tc>
        <w:tc>
          <w:tcPr>
            <w:tcW w:w="280" w:type="dxa"/>
            <w:vAlign w:val="bottom"/>
          </w:tcPr>
          <w:p>
            <w:pPr>
              <w:spacing w:after="0"/>
              <w:rPr>
                <w:sz w:val="17"/>
                <w:szCs w:val="17"/>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6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(33.65 )</w:t>
            </w:r>
          </w:p>
        </w:tc>
        <w:tc>
          <w:tcPr>
            <w:tcW w:w="1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(33.67 )</w:t>
            </w:r>
          </w:p>
        </w:tc>
      </w:tr>
      <w:tr>
        <w:trPr>
          <w:trHeight w:val="20"/>
        </w:trPr>
        <w:tc>
          <w:tcPr>
            <w:tcW w:w="46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color w:val="auto"/>
              </w:rPr>
              <w:t>Effective income tax rate</w:t>
            </w:r>
          </w:p>
        </w:tc>
        <w:tc>
          <w:tcPr>
            <w:tcW w:w="16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 %</w:t>
            </w:r>
          </w:p>
        </w:tc>
        <w:tc>
          <w:tcPr>
            <w:tcW w:w="15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 %</w:t>
            </w:r>
          </w:p>
        </w:tc>
      </w:tr>
      <w:tr>
        <w:trPr>
          <w:trHeight w:val="20"/>
        </w:trPr>
        <w:tc>
          <w:tcPr>
            <w:tcW w:w="4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-159385</wp:posOffset>
            </wp:positionV>
            <wp:extent cx="17970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17145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209"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During the years ended December 31, 2021 and 2020, the Company incurred book and tax losses and, because it maintains a full valuation allowance on its net deferred tax assets, did not recognize federal or state income tax expense or benefit.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67,043</w:t>
            </w: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46,603</w:t>
            </w:r>
          </w:p>
        </w:tc>
        <w:tc>
          <w:tcPr>
            <w:tcW w:w="120" w:type="dxa"/>
            <w:vAlign w:val="bottom"/>
          </w:tcPr>
          <w:p>
            <w:pPr>
              <w:spacing w:after="0"/>
              <w:rPr>
                <w:sz w:val="17"/>
                <w:szCs w:val="17"/>
                <w:color w:val="auto"/>
              </w:rPr>
            </w:pPr>
          </w:p>
        </w:tc>
      </w:tr>
      <w:tr>
        <w:trPr>
          <w:trHeight w:val="202"/>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 credit carryforwards</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8,774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6,842</w:t>
            </w:r>
          </w:p>
        </w:tc>
        <w:tc>
          <w:tcPr>
            <w:tcW w:w="12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Orphan drug credit carryforwards</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6,679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3,032</w:t>
            </w:r>
          </w:p>
        </w:tc>
        <w:tc>
          <w:tcPr>
            <w:tcW w:w="12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6,192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6,722</w:t>
            </w:r>
          </w:p>
        </w:tc>
        <w:tc>
          <w:tcPr>
            <w:tcW w:w="12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1,791</w:t>
            </w:r>
          </w:p>
        </w:tc>
        <w:tc>
          <w:tcPr>
            <w:tcW w:w="12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 and other</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2,240</w:t>
            </w:r>
          </w:p>
        </w:tc>
        <w:tc>
          <w:tcPr>
            <w:tcW w:w="120" w:type="dxa"/>
            <w:vAlign w:val="bottom"/>
            <w:shd w:val="clear" w:color="auto" w:fill="CFF0FC"/>
          </w:tcPr>
          <w:p>
            <w:pPr>
              <w:spacing w:after="0"/>
              <w:rPr>
                <w:sz w:val="17"/>
                <w:szCs w:val="17"/>
                <w:color w:val="auto"/>
              </w:rPr>
            </w:pPr>
          </w:p>
        </w:tc>
      </w:tr>
      <w:tr>
        <w:trPr>
          <w:trHeight w:val="203"/>
        </w:trPr>
        <w:tc>
          <w:tcPr>
            <w:tcW w:w="4800" w:type="dxa"/>
            <w:vAlign w:val="bottom"/>
          </w:tcPr>
          <w:p>
            <w:pPr>
              <w:ind w:left="180"/>
              <w:spacing w:after="0" w:line="202" w:lineRule="exact"/>
              <w:rPr>
                <w:sz w:val="20"/>
                <w:szCs w:val="20"/>
                <w:color w:val="auto"/>
              </w:rPr>
            </w:pPr>
            <w:r>
              <w:rPr>
                <w:rFonts w:ascii="Arial" w:cs="Arial" w:eastAsia="Arial" w:hAnsi="Arial"/>
                <w:sz w:val="18"/>
                <w:szCs w:val="18"/>
                <w:color w:val="auto"/>
              </w:rPr>
              <w:t>Deferred lease incentive</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120" w:type="dxa"/>
            <w:vAlign w:val="bottom"/>
          </w:tcPr>
          <w:p>
            <w:pPr>
              <w:spacing w:after="0"/>
              <w:rPr>
                <w:sz w:val="17"/>
                <w:szCs w:val="17"/>
                <w:color w:val="auto"/>
              </w:rPr>
            </w:pPr>
          </w:p>
        </w:tc>
      </w:tr>
      <w:tr>
        <w:trPr>
          <w:trHeight w:val="203"/>
        </w:trPr>
        <w:tc>
          <w:tcPr>
            <w:tcW w:w="48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spacing w:after="0" w:line="196" w:lineRule="exact"/>
              <w:rPr>
                <w:sz w:val="20"/>
                <w:szCs w:val="20"/>
                <w:color w:val="auto"/>
              </w:rPr>
            </w:pPr>
            <w:r>
              <w:rPr>
                <w:rFonts w:ascii="Arial" w:cs="Arial" w:eastAsia="Arial" w:hAnsi="Arial"/>
                <w:sz w:val="18"/>
                <w:szCs w:val="18"/>
                <w:color w:val="auto"/>
              </w:rPr>
              <w:t>Gross deferred tax assets</w:t>
            </w: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95,589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68,642</w:t>
            </w:r>
          </w:p>
        </w:tc>
        <w:tc>
          <w:tcPr>
            <w:tcW w:w="120" w:type="dxa"/>
            <w:vAlign w:val="bottom"/>
          </w:tcPr>
          <w:p>
            <w:pPr>
              <w:spacing w:after="0"/>
              <w:rPr>
                <w:sz w:val="17"/>
                <w:szCs w:val="17"/>
                <w:color w:val="auto"/>
              </w:rPr>
            </w:pPr>
          </w:p>
        </w:tc>
      </w:tr>
      <w:tr>
        <w:trPr>
          <w:trHeight w:val="203"/>
        </w:trPr>
        <w:tc>
          <w:tcPr>
            <w:tcW w:w="4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(94,630 )</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(67,427 )</w:t>
            </w:r>
          </w:p>
        </w:tc>
      </w:tr>
      <w:tr>
        <w:trPr>
          <w:trHeight w:val="196"/>
        </w:trPr>
        <w:tc>
          <w:tcPr>
            <w:tcW w:w="48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959</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1,215</w:t>
            </w:r>
          </w:p>
        </w:tc>
        <w:tc>
          <w:tcPr>
            <w:tcW w:w="120" w:type="dxa"/>
            <w:vAlign w:val="bottom"/>
            <w:tcBorders>
              <w:top w:val="single" w:sz="8" w:color="CFF0FC"/>
            </w:tcBorders>
          </w:tcPr>
          <w:p>
            <w:pPr>
              <w:spacing w:after="0"/>
              <w:rPr>
                <w:sz w:val="17"/>
                <w:szCs w:val="17"/>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(959 )</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(1,215 )</w:t>
            </w:r>
          </w:p>
        </w:tc>
      </w:tr>
      <w:tr>
        <w:trPr>
          <w:trHeight w:val="196"/>
        </w:trPr>
        <w:tc>
          <w:tcPr>
            <w:tcW w:w="48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-690880</wp:posOffset>
            </wp:positionV>
            <wp:extent cx="6858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-690880</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-424815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-424815</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-159385</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2021 and 2020. The valuation allowance increased by $27.2 million during the year ended December 31, 2021,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w:t>
      </w:r>
    </w:p>
    <w:p>
      <w:pPr>
        <w:spacing w:after="0" w:line="191"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As of December 31, 2021, the Company had federal net operating loss carryforwards of approximately $245.8 million, a portion of which begin to expire in 2036. Approximately $214.8 million of the federal net operating losses can be carried forward indefinitely. As of December 31, 2021, the Company also had state net operating loss carryforwards of approximately $244.0 million, which begin to expire in 2036.</w:t>
      </w:r>
    </w:p>
    <w:p>
      <w:pPr>
        <w:spacing w:after="0" w:line="16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As of December 31, 2021, the Company had federal orphan drug credits of approximately $6.7 million, which begin to expire in 2040. As of December 31, 2021, the Company had federal research and development tax credit carryforwards of approximately $6.1 million, which begin to expire in 2035. As of December 31, 2021, the Company also had state research and development tax credit carryforwards of approximately $3.3 million, which begin to expire in 2030.</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42" w:name="page143"/>
    <w:bookmarkEnd w:id="142"/>
    <w:p>
      <w:pPr>
        <w:ind w:right="120" w:firstLine="509"/>
        <w:spacing w:after="0" w:line="269"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71"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2021, the Company’s tax years are still open under statute from 2016 to the present.</w:t>
      </w:r>
    </w:p>
    <w:p>
      <w:pPr>
        <w:spacing w:after="0" w:line="18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the provision for income taxes. As of December 31, 2021 and 2020, the Company had no accrued interest or penalties related to uncertain tax positions and no amounts have been recognized in the Company’s statements of operations. For the year ended December 31, 2021,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 as of December 31, 2021.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08"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203"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62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3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stock options</w:t>
            </w:r>
          </w:p>
        </w:tc>
        <w:tc>
          <w:tcPr>
            <w:tcW w:w="16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5,188,354</w:t>
            </w:r>
          </w:p>
        </w:tc>
        <w:tc>
          <w:tcPr>
            <w:tcW w:w="18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2,962,347</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60" w:type="dxa"/>
            <w:vAlign w:val="bottom"/>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10,174</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125,836</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1700" w:type="dxa"/>
            <w:vAlign w:val="bottom"/>
          </w:tcPr>
          <w:p>
            <w:pPr>
              <w:spacing w:after="0"/>
              <w:rPr>
                <w:sz w:val="20"/>
                <w:szCs w:val="20"/>
                <w:color w:val="auto"/>
              </w:rPr>
            </w:pPr>
          </w:p>
        </w:tc>
        <w:tc>
          <w:tcPr>
            <w:tcW w:w="3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4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5,198,528</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3,088,183</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15"/>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100" w:type="dxa"/>
            <w:vAlign w:val="bottom"/>
            <w:gridSpan w:val="2"/>
          </w:tcPr>
          <w:p>
            <w:pPr>
              <w:jc w:val="right"/>
              <w:ind w:right="1976"/>
              <w:spacing w:after="0"/>
              <w:rPr>
                <w:sz w:val="20"/>
                <w:szCs w:val="20"/>
                <w:color w:val="auto"/>
              </w:rPr>
            </w:pPr>
            <w:r>
              <w:rPr>
                <w:rFonts w:ascii="Arial" w:cs="Arial" w:eastAsia="Arial" w:hAnsi="Arial"/>
                <w:sz w:val="18"/>
                <w:szCs w:val="18"/>
                <w:color w:val="auto"/>
              </w:rPr>
              <w:t>F-28</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-505460</wp:posOffset>
            </wp:positionV>
            <wp:extent cx="431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-488315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40" w:type="dxa"/>
            <w:vAlign w:val="bottom"/>
            <w:gridSpan w:val="44"/>
          </w:tcPr>
          <w:p>
            <w:pPr>
              <w:ind w:left="1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12"/>
        </w:trPr>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700" w:type="dxa"/>
            <w:vAlign w:val="bottom"/>
            <w:gridSpan w:val="41"/>
            <w:vMerge w:val="restart"/>
          </w:tcPr>
          <w:p>
            <w:pPr>
              <w:jc w:val="center"/>
              <w:ind w:right="454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85"/>
        </w:trPr>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700" w:type="dxa"/>
            <w:vAlign w:val="bottom"/>
            <w:gridSpan w:val="4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0" w:type="dxa"/>
            <w:vAlign w:val="bottom"/>
          </w:tcPr>
          <w:p>
            <w:pPr>
              <w:ind w:left="200"/>
              <w:spacing w:after="0" w:line="156" w:lineRule="exact"/>
              <w:rPr>
                <w:sz w:val="20"/>
                <w:szCs w:val="20"/>
                <w:color w:val="auto"/>
              </w:rPr>
            </w:pPr>
            <w:r>
              <w:rPr>
                <w:rFonts w:ascii="Arial" w:cs="Arial" w:eastAsia="Arial" w:hAnsi="Arial"/>
                <w:sz w:val="18"/>
                <w:szCs w:val="18"/>
                <w:color w:val="auto"/>
                <w:w w:val="79"/>
              </w:rPr>
              <w:t>3.1</w:t>
            </w: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180" w:type="dxa"/>
            <w:vAlign w:val="bottom"/>
            <w:tcBorders>
              <w:top w:val="single" w:sz="8" w:color="auto"/>
            </w:tcBorders>
            <w:gridSpan w:val="49"/>
          </w:tcPr>
          <w:p>
            <w:pPr>
              <w:spacing w:after="0" w:line="156" w:lineRule="exact"/>
              <w:rPr>
                <w:rFonts w:ascii="Arial" w:cs="Arial" w:eastAsia="Arial" w:hAnsi="Arial"/>
                <w:sz w:val="18"/>
                <w:szCs w:val="18"/>
                <w:color w:val="0000FF"/>
                <w:w w:val="92"/>
              </w:rPr>
            </w:pPr>
            <w:hyperlink r:id="rId324">
              <w:r>
                <w:rPr>
                  <w:rFonts w:ascii="Arial" w:cs="Arial" w:eastAsia="Arial" w:hAnsi="Arial"/>
                  <w:sz w:val="18"/>
                  <w:szCs w:val="18"/>
                  <w:color w:val="0000FF"/>
                  <w:w w:val="92"/>
                </w:rPr>
                <w:t>Restated Certificate of Incorporation of the Registrant (incorporated by reference to Exhibit 3.1 to the Registrant’s Current Report on Form</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324">
              <w:r>
                <w:rPr>
                  <w:rFonts w:ascii="Arial" w:cs="Arial" w:eastAsia="Arial" w:hAnsi="Arial"/>
                  <w:sz w:val="18"/>
                  <w:szCs w:val="18"/>
                  <w:color w:val="0000FF"/>
                  <w:w w:val="91"/>
                </w:rPr>
                <w:t>8-K filed with the Securities and Exchange Commission on July 22,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462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0" w:type="dxa"/>
            <w:vAlign w:val="bottom"/>
          </w:tcPr>
          <w:p>
            <w:pPr>
              <w:ind w:left="200"/>
              <w:spacing w:after="0" w:line="169" w:lineRule="exact"/>
              <w:rPr>
                <w:sz w:val="20"/>
                <w:szCs w:val="20"/>
                <w:color w:val="auto"/>
              </w:rPr>
            </w:pPr>
            <w:r>
              <w:rPr>
                <w:rFonts w:ascii="Arial" w:cs="Arial" w:eastAsia="Arial" w:hAnsi="Arial"/>
                <w:sz w:val="18"/>
                <w:szCs w:val="18"/>
                <w:color w:val="auto"/>
                <w:w w:val="79"/>
              </w:rPr>
              <w:t>3.2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gridSpan w:val="11"/>
          </w:tcPr>
          <w:p>
            <w:pPr>
              <w:spacing w:after="0" w:line="169" w:lineRule="exact"/>
              <w:rPr>
                <w:rFonts w:ascii="Arial" w:cs="Arial" w:eastAsia="Arial" w:hAnsi="Arial"/>
                <w:sz w:val="18"/>
                <w:szCs w:val="18"/>
                <w:color w:val="0000FF"/>
                <w:w w:val="89"/>
              </w:rPr>
            </w:pPr>
            <w:hyperlink r:id="rId325">
              <w:r>
                <w:rPr>
                  <w:rFonts w:ascii="Arial" w:cs="Arial" w:eastAsia="Arial" w:hAnsi="Arial"/>
                  <w:sz w:val="18"/>
                  <w:szCs w:val="18"/>
                  <w:color w:val="0000FF"/>
                  <w:w w:val="89"/>
                </w:rPr>
                <w:t>Amended and Restated Bylaws of the Registrant (incorporated by reference</w:t>
              </w:r>
            </w:hyperlink>
          </w:p>
        </w:tc>
        <w:tc>
          <w:tcPr>
            <w:tcW w:w="20" w:type="dxa"/>
            <w:vAlign w:val="bottom"/>
          </w:tcPr>
          <w:p>
            <w:pPr>
              <w:spacing w:after="0"/>
              <w:rPr>
                <w:sz w:val="14"/>
                <w:szCs w:val="14"/>
                <w:color w:val="auto"/>
              </w:rPr>
            </w:pPr>
          </w:p>
        </w:tc>
        <w:tc>
          <w:tcPr>
            <w:tcW w:w="4740" w:type="dxa"/>
            <w:vAlign w:val="bottom"/>
            <w:gridSpan w:val="37"/>
          </w:tcPr>
          <w:p>
            <w:pPr>
              <w:ind w:left="40"/>
              <w:spacing w:after="0" w:line="169" w:lineRule="exact"/>
              <w:rPr>
                <w:rFonts w:ascii="Arial" w:cs="Arial" w:eastAsia="Arial" w:hAnsi="Arial"/>
                <w:sz w:val="18"/>
                <w:szCs w:val="18"/>
                <w:color w:val="0000FF"/>
                <w:w w:val="96"/>
              </w:rPr>
            </w:pPr>
            <w:hyperlink r:id="rId325">
              <w:r>
                <w:rPr>
                  <w:rFonts w:ascii="Arial" w:cs="Arial" w:eastAsia="Arial" w:hAnsi="Arial"/>
                  <w:sz w:val="18"/>
                  <w:szCs w:val="18"/>
                  <w:color w:val="0000FF"/>
                  <w:w w:val="96"/>
                </w:rPr>
                <w:t>to Exhibit 3.2 to the Registrant’s Current Report on Form 8-K</w:t>
              </w:r>
            </w:hyperlink>
          </w:p>
        </w:tc>
        <w:tc>
          <w:tcPr>
            <w:tcW w:w="0" w:type="dxa"/>
            <w:vAlign w:val="bottom"/>
          </w:tcPr>
          <w:p>
            <w:pPr>
              <w:spacing w:after="0"/>
              <w:rPr>
                <w:sz w:val="1"/>
                <w:szCs w:val="1"/>
                <w:color w:val="auto"/>
              </w:rPr>
            </w:pPr>
          </w:p>
        </w:tc>
      </w:tr>
      <w:tr>
        <w:trPr>
          <w:trHeight w:val="156"/>
        </w:trPr>
        <w:tc>
          <w:tcPr>
            <w:tcW w:w="420" w:type="dxa"/>
            <w:vAlign w:val="bottom"/>
            <w:vMerge w:val="restart"/>
          </w:tcPr>
          <w:p>
            <w:pPr>
              <w:ind w:left="200"/>
              <w:spacing w:after="0"/>
              <w:rPr>
                <w:sz w:val="20"/>
                <w:szCs w:val="20"/>
                <w:color w:val="auto"/>
              </w:rPr>
            </w:pPr>
            <w:r>
              <w:rPr>
                <w:rFonts w:ascii="Arial" w:cs="Arial" w:eastAsia="Arial" w:hAnsi="Arial"/>
                <w:sz w:val="18"/>
                <w:szCs w:val="18"/>
                <w:color w:val="auto"/>
                <w:w w:val="79"/>
              </w:rPr>
              <w:t>4.1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325">
              <w:r>
                <w:rPr>
                  <w:rFonts w:ascii="Arial" w:cs="Arial" w:eastAsia="Arial" w:hAnsi="Arial"/>
                  <w:sz w:val="18"/>
                  <w:szCs w:val="18"/>
                  <w:color w:val="0000FF"/>
                </w:rPr>
                <w:t>filed with the Securities and Exchange Commission on July 22,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49"/>
          </w:tcPr>
          <w:p>
            <w:pPr>
              <w:spacing w:after="0" w:line="169" w:lineRule="exact"/>
              <w:rPr>
                <w:rFonts w:ascii="Arial" w:cs="Arial" w:eastAsia="Arial" w:hAnsi="Arial"/>
                <w:sz w:val="18"/>
                <w:szCs w:val="18"/>
                <w:color w:val="0000FF"/>
                <w:w w:val="93"/>
              </w:rPr>
            </w:pPr>
            <w:hyperlink r:id="rId326">
              <w:r>
                <w:rPr>
                  <w:rFonts w:ascii="Arial" w:cs="Arial" w:eastAsia="Arial" w:hAnsi="Arial"/>
                  <w:sz w:val="18"/>
                  <w:szCs w:val="18"/>
                  <w:color w:val="0000FF"/>
                  <w:w w:val="93"/>
                </w:rPr>
                <w:t>Specimen Stock Certificate evidencing shares of common stock (incorporated by reference to Exhibit 4.1 to the Registrant’s Registration</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26">
              <w:r>
                <w:rPr>
                  <w:rFonts w:ascii="Arial" w:cs="Arial" w:eastAsia="Arial" w:hAnsi="Arial"/>
                  <w:sz w:val="18"/>
                  <w:szCs w:val="18"/>
                  <w:color w:val="0000FF"/>
                </w:rPr>
                <w:t>Statement on Form S-1 (File No. 333-232260) filed with the Securities and Exchange Commission on June 21, 2019).</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0" w:type="dxa"/>
            <w:vAlign w:val="bottom"/>
          </w:tcPr>
          <w:p>
            <w:pPr>
              <w:ind w:left="200"/>
              <w:spacing w:after="0" w:line="169" w:lineRule="exact"/>
              <w:rPr>
                <w:sz w:val="20"/>
                <w:szCs w:val="20"/>
                <w:color w:val="auto"/>
              </w:rPr>
            </w:pPr>
            <w:r>
              <w:rPr>
                <w:rFonts w:ascii="Arial" w:cs="Arial" w:eastAsia="Arial" w:hAnsi="Arial"/>
                <w:sz w:val="18"/>
                <w:szCs w:val="18"/>
                <w:color w:val="auto"/>
                <w:w w:val="79"/>
              </w:rPr>
              <w:t>4.2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80" w:type="dxa"/>
            <w:vAlign w:val="bottom"/>
            <w:tcBorders>
              <w:top w:val="single" w:sz="8" w:color="0000FF"/>
            </w:tcBorders>
            <w:gridSpan w:val="22"/>
          </w:tcPr>
          <w:p>
            <w:pPr>
              <w:spacing w:after="0" w:line="169" w:lineRule="exact"/>
              <w:rPr>
                <w:rFonts w:ascii="Arial" w:cs="Arial" w:eastAsia="Arial" w:hAnsi="Arial"/>
                <w:sz w:val="18"/>
                <w:szCs w:val="18"/>
                <w:color w:val="0000FF"/>
                <w:w w:val="90"/>
              </w:rPr>
            </w:pPr>
            <w:hyperlink r:id="rId327">
              <w:r>
                <w:rPr>
                  <w:rFonts w:ascii="Arial" w:cs="Arial" w:eastAsia="Arial" w:hAnsi="Arial"/>
                  <w:sz w:val="18"/>
                  <w:szCs w:val="18"/>
                  <w:color w:val="0000FF"/>
                  <w:w w:val="90"/>
                </w:rPr>
                <w:t>Description of the Registrant’s Securities Registered under Section 12 of the Exchange Act (incorporated by reference</w:t>
              </w:r>
            </w:hyperlink>
          </w:p>
        </w:tc>
        <w:tc>
          <w:tcPr>
            <w:tcW w:w="20" w:type="dxa"/>
            <w:vAlign w:val="bottom"/>
            <w:tcBorders>
              <w:top w:val="single" w:sz="8" w:color="0000EE"/>
            </w:tcBorders>
          </w:tcPr>
          <w:p>
            <w:pPr>
              <w:spacing w:after="0"/>
              <w:rPr>
                <w:sz w:val="14"/>
                <w:szCs w:val="14"/>
                <w:color w:val="auto"/>
              </w:rPr>
            </w:pPr>
          </w:p>
        </w:tc>
        <w:tc>
          <w:tcPr>
            <w:tcW w:w="1680" w:type="dxa"/>
            <w:vAlign w:val="bottom"/>
            <w:gridSpan w:val="26"/>
          </w:tcPr>
          <w:p>
            <w:pPr>
              <w:ind w:left="40"/>
              <w:spacing w:after="0" w:line="169" w:lineRule="exact"/>
              <w:rPr>
                <w:rFonts w:ascii="Arial" w:cs="Arial" w:eastAsia="Arial" w:hAnsi="Arial"/>
                <w:sz w:val="18"/>
                <w:szCs w:val="18"/>
                <w:color w:val="0000FF"/>
              </w:rPr>
            </w:pPr>
            <w:hyperlink r:id="rId327">
              <w:r>
                <w:rPr>
                  <w:rFonts w:ascii="Arial" w:cs="Arial" w:eastAsia="Arial" w:hAnsi="Arial"/>
                  <w:sz w:val="18"/>
                  <w:szCs w:val="18"/>
                  <w:color w:val="0000FF"/>
                </w:rPr>
                <w:t>to Exhibit 4.2 to the</w:t>
              </w:r>
            </w:hyperlink>
          </w:p>
        </w:tc>
        <w:tc>
          <w:tcPr>
            <w:tcW w:w="0" w:type="dxa"/>
            <w:vAlign w:val="bottom"/>
          </w:tcPr>
          <w:p>
            <w:pPr>
              <w:spacing w:after="0"/>
              <w:rPr>
                <w:sz w:val="1"/>
                <w:szCs w:val="1"/>
                <w:color w:val="auto"/>
              </w:rPr>
            </w:pPr>
          </w:p>
        </w:tc>
      </w:tr>
      <w:tr>
        <w:trPr>
          <w:trHeight w:val="155"/>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w w:val="79"/>
              </w:rPr>
              <w:t>10.1</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327">
              <w:r>
                <w:rPr>
                  <w:rFonts w:ascii="Arial" w:cs="Arial" w:eastAsia="Arial" w:hAnsi="Arial"/>
                  <w:sz w:val="18"/>
                  <w:szCs w:val="18"/>
                  <w:color w:val="0000FF"/>
                  <w:w w:val="91"/>
                </w:rPr>
                <w:t>Registrant’s Annual Report on Form 10-K filed with the Securities and Exchange Commission on March 5,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17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49"/>
          </w:tcPr>
          <w:p>
            <w:pPr>
              <w:spacing w:after="0" w:line="169" w:lineRule="exact"/>
              <w:rPr>
                <w:rFonts w:ascii="Arial" w:cs="Arial" w:eastAsia="Arial" w:hAnsi="Arial"/>
                <w:sz w:val="18"/>
                <w:szCs w:val="18"/>
                <w:color w:val="0000FF"/>
                <w:w w:val="90"/>
              </w:rPr>
            </w:pPr>
            <w:hyperlink r:id="rId328">
              <w:r>
                <w:rPr>
                  <w:rFonts w:ascii="Arial" w:cs="Arial" w:eastAsia="Arial" w:hAnsi="Arial"/>
                  <w:sz w:val="18"/>
                  <w:szCs w:val="18"/>
                  <w:color w:val="0000FF"/>
                  <w:w w:val="90"/>
                </w:rPr>
                <w:t>Amended and Restated Investors' Rights Agreement, dated as of August 24, 2018, by and among the Registrant and the other parties thereto</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46"/>
          </w:tcPr>
          <w:p>
            <w:pPr>
              <w:spacing w:after="0" w:line="156" w:lineRule="exact"/>
              <w:rPr>
                <w:rFonts w:ascii="Arial" w:cs="Arial" w:eastAsia="Arial" w:hAnsi="Arial"/>
                <w:sz w:val="18"/>
                <w:szCs w:val="18"/>
                <w:color w:val="0000FF"/>
                <w:w w:val="95"/>
              </w:rPr>
            </w:pPr>
            <w:hyperlink r:id="rId328">
              <w:r>
                <w:rPr>
                  <w:rFonts w:ascii="Arial" w:cs="Arial" w:eastAsia="Arial" w:hAnsi="Arial"/>
                  <w:sz w:val="18"/>
                  <w:szCs w:val="18"/>
                  <w:color w:val="0000FF"/>
                  <w:w w:val="95"/>
                </w:rPr>
                <w:t>(incorporated by reference to Exhibit 10.1 to the Registrant’s Registration Statement on Form S-1 (File No. 333-232260)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w w:val="79"/>
              </w:rPr>
              <w:t>10.2</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328">
              <w:r>
                <w:rPr>
                  <w:rFonts w:ascii="Arial" w:cs="Arial" w:eastAsia="Arial" w:hAnsi="Arial"/>
                  <w:sz w:val="18"/>
                  <w:szCs w:val="18"/>
                  <w:color w:val="0000FF"/>
                  <w:w w:val="89"/>
                </w:rPr>
                <w:t>Securities and Exchange Commission on June 21,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5620" w:type="dxa"/>
            <w:vAlign w:val="bottom"/>
            <w:tcBorders>
              <w:top w:val="single" w:sz="8" w:color="0000FF"/>
            </w:tcBorders>
            <w:gridSpan w:val="2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49"/>
          </w:tcPr>
          <w:p>
            <w:pPr>
              <w:spacing w:after="0" w:line="169" w:lineRule="exact"/>
              <w:rPr>
                <w:rFonts w:ascii="Arial" w:cs="Arial" w:eastAsia="Arial" w:hAnsi="Arial"/>
                <w:sz w:val="18"/>
                <w:szCs w:val="18"/>
                <w:color w:val="0000FF"/>
                <w:w w:val="90"/>
              </w:rPr>
            </w:pPr>
            <w:hyperlink r:id="rId329">
              <w:r>
                <w:rPr>
                  <w:rFonts w:ascii="Arial" w:cs="Arial" w:eastAsia="Arial" w:hAnsi="Arial"/>
                  <w:sz w:val="18"/>
                  <w:szCs w:val="18"/>
                  <w:color w:val="0000FF"/>
                  <w:w w:val="90"/>
                </w:rPr>
                <w:t>Registration Rights Agreement, dated June 9, 2020, by and among the Registrant and the other parties thereto (incorporated by reference to</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329">
              <w:r>
                <w:rPr>
                  <w:rFonts w:ascii="Arial" w:cs="Arial" w:eastAsia="Arial" w:hAnsi="Arial"/>
                  <w:sz w:val="18"/>
                  <w:szCs w:val="18"/>
                  <w:color w:val="0000FF"/>
                  <w:w w:val="91"/>
                </w:rPr>
                <w:t>Exhibit 10.2 of the Registrant's Current Report on Form 8-K filed with the Securities and Exchange Commission on June 10,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5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30"/>
          </w:tcPr>
          <w:p>
            <w:pPr>
              <w:spacing w:after="0" w:line="169" w:lineRule="exact"/>
              <w:rPr>
                <w:rFonts w:ascii="Arial" w:cs="Arial" w:eastAsia="Arial" w:hAnsi="Arial"/>
                <w:sz w:val="18"/>
                <w:szCs w:val="18"/>
                <w:color w:val="0000FF"/>
                <w:w w:val="89"/>
              </w:rPr>
            </w:pPr>
            <w:hyperlink r:id="rId330">
              <w:r>
                <w:rPr>
                  <w:rFonts w:ascii="Arial" w:cs="Arial" w:eastAsia="Arial" w:hAnsi="Arial"/>
                  <w:sz w:val="18"/>
                  <w:szCs w:val="18"/>
                  <w:color w:val="0000FF"/>
                  <w:w w:val="89"/>
                </w:rPr>
                <w:t>2016 Stock Incentive Plan, as amended (incorporated by reference to Exhibit 10.2 to the Registrant’s Registration Statement on Form</w:t>
              </w:r>
            </w:hyperlink>
          </w:p>
        </w:tc>
        <w:tc>
          <w:tcPr>
            <w:tcW w:w="620" w:type="dxa"/>
            <w:vAlign w:val="bottom"/>
            <w:gridSpan w:val="19"/>
          </w:tcPr>
          <w:p>
            <w:pPr>
              <w:ind w:left="80"/>
              <w:spacing w:after="0" w:line="169" w:lineRule="exact"/>
              <w:rPr>
                <w:rFonts w:ascii="Arial" w:cs="Arial" w:eastAsia="Arial" w:hAnsi="Arial"/>
                <w:sz w:val="18"/>
                <w:szCs w:val="18"/>
                <w:color w:val="0000FF"/>
              </w:rPr>
            </w:pPr>
            <w:hyperlink r:id="rId330">
              <w:r>
                <w:rPr>
                  <w:rFonts w:ascii="Arial" w:cs="Arial" w:eastAsia="Arial" w:hAnsi="Arial"/>
                  <w:sz w:val="18"/>
                  <w:szCs w:val="18"/>
                  <w:color w:val="0000FF"/>
                </w:rPr>
                <w:t>S-1</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330">
              <w:r>
                <w:rPr>
                  <w:rFonts w:ascii="Arial" w:cs="Arial" w:eastAsia="Arial" w:hAnsi="Arial"/>
                  <w:sz w:val="18"/>
                  <w:szCs w:val="18"/>
                  <w:color w:val="0000FF"/>
                </w:rPr>
                <w:t>(File No. 333-232260) filed with the Securities and Exchange Commission on June 21,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90"/>
              </w:rPr>
            </w:pPr>
            <w:hyperlink r:id="rId331">
              <w:r>
                <w:rPr>
                  <w:rFonts w:ascii="Arial" w:cs="Arial" w:eastAsia="Arial" w:hAnsi="Arial"/>
                  <w:sz w:val="18"/>
                  <w:szCs w:val="18"/>
                  <w:color w:val="0000FF"/>
                  <w:w w:val="90"/>
                </w:rPr>
                <w:t>Form of Incentive Stock Option Agreement under the 2016 Stock Incentive Plan (incorporated</w:t>
              </w:r>
            </w:hyperlink>
          </w:p>
        </w:tc>
        <w:tc>
          <w:tcPr>
            <w:tcW w:w="20" w:type="dxa"/>
            <w:vAlign w:val="bottom"/>
            <w:tcBorders>
              <w:top w:val="single" w:sz="8" w:color="0000EE"/>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540" w:type="dxa"/>
            <w:vAlign w:val="bottom"/>
            <w:tcBorders>
              <w:bottom w:val="single" w:sz="8" w:color="0000FF"/>
            </w:tcBorders>
            <w:gridSpan w:val="10"/>
          </w:tcPr>
          <w:p>
            <w:pPr>
              <w:ind w:left="20"/>
              <w:spacing w:after="0" w:line="169" w:lineRule="exact"/>
              <w:rPr>
                <w:rFonts w:ascii="Arial" w:cs="Arial" w:eastAsia="Arial" w:hAnsi="Arial"/>
                <w:sz w:val="18"/>
                <w:szCs w:val="18"/>
                <w:color w:val="0000FF"/>
                <w:w w:val="92"/>
              </w:rPr>
            </w:pPr>
            <w:hyperlink r:id="rId331">
              <w:r>
                <w:rPr>
                  <w:rFonts w:ascii="Arial" w:cs="Arial" w:eastAsia="Arial" w:hAnsi="Arial"/>
                  <w:sz w:val="18"/>
                  <w:szCs w:val="18"/>
                  <w:color w:val="0000FF"/>
                  <w:w w:val="92"/>
                </w:rPr>
                <w:t>by reference to Exhibit 10.3 to the</w:t>
              </w:r>
            </w:hyperlink>
          </w:p>
        </w:tc>
        <w:tc>
          <w:tcPr>
            <w:tcW w:w="82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gridSpan w:val="49"/>
          </w:tcPr>
          <w:p>
            <w:pPr>
              <w:spacing w:after="0" w:line="156" w:lineRule="exact"/>
              <w:rPr>
                <w:rFonts w:ascii="Arial" w:cs="Arial" w:eastAsia="Arial" w:hAnsi="Arial"/>
                <w:sz w:val="18"/>
                <w:szCs w:val="18"/>
                <w:color w:val="0000FF"/>
                <w:w w:val="94"/>
              </w:rPr>
            </w:pPr>
            <w:hyperlink r:id="rId331">
              <w:r>
                <w:rPr>
                  <w:rFonts w:ascii="Arial" w:cs="Arial" w:eastAsia="Arial" w:hAnsi="Arial"/>
                  <w:sz w:val="18"/>
                  <w:szCs w:val="18"/>
                  <w:color w:val="0000FF"/>
                  <w:w w:val="94"/>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80" w:type="dxa"/>
            <w:vAlign w:val="bottom"/>
            <w:tcBorders>
              <w:top w:val="single" w:sz="8" w:color="0000FF"/>
            </w:tcBorders>
            <w:gridSpan w:val="3"/>
          </w:tcPr>
          <w:p>
            <w:pPr>
              <w:spacing w:after="0" w:line="156" w:lineRule="exact"/>
              <w:rPr>
                <w:rFonts w:ascii="Arial" w:cs="Arial" w:eastAsia="Arial" w:hAnsi="Arial"/>
                <w:sz w:val="18"/>
                <w:szCs w:val="18"/>
                <w:color w:val="0000FF"/>
                <w:w w:val="90"/>
              </w:rPr>
            </w:pPr>
            <w:hyperlink r:id="rId331">
              <w:r>
                <w:rPr>
                  <w:rFonts w:ascii="Arial" w:cs="Arial" w:eastAsia="Arial" w:hAnsi="Arial"/>
                  <w:sz w:val="18"/>
                  <w:szCs w:val="18"/>
                  <w:color w:val="0000FF"/>
                  <w:w w:val="90"/>
                </w:rPr>
                <w:t>2019).</w:t>
              </w:r>
            </w:hyperlink>
          </w:p>
        </w:tc>
        <w:tc>
          <w:tcPr>
            <w:tcW w:w="2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332">
              <w:r>
                <w:rPr>
                  <w:rFonts w:ascii="Arial" w:cs="Arial" w:eastAsia="Arial" w:hAnsi="Arial"/>
                  <w:sz w:val="18"/>
                  <w:szCs w:val="18"/>
                  <w:color w:val="0000FF"/>
                  <w:w w:val="90"/>
                </w:rPr>
                <w:t>Form</w:t>
              </w:r>
            </w:hyperlink>
          </w:p>
        </w:tc>
        <w:tc>
          <w:tcPr>
            <w:tcW w:w="9320" w:type="dxa"/>
            <w:vAlign w:val="bottom"/>
            <w:tcBorders>
              <w:bottom w:val="single" w:sz="8" w:color="0000FF"/>
            </w:tcBorders>
            <w:gridSpan w:val="30"/>
          </w:tcPr>
          <w:p>
            <w:pPr>
              <w:jc w:val="center"/>
              <w:spacing w:after="0" w:line="169" w:lineRule="exact"/>
              <w:rPr>
                <w:rFonts w:ascii="Arial" w:cs="Arial" w:eastAsia="Arial" w:hAnsi="Arial"/>
                <w:sz w:val="18"/>
                <w:szCs w:val="18"/>
                <w:color w:val="0000FF"/>
                <w:w w:val="91"/>
              </w:rPr>
            </w:pPr>
            <w:hyperlink r:id="rId332">
              <w:r>
                <w:rPr>
                  <w:rFonts w:ascii="Arial" w:cs="Arial" w:eastAsia="Arial" w:hAnsi="Arial"/>
                  <w:sz w:val="18"/>
                  <w:szCs w:val="18"/>
                  <w:color w:val="0000FF"/>
                  <w:w w:val="91"/>
                </w:rPr>
                <w:t>of Non-Statutory Stock Option Agreement under the 2016 Stock Incentive Plan (incorporated by reference to Exhibit 10.4 to the</w:t>
              </w:r>
            </w:hyperlink>
          </w:p>
        </w:tc>
        <w:tc>
          <w:tcPr>
            <w:tcW w:w="4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bottom w:val="single" w:sz="8" w:color="0000FF"/>
            </w:tcBorders>
            <w:gridSpan w:val="34"/>
          </w:tcPr>
          <w:p>
            <w:pPr>
              <w:spacing w:after="0" w:line="156" w:lineRule="exact"/>
              <w:rPr>
                <w:rFonts w:ascii="Arial" w:cs="Arial" w:eastAsia="Arial" w:hAnsi="Arial"/>
                <w:sz w:val="18"/>
                <w:szCs w:val="18"/>
                <w:color w:val="0000FF"/>
                <w:w w:val="90"/>
              </w:rPr>
            </w:pPr>
            <w:hyperlink r:id="rId332">
              <w:r>
                <w:rPr>
                  <w:rFonts w:ascii="Arial" w:cs="Arial" w:eastAsia="Arial" w:hAnsi="Arial"/>
                  <w:sz w:val="18"/>
                  <w:szCs w:val="18"/>
                  <w:color w:val="0000FF"/>
                  <w:w w:val="90"/>
                </w:rPr>
                <w:t>Registrant’s Registration Statement on Form S-1 (File No. 333-232260) filed with the Securities and Exchange Commission on June 21,</w:t>
              </w:r>
            </w:hyperlink>
          </w:p>
        </w:tc>
        <w:tc>
          <w:tcPr>
            <w:tcW w:w="3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10.6#</w:t>
            </w:r>
          </w:p>
        </w:tc>
        <w:tc>
          <w:tcPr>
            <w:tcW w:w="140" w:type="dxa"/>
            <w:vAlign w:val="bottom"/>
            <w:gridSpan w:val="2"/>
          </w:tcPr>
          <w:p>
            <w:pPr>
              <w:spacing w:after="0"/>
              <w:rPr>
                <w:sz w:val="13"/>
                <w:szCs w:val="13"/>
                <w:color w:val="auto"/>
              </w:rPr>
            </w:pPr>
          </w:p>
        </w:tc>
        <w:tc>
          <w:tcPr>
            <w:tcW w:w="46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r:id="rId332">
              <w:r>
                <w:rPr>
                  <w:rFonts w:ascii="Arial" w:cs="Arial" w:eastAsia="Arial" w:hAnsi="Arial"/>
                  <w:sz w:val="18"/>
                  <w:szCs w:val="18"/>
                  <w:color w:val="0000FF"/>
                  <w:w w:val="86"/>
                </w:rPr>
                <w:t>2019).</w:t>
              </w:r>
            </w:hyperlink>
          </w:p>
        </w:tc>
        <w:tc>
          <w:tcPr>
            <w:tcW w:w="20" w:type="dxa"/>
            <w:vAlign w:val="bottom"/>
            <w:tcBorders>
              <w:bottom w:val="single" w:sz="8" w:color="0000EE"/>
            </w:tcBorders>
          </w:tcPr>
          <w:p>
            <w:pPr>
              <w:spacing w:after="0"/>
              <w:rPr>
                <w:sz w:val="13"/>
                <w:szCs w:val="13"/>
                <w:color w:val="auto"/>
              </w:rPr>
            </w:pPr>
          </w:p>
        </w:tc>
        <w:tc>
          <w:tcPr>
            <w:tcW w:w="9700" w:type="dxa"/>
            <w:vAlign w:val="bottom"/>
            <w:gridSpan w:val="46"/>
            <w:vMerge w:val="restart"/>
          </w:tcPr>
          <w:p>
            <w:pPr>
              <w:spacing w:after="0"/>
              <w:rPr>
                <w:rFonts w:ascii="Arial" w:cs="Arial" w:eastAsia="Arial" w:hAnsi="Arial"/>
                <w:sz w:val="18"/>
                <w:szCs w:val="18"/>
                <w:color w:val="0000FF"/>
                <w:w w:val="94"/>
              </w:rPr>
            </w:pPr>
            <w:hyperlink r:id="rId333">
              <w:r>
                <w:rPr>
                  <w:rFonts w:ascii="Arial" w:cs="Arial" w:eastAsia="Arial" w:hAnsi="Arial"/>
                  <w:sz w:val="18"/>
                  <w:szCs w:val="18"/>
                  <w:color w:val="0000FF"/>
                  <w:w w:val="94"/>
                </w:rPr>
                <w:t>of Restricted Stock Agreement under the 2016 Stock Incentive Plan (incorporated by reference to Exhibit 10.5 to the Registrant’s</w:t>
              </w:r>
            </w:hyperlink>
          </w:p>
        </w:tc>
        <w:tc>
          <w:tcPr>
            <w:tcW w:w="0" w:type="dxa"/>
            <w:vAlign w:val="bottom"/>
          </w:tcPr>
          <w:p>
            <w:pPr>
              <w:spacing w:after="0"/>
              <w:rPr>
                <w:sz w:val="1"/>
                <w:szCs w:val="1"/>
                <w:color w:val="auto"/>
              </w:rPr>
            </w:pPr>
          </w:p>
        </w:tc>
      </w:tr>
      <w:tr>
        <w:trPr>
          <w:trHeight w:val="169"/>
        </w:trPr>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spacing w:after="0" w:line="169" w:lineRule="exact"/>
              <w:rPr>
                <w:rFonts w:ascii="Arial" w:cs="Arial" w:eastAsia="Arial" w:hAnsi="Arial"/>
                <w:sz w:val="18"/>
                <w:szCs w:val="18"/>
                <w:color w:val="0000FF"/>
              </w:rPr>
            </w:pPr>
            <w:hyperlink r:id="rId333">
              <w:r>
                <w:rPr>
                  <w:rFonts w:ascii="Arial" w:cs="Arial" w:eastAsia="Arial" w:hAnsi="Arial"/>
                  <w:sz w:val="18"/>
                  <w:szCs w:val="18"/>
                  <w:color w:val="0000FF"/>
                </w:rPr>
                <w:t>Form</w:t>
              </w:r>
            </w:hyperlink>
          </w:p>
        </w:tc>
        <w:tc>
          <w:tcPr>
            <w:tcW w:w="9700" w:type="dxa"/>
            <w:vAlign w:val="bottom"/>
            <w:gridSpan w:val="4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333">
              <w:r>
                <w:rPr>
                  <w:rFonts w:ascii="Arial" w:cs="Arial" w:eastAsia="Arial" w:hAnsi="Arial"/>
                  <w:sz w:val="18"/>
                  <w:szCs w:val="18"/>
                  <w:color w:val="0000FF"/>
                  <w:w w:val="94"/>
                </w:rPr>
                <w:t>Registration Statement on Form S-1 (File No. 333-232260) filed with the Securities and Exchange Commission on June 21, 2019).</w:t>
              </w:r>
            </w:hyperlink>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49"/>
          </w:tcPr>
          <w:p>
            <w:pPr>
              <w:spacing w:after="0" w:line="169" w:lineRule="exact"/>
              <w:rPr>
                <w:rFonts w:ascii="Arial" w:cs="Arial" w:eastAsia="Arial" w:hAnsi="Arial"/>
                <w:sz w:val="18"/>
                <w:szCs w:val="18"/>
                <w:color w:val="0000FF"/>
                <w:w w:val="92"/>
              </w:rPr>
            </w:pPr>
            <w:hyperlink r:id="rId334">
              <w:r>
                <w:rPr>
                  <w:rFonts w:ascii="Arial" w:cs="Arial" w:eastAsia="Arial" w:hAnsi="Arial"/>
                  <w:sz w:val="18"/>
                  <w:szCs w:val="18"/>
                  <w:color w:val="0000FF"/>
                  <w:w w:val="92"/>
                </w:rPr>
                <w:t>2019 Stock Incentive Plan (incorporated by reference to Exhibit 10.6 to Amendment No. 1 to Registrant’s Registration Statement on Form</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334">
              <w:r>
                <w:rPr>
                  <w:rFonts w:ascii="Arial" w:cs="Arial" w:eastAsia="Arial" w:hAnsi="Arial"/>
                  <w:sz w:val="18"/>
                  <w:szCs w:val="18"/>
                  <w:color w:val="0000FF"/>
                </w:rPr>
                <w:t>S-1 (File No. 333-232260) filed with the Securities and Exchange Commission on July 8, 2019).</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Borders>
              <w:top w:val="single" w:sz="8" w:color="0000FF"/>
            </w:tcBorders>
            <w:gridSpan w:val="18"/>
          </w:tcPr>
          <w:p>
            <w:pPr>
              <w:spacing w:after="0" w:line="169" w:lineRule="exact"/>
              <w:rPr>
                <w:rFonts w:ascii="Arial" w:cs="Arial" w:eastAsia="Arial" w:hAnsi="Arial"/>
                <w:sz w:val="18"/>
                <w:szCs w:val="18"/>
                <w:color w:val="0000FF"/>
                <w:w w:val="89"/>
              </w:rPr>
            </w:pPr>
            <w:hyperlink r:id="rId335">
              <w:r>
                <w:rPr>
                  <w:rFonts w:ascii="Arial" w:cs="Arial" w:eastAsia="Arial" w:hAnsi="Arial"/>
                  <w:sz w:val="18"/>
                  <w:szCs w:val="18"/>
                  <w:color w:val="0000FF"/>
                  <w:w w:val="89"/>
                </w:rPr>
                <w:t>Form of Stock Option Agreement under the 2019 Stock Incentive Plan (incorporated by reference</w:t>
              </w:r>
            </w:hyperlink>
          </w:p>
        </w:tc>
        <w:tc>
          <w:tcPr>
            <w:tcW w:w="3240" w:type="dxa"/>
            <w:vAlign w:val="bottom"/>
            <w:gridSpan w:val="31"/>
          </w:tcPr>
          <w:p>
            <w:pPr>
              <w:ind w:left="140"/>
              <w:spacing w:after="0" w:line="169" w:lineRule="exact"/>
              <w:rPr>
                <w:rFonts w:ascii="Arial" w:cs="Arial" w:eastAsia="Arial" w:hAnsi="Arial"/>
                <w:sz w:val="18"/>
                <w:szCs w:val="18"/>
                <w:color w:val="0000FF"/>
              </w:rPr>
            </w:pPr>
            <w:hyperlink r:id="rId335">
              <w:r>
                <w:rPr>
                  <w:rFonts w:ascii="Arial" w:cs="Arial" w:eastAsia="Arial" w:hAnsi="Arial"/>
                  <w:sz w:val="18"/>
                  <w:szCs w:val="18"/>
                  <w:color w:val="0000FF"/>
                </w:rPr>
                <w:t>to Exhibit 10.7 to Amendment No. 1 to</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1"/>
              </w:rPr>
            </w:pPr>
            <w:hyperlink r:id="rId335">
              <w:r>
                <w:rPr>
                  <w:rFonts w:ascii="Arial" w:cs="Arial" w:eastAsia="Arial" w:hAnsi="Arial"/>
                  <w:sz w:val="18"/>
                  <w:szCs w:val="18"/>
                  <w:color w:val="0000FF"/>
                  <w:w w:val="91"/>
                </w:rPr>
                <w:t>Registrant’s Registration Statement on Form S-1 (File No. 333-232260) filed with the Securities and Exchange Commission on July 8,</w:t>
              </w:r>
            </w:hyperlink>
          </w:p>
        </w:tc>
        <w:tc>
          <w:tcPr>
            <w:tcW w:w="240" w:type="dxa"/>
            <w:vAlign w:val="bottom"/>
            <w:tcBorders>
              <w:top w:val="single" w:sz="8" w:color="0000FF"/>
            </w:tcBorders>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10.9#</w:t>
            </w:r>
          </w:p>
        </w:tc>
        <w:tc>
          <w:tcPr>
            <w:tcW w:w="140" w:type="dxa"/>
            <w:vAlign w:val="bottom"/>
            <w:gridSpan w:val="2"/>
          </w:tcPr>
          <w:p>
            <w:pPr>
              <w:spacing w:after="0"/>
              <w:rPr>
                <w:sz w:val="13"/>
                <w:szCs w:val="13"/>
                <w:color w:val="auto"/>
              </w:rPr>
            </w:pPr>
          </w:p>
        </w:tc>
        <w:tc>
          <w:tcPr>
            <w:tcW w:w="46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r:id="rId335">
              <w:r>
                <w:rPr>
                  <w:rFonts w:ascii="Arial" w:cs="Arial" w:eastAsia="Arial" w:hAnsi="Arial"/>
                  <w:sz w:val="18"/>
                  <w:szCs w:val="18"/>
                  <w:color w:val="0000FF"/>
                  <w:w w:val="86"/>
                </w:rPr>
                <w:t>2019).</w:t>
              </w:r>
            </w:hyperlink>
          </w:p>
        </w:tc>
        <w:tc>
          <w:tcPr>
            <w:tcW w:w="20" w:type="dxa"/>
            <w:vAlign w:val="bottom"/>
            <w:tcBorders>
              <w:bottom w:val="single" w:sz="8" w:color="0000EE"/>
            </w:tcBorders>
          </w:tcPr>
          <w:p>
            <w:pPr>
              <w:spacing w:after="0"/>
              <w:rPr>
                <w:sz w:val="13"/>
                <w:szCs w:val="13"/>
                <w:color w:val="auto"/>
              </w:rPr>
            </w:pPr>
          </w:p>
        </w:tc>
        <w:tc>
          <w:tcPr>
            <w:tcW w:w="9700" w:type="dxa"/>
            <w:vAlign w:val="bottom"/>
            <w:gridSpan w:val="46"/>
            <w:vMerge w:val="restart"/>
          </w:tcPr>
          <w:p>
            <w:pPr>
              <w:spacing w:after="0"/>
              <w:rPr>
                <w:rFonts w:ascii="Arial" w:cs="Arial" w:eastAsia="Arial" w:hAnsi="Arial"/>
                <w:sz w:val="18"/>
                <w:szCs w:val="18"/>
                <w:color w:val="0000FF"/>
                <w:w w:val="91"/>
              </w:rPr>
            </w:pPr>
            <w:hyperlink r:id="rId336">
              <w:r>
                <w:rPr>
                  <w:rFonts w:ascii="Arial" w:cs="Arial" w:eastAsia="Arial" w:hAnsi="Arial"/>
                  <w:sz w:val="18"/>
                  <w:szCs w:val="18"/>
                  <w:color w:val="0000FF"/>
                  <w:w w:val="91"/>
                </w:rPr>
                <w:t>of Inducement Stock Option Agreement (incorporated by reference to Exhibit 10.1 to the Registrant’s Quarterly Report on Form 10-Q</w:t>
              </w:r>
            </w:hyperlink>
          </w:p>
        </w:tc>
        <w:tc>
          <w:tcPr>
            <w:tcW w:w="0" w:type="dxa"/>
            <w:vAlign w:val="bottom"/>
          </w:tcPr>
          <w:p>
            <w:pPr>
              <w:spacing w:after="0"/>
              <w:rPr>
                <w:sz w:val="1"/>
                <w:szCs w:val="1"/>
                <w:color w:val="auto"/>
              </w:rPr>
            </w:pPr>
          </w:p>
        </w:tc>
      </w:tr>
      <w:tr>
        <w:trPr>
          <w:trHeight w:val="169"/>
        </w:trPr>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spacing w:after="0" w:line="169" w:lineRule="exact"/>
              <w:rPr>
                <w:rFonts w:ascii="Arial" w:cs="Arial" w:eastAsia="Arial" w:hAnsi="Arial"/>
                <w:sz w:val="18"/>
                <w:szCs w:val="18"/>
                <w:color w:val="0000FF"/>
              </w:rPr>
            </w:pPr>
            <w:hyperlink r:id="rId336">
              <w:r>
                <w:rPr>
                  <w:rFonts w:ascii="Arial" w:cs="Arial" w:eastAsia="Arial" w:hAnsi="Arial"/>
                  <w:sz w:val="18"/>
                  <w:szCs w:val="18"/>
                  <w:color w:val="0000FF"/>
                </w:rPr>
                <w:t>Form</w:t>
              </w:r>
            </w:hyperlink>
          </w:p>
        </w:tc>
        <w:tc>
          <w:tcPr>
            <w:tcW w:w="9700" w:type="dxa"/>
            <w:vAlign w:val="bottom"/>
            <w:gridSpan w:val="4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47"/>
          </w:tcPr>
          <w:p>
            <w:pPr>
              <w:spacing w:after="0" w:line="156" w:lineRule="exact"/>
              <w:rPr>
                <w:rFonts w:ascii="Arial" w:cs="Arial" w:eastAsia="Arial" w:hAnsi="Arial"/>
                <w:sz w:val="18"/>
                <w:szCs w:val="18"/>
                <w:color w:val="0000FF"/>
              </w:rPr>
            </w:pPr>
            <w:hyperlink r:id="rId336">
              <w:r>
                <w:rPr>
                  <w:rFonts w:ascii="Arial" w:cs="Arial" w:eastAsia="Arial" w:hAnsi="Arial"/>
                  <w:sz w:val="18"/>
                  <w:szCs w:val="18"/>
                  <w:color w:val="0000FF"/>
                </w:rPr>
                <w:t>filed with the Securities and Exchange Commission on November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tcBorders>
              <w:top w:val="single" w:sz="8" w:color="0000FF"/>
            </w:tcBorders>
            <w:gridSpan w:val="12"/>
          </w:tcPr>
          <w:p>
            <w:pPr>
              <w:spacing w:after="0" w:line="169" w:lineRule="exact"/>
              <w:rPr>
                <w:rFonts w:ascii="Arial" w:cs="Arial" w:eastAsia="Arial" w:hAnsi="Arial"/>
                <w:sz w:val="18"/>
                <w:szCs w:val="18"/>
                <w:color w:val="0000FF"/>
                <w:w w:val="93"/>
              </w:rPr>
            </w:pPr>
            <w:hyperlink w:anchor="page148">
              <w:r>
                <w:rPr>
                  <w:rFonts w:ascii="Arial" w:cs="Arial" w:eastAsia="Arial" w:hAnsi="Arial"/>
                  <w:sz w:val="18"/>
                  <w:szCs w:val="18"/>
                  <w:color w:val="0000FF"/>
                  <w:w w:val="93"/>
                </w:rPr>
                <w:t>Form of Restricted Stock Unit Agreement under the 2019 Stock Incentive</w:t>
              </w:r>
            </w:hyperlink>
          </w:p>
        </w:tc>
        <w:tc>
          <w:tcPr>
            <w:tcW w:w="4740" w:type="dxa"/>
            <w:vAlign w:val="bottom"/>
            <w:gridSpan w:val="37"/>
          </w:tcPr>
          <w:p>
            <w:pPr>
              <w:spacing w:after="0" w:line="169" w:lineRule="exact"/>
              <w:rPr>
                <w:rFonts w:ascii="Arial" w:cs="Arial" w:eastAsia="Arial" w:hAnsi="Arial"/>
                <w:sz w:val="18"/>
                <w:szCs w:val="18"/>
                <w:color w:val="0000FF"/>
              </w:rPr>
            </w:pPr>
            <w:hyperlink w:anchor="page148">
              <w:r>
                <w:rPr>
                  <w:rFonts w:ascii="Arial" w:cs="Arial" w:eastAsia="Arial" w:hAnsi="Arial"/>
                  <w:sz w:val="18"/>
                  <w:szCs w:val="18"/>
                  <w:color w:val="0000FF"/>
                </w:rPr>
                <w:t>Plan.</w:t>
              </w:r>
            </w:hyperlink>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tcBorders>
            <w:gridSpan w:val="13"/>
          </w:tcPr>
          <w:p>
            <w:pPr>
              <w:spacing w:after="0" w:line="169" w:lineRule="exact"/>
              <w:rPr>
                <w:rFonts w:ascii="Arial" w:cs="Arial" w:eastAsia="Arial" w:hAnsi="Arial"/>
                <w:sz w:val="18"/>
                <w:szCs w:val="18"/>
                <w:color w:val="0000FF"/>
                <w:w w:val="90"/>
              </w:rPr>
            </w:pPr>
            <w:hyperlink r:id="rId337">
              <w:r>
                <w:rPr>
                  <w:rFonts w:ascii="Arial" w:cs="Arial" w:eastAsia="Arial" w:hAnsi="Arial"/>
                  <w:sz w:val="18"/>
                  <w:szCs w:val="18"/>
                  <w:color w:val="0000FF"/>
                  <w:w w:val="90"/>
                </w:rPr>
                <w:t>2019 Employee Stock Purchase Plan (incorporated by reference to Exhibit 10.8</w:t>
              </w:r>
            </w:hyperlink>
          </w:p>
        </w:tc>
        <w:tc>
          <w:tcPr>
            <w:tcW w:w="4460" w:type="dxa"/>
            <w:vAlign w:val="bottom"/>
            <w:gridSpan w:val="36"/>
          </w:tcPr>
          <w:p>
            <w:pPr>
              <w:ind w:left="40"/>
              <w:spacing w:after="0" w:line="169" w:lineRule="exact"/>
              <w:rPr>
                <w:rFonts w:ascii="Arial" w:cs="Arial" w:eastAsia="Arial" w:hAnsi="Arial"/>
                <w:sz w:val="18"/>
                <w:szCs w:val="18"/>
                <w:color w:val="0000FF"/>
                <w:w w:val="92"/>
              </w:rPr>
            </w:pPr>
            <w:hyperlink r:id="rId337">
              <w:r>
                <w:rPr>
                  <w:rFonts w:ascii="Arial" w:cs="Arial" w:eastAsia="Arial" w:hAnsi="Arial"/>
                  <w:sz w:val="18"/>
                  <w:szCs w:val="18"/>
                  <w:color w:val="0000FF"/>
                  <w:w w:val="92"/>
                </w:rPr>
                <w:t>to Amendment No. 1 to Registrant’s Registration Statement</w:t>
              </w:r>
            </w:hyperlink>
          </w:p>
        </w:tc>
        <w:tc>
          <w:tcPr>
            <w:tcW w:w="0" w:type="dxa"/>
            <w:vAlign w:val="bottom"/>
          </w:tcPr>
          <w:p>
            <w:pPr>
              <w:spacing w:after="0"/>
              <w:rPr>
                <w:sz w:val="1"/>
                <w:szCs w:val="1"/>
                <w:color w:val="auto"/>
              </w:rPr>
            </w:pPr>
          </w:p>
        </w:tc>
      </w:tr>
      <w:tr>
        <w:trPr>
          <w:trHeight w:val="156"/>
        </w:trPr>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337">
              <w:r>
                <w:rPr>
                  <w:rFonts w:ascii="Arial" w:cs="Arial" w:eastAsia="Arial" w:hAnsi="Arial"/>
                  <w:sz w:val="18"/>
                  <w:szCs w:val="18"/>
                  <w:color w:val="0000FF"/>
                </w:rPr>
                <w:t>on Form S-1 (File No. 333-232260) filed with the Securities and Exchange Commission on July 8, 2019).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152">
              <w:r>
                <w:rPr>
                  <w:rFonts w:ascii="Arial" w:cs="Arial" w:eastAsia="Arial" w:hAnsi="Arial"/>
                  <w:sz w:val="18"/>
                  <w:szCs w:val="18"/>
                  <w:color w:val="0000FF"/>
                </w:rPr>
                <w:t>2022 Inducement Stock Incentive Plan.</w:t>
              </w:r>
            </w:hyperlink>
          </w:p>
        </w:tc>
        <w:tc>
          <w:tcPr>
            <w:tcW w:w="1120" w:type="dxa"/>
            <w:vAlign w:val="bottom"/>
            <w:gridSpan w:val="5"/>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10"/>
          </w:tcPr>
          <w:p>
            <w:pPr>
              <w:spacing w:after="0"/>
              <w:rPr>
                <w:sz w:val="14"/>
                <w:szCs w:val="14"/>
                <w:color w:val="auto"/>
              </w:rPr>
            </w:pPr>
          </w:p>
        </w:tc>
        <w:tc>
          <w:tcPr>
            <w:tcW w:w="18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Borders>
              <w:top w:val="single" w:sz="8" w:color="0000FF"/>
            </w:tcBorders>
            <w:gridSpan w:val="4"/>
          </w:tcPr>
          <w:p>
            <w:pPr>
              <w:spacing w:after="0" w:line="169" w:lineRule="exact"/>
              <w:rPr>
                <w:rFonts w:ascii="Arial" w:cs="Arial" w:eastAsia="Arial" w:hAnsi="Arial"/>
                <w:sz w:val="18"/>
                <w:szCs w:val="18"/>
                <w:color w:val="0000FF"/>
                <w:w w:val="97"/>
              </w:rPr>
            </w:pPr>
            <w:hyperlink w:anchor="page162">
              <w:r>
                <w:rPr>
                  <w:rFonts w:ascii="Arial" w:cs="Arial" w:eastAsia="Arial" w:hAnsi="Arial"/>
                  <w:sz w:val="18"/>
                  <w:szCs w:val="18"/>
                  <w:color w:val="0000FF"/>
                  <w:w w:val="97"/>
                </w:rPr>
                <w:t>Form of Non-Statutory Stock Option</w:t>
              </w:r>
            </w:hyperlink>
          </w:p>
        </w:tc>
        <w:tc>
          <w:tcPr>
            <w:tcW w:w="20" w:type="dxa"/>
            <w:vAlign w:val="bottom"/>
            <w:tcBorders>
              <w:top w:val="single" w:sz="8" w:color="0000EE"/>
            </w:tcBorders>
          </w:tcPr>
          <w:p>
            <w:pPr>
              <w:spacing w:after="0"/>
              <w:rPr>
                <w:sz w:val="14"/>
                <w:szCs w:val="14"/>
                <w:color w:val="auto"/>
              </w:rPr>
            </w:pPr>
          </w:p>
        </w:tc>
        <w:tc>
          <w:tcPr>
            <w:tcW w:w="7340" w:type="dxa"/>
            <w:vAlign w:val="bottom"/>
            <w:gridSpan w:val="44"/>
          </w:tcPr>
          <w:p>
            <w:pPr>
              <w:spacing w:after="0" w:line="169" w:lineRule="exact"/>
              <w:rPr>
                <w:rFonts w:ascii="Arial" w:cs="Arial" w:eastAsia="Arial" w:hAnsi="Arial"/>
                <w:sz w:val="18"/>
                <w:szCs w:val="18"/>
                <w:color w:val="0000FF"/>
              </w:rPr>
            </w:pPr>
            <w:hyperlink w:anchor="page162">
              <w:r>
                <w:rPr>
                  <w:rFonts w:ascii="Arial" w:cs="Arial" w:eastAsia="Arial" w:hAnsi="Arial"/>
                  <w:sz w:val="18"/>
                  <w:szCs w:val="18"/>
                  <w:color w:val="0000FF"/>
                </w:rPr>
                <w:t>Agreement under 2022 Inducement Stock Incentive Plan.</w:t>
              </w:r>
            </w:hyperlink>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20" w:type="dxa"/>
            <w:vAlign w:val="bottom"/>
            <w:tcBorders>
              <w:top w:val="single" w:sz="8" w:color="0000FF"/>
            </w:tcBorders>
            <w:gridSpan w:val="17"/>
          </w:tcPr>
          <w:p>
            <w:pPr>
              <w:spacing w:after="0" w:line="169" w:lineRule="exact"/>
              <w:rPr>
                <w:rFonts w:ascii="Arial" w:cs="Arial" w:eastAsia="Arial" w:hAnsi="Arial"/>
                <w:sz w:val="18"/>
                <w:szCs w:val="18"/>
                <w:color w:val="0000FF"/>
                <w:w w:val="97"/>
              </w:rPr>
            </w:pPr>
            <w:hyperlink w:anchor="page167">
              <w:r>
                <w:rPr>
                  <w:rFonts w:ascii="Arial" w:cs="Arial" w:eastAsia="Arial" w:hAnsi="Arial"/>
                  <w:sz w:val="18"/>
                  <w:szCs w:val="18"/>
                  <w:color w:val="0000FF"/>
                  <w:w w:val="97"/>
                </w:rPr>
                <w:t>Form of Restricted Stock Unit Agreement under 2022 Inducement Stock Incentive Plan.</w:t>
              </w:r>
            </w:hyperlink>
          </w:p>
        </w:tc>
        <w:tc>
          <w:tcPr>
            <w:tcW w:w="1900" w:type="dxa"/>
            <w:vAlign w:val="bottom"/>
            <w:gridSpan w:val="7"/>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10"/>
          </w:tcPr>
          <w:p>
            <w:pPr>
              <w:spacing w:after="0"/>
              <w:rPr>
                <w:sz w:val="14"/>
                <w:szCs w:val="14"/>
                <w:color w:val="auto"/>
              </w:rPr>
            </w:pPr>
          </w:p>
        </w:tc>
        <w:tc>
          <w:tcPr>
            <w:tcW w:w="18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72">
              <w:r>
                <w:rPr>
                  <w:rFonts w:ascii="Arial" w:cs="Arial" w:eastAsia="Arial" w:hAnsi="Arial"/>
                  <w:sz w:val="18"/>
                  <w:szCs w:val="18"/>
                  <w:color w:val="0000FF"/>
                </w:rPr>
                <w:t>Summary of Non-Employee Director Compensation Program.</w:t>
              </w:r>
            </w:hyperlink>
          </w:p>
        </w:tc>
        <w:tc>
          <w:tcPr>
            <w:tcW w:w="2380" w:type="dxa"/>
            <w:vAlign w:val="bottom"/>
            <w:gridSpan w:val="10"/>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10"/>
          </w:tcPr>
          <w:p>
            <w:pPr>
              <w:spacing w:after="0"/>
              <w:rPr>
                <w:sz w:val="14"/>
                <w:szCs w:val="14"/>
                <w:color w:val="auto"/>
              </w:rPr>
            </w:pPr>
          </w:p>
        </w:tc>
        <w:tc>
          <w:tcPr>
            <w:tcW w:w="18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120"/>
              <w:spacing w:after="0" w:line="189"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Borders>
              <w:right w:val="single" w:sz="8" w:color="0000EE"/>
            </w:tcBorders>
            <w:gridSpan w:val="8"/>
            <w:shd w:val="clear" w:color="auto" w:fill="0000FF"/>
          </w:tcPr>
          <w:p>
            <w:pPr>
              <w:spacing w:after="0" w:line="20" w:lineRule="exact"/>
              <w:rPr>
                <w:sz w:val="1"/>
                <w:szCs w:val="1"/>
                <w:color w:val="auto"/>
              </w:rPr>
            </w:pPr>
          </w:p>
        </w:tc>
        <w:tc>
          <w:tcPr>
            <w:tcW w:w="424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49"/>
          </w:tcPr>
          <w:p>
            <w:pPr>
              <w:spacing w:after="0" w:line="169" w:lineRule="exact"/>
              <w:rPr>
                <w:rFonts w:ascii="Arial" w:cs="Arial" w:eastAsia="Arial" w:hAnsi="Arial"/>
                <w:sz w:val="18"/>
                <w:szCs w:val="18"/>
                <w:color w:val="0000FF"/>
                <w:w w:val="94"/>
              </w:rPr>
            </w:pPr>
            <w:hyperlink r:id="rId338">
              <w:r>
                <w:rPr>
                  <w:rFonts w:ascii="Arial" w:cs="Arial" w:eastAsia="Arial" w:hAnsi="Arial"/>
                  <w:sz w:val="18"/>
                  <w:szCs w:val="18"/>
                  <w:color w:val="0000FF"/>
                  <w:w w:val="94"/>
                </w:rPr>
                <w:t>Form of Employment Agreement for Executive Officers (incorporated by reference to Exhibit 10.12 to Amendment No. 1 to Registrant’s</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6"/>
          </w:tcPr>
          <w:p>
            <w:pPr>
              <w:spacing w:after="0" w:line="156" w:lineRule="exact"/>
              <w:rPr>
                <w:rFonts w:ascii="Arial" w:cs="Arial" w:eastAsia="Arial" w:hAnsi="Arial"/>
                <w:sz w:val="18"/>
                <w:szCs w:val="18"/>
                <w:color w:val="0000FF"/>
                <w:w w:val="96"/>
              </w:rPr>
            </w:pPr>
            <w:hyperlink r:id="rId338">
              <w:r>
                <w:rPr>
                  <w:rFonts w:ascii="Arial" w:cs="Arial" w:eastAsia="Arial" w:hAnsi="Arial"/>
                  <w:sz w:val="18"/>
                  <w:szCs w:val="18"/>
                  <w:color w:val="0000FF"/>
                  <w:w w:val="96"/>
                </w:rPr>
                <w:t>Registration Statement on Form S-1 (File No. 333-232260) filed with the Securities and Exchange Commission on July 8, 2019).</w:t>
              </w:r>
            </w:hyperlink>
          </w:p>
        </w:tc>
        <w:tc>
          <w:tcPr>
            <w:tcW w:w="18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120"/>
              <w:spacing w:after="0" w:line="169"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25"/>
          </w:tcPr>
          <w:p>
            <w:pPr>
              <w:spacing w:after="0" w:line="169" w:lineRule="exact"/>
              <w:rPr>
                <w:rFonts w:ascii="Arial" w:cs="Arial" w:eastAsia="Arial" w:hAnsi="Arial"/>
                <w:sz w:val="18"/>
                <w:szCs w:val="18"/>
                <w:color w:val="0000FF"/>
                <w:w w:val="90"/>
              </w:rPr>
            </w:pPr>
            <w:hyperlink r:id="rId339">
              <w:r>
                <w:rPr>
                  <w:rFonts w:ascii="Arial" w:cs="Arial" w:eastAsia="Arial" w:hAnsi="Arial"/>
                  <w:sz w:val="18"/>
                  <w:szCs w:val="18"/>
                  <w:color w:val="0000FF"/>
                  <w:w w:val="90"/>
                </w:rPr>
                <w:t>Consulting Agreement, dated March 31, 2021, by and between the Registrant and Robert J. Gould (incorporated by reference to</w:t>
              </w:r>
            </w:hyperlink>
          </w:p>
        </w:tc>
        <w:tc>
          <w:tcPr>
            <w:tcW w:w="20" w:type="dxa"/>
            <w:vAlign w:val="bottom"/>
            <w:tcBorders>
              <w:top w:val="single" w:sz="8" w:color="0000EE"/>
            </w:tcBorders>
          </w:tcPr>
          <w:p>
            <w:pPr>
              <w:spacing w:after="0"/>
              <w:rPr>
                <w:sz w:val="14"/>
                <w:szCs w:val="14"/>
                <w:color w:val="auto"/>
              </w:rPr>
            </w:pPr>
          </w:p>
        </w:tc>
        <w:tc>
          <w:tcPr>
            <w:tcW w:w="880" w:type="dxa"/>
            <w:vAlign w:val="bottom"/>
            <w:gridSpan w:val="23"/>
          </w:tcPr>
          <w:p>
            <w:pPr>
              <w:spacing w:after="0" w:line="169" w:lineRule="exact"/>
              <w:rPr>
                <w:rFonts w:ascii="Arial" w:cs="Arial" w:eastAsia="Arial" w:hAnsi="Arial"/>
                <w:sz w:val="18"/>
                <w:szCs w:val="18"/>
                <w:color w:val="0000FF"/>
                <w:w w:val="91"/>
              </w:rPr>
            </w:pPr>
            <w:hyperlink r:id="rId339">
              <w:r>
                <w:rPr>
                  <w:rFonts w:ascii="Arial" w:cs="Arial" w:eastAsia="Arial" w:hAnsi="Arial"/>
                  <w:sz w:val="18"/>
                  <w:szCs w:val="18"/>
                  <w:color w:val="0000FF"/>
                  <w:w w:val="91"/>
                </w:rPr>
                <w:t>Exhibit 10.3</w:t>
              </w:r>
            </w:hyperlink>
          </w:p>
        </w:tc>
        <w:tc>
          <w:tcPr>
            <w:tcW w:w="0" w:type="dxa"/>
            <w:vAlign w:val="bottom"/>
          </w:tcPr>
          <w:p>
            <w:pPr>
              <w:spacing w:after="0"/>
              <w:rPr>
                <w:sz w:val="1"/>
                <w:szCs w:val="1"/>
                <w:color w:val="auto"/>
              </w:rPr>
            </w:pPr>
          </w:p>
        </w:tc>
      </w:tr>
      <w:tr>
        <w:trPr>
          <w:trHeight w:val="155"/>
        </w:trPr>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48"/>
          </w:tcPr>
          <w:p>
            <w:pPr>
              <w:spacing w:after="0" w:line="156" w:lineRule="exact"/>
              <w:rPr>
                <w:rFonts w:ascii="Arial" w:cs="Arial" w:eastAsia="Arial" w:hAnsi="Arial"/>
                <w:sz w:val="18"/>
                <w:szCs w:val="18"/>
                <w:color w:val="0000FF"/>
              </w:rPr>
            </w:pPr>
            <w:hyperlink r:id="rId339">
              <w:r>
                <w:rPr>
                  <w:rFonts w:ascii="Arial" w:cs="Arial" w:eastAsia="Arial" w:hAnsi="Arial"/>
                  <w:sz w:val="18"/>
                  <w:szCs w:val="18"/>
                  <w:color w:val="0000FF"/>
                </w:rPr>
                <w:t>to the Registrant’s Quarterly Report on Form 10-Q filed with the Securities and Exchange Commission on May 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20" w:type="dxa"/>
            <w:vAlign w:val="bottom"/>
            <w:tcBorders>
              <w:right w:val="single" w:sz="8" w:color="0000EE"/>
            </w:tcBorders>
            <w:gridSpan w:val="24"/>
            <w:shd w:val="clear" w:color="auto" w:fill="0000FF"/>
          </w:tcPr>
          <w:p>
            <w:pPr>
              <w:spacing w:after="0" w:line="20" w:lineRule="exact"/>
              <w:rPr>
                <w:sz w:val="1"/>
                <w:szCs w:val="1"/>
                <w:color w:val="auto"/>
              </w:rPr>
            </w:pPr>
          </w:p>
        </w:tc>
        <w:tc>
          <w:tcPr>
            <w:tcW w:w="1360" w:type="dxa"/>
            <w:vAlign w:val="bottom"/>
            <w:gridSpan w:val="2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49"/>
          </w:tcPr>
          <w:p>
            <w:pPr>
              <w:spacing w:after="0" w:line="169" w:lineRule="exact"/>
              <w:rPr>
                <w:rFonts w:ascii="Arial" w:cs="Arial" w:eastAsia="Arial" w:hAnsi="Arial"/>
                <w:sz w:val="18"/>
                <w:szCs w:val="18"/>
                <w:color w:val="0000FF"/>
                <w:w w:val="91"/>
              </w:rPr>
            </w:pPr>
            <w:hyperlink r:id="rId340">
              <w:r>
                <w:rPr>
                  <w:rFonts w:ascii="Arial" w:cs="Arial" w:eastAsia="Arial" w:hAnsi="Arial"/>
                  <w:sz w:val="18"/>
                  <w:szCs w:val="18"/>
                  <w:color w:val="0000FF"/>
                  <w:w w:val="91"/>
                </w:rPr>
                <w:t>Employment Agreement, dated March 31, 2021, by and between the Registrant and Bryan Stuart (incorporated by reference to Exhibit 10.4</w:t>
              </w:r>
            </w:hyperlink>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r:id="rId340">
              <w:r>
                <w:rPr>
                  <w:rFonts w:ascii="Arial" w:cs="Arial" w:eastAsia="Arial" w:hAnsi="Arial"/>
                  <w:sz w:val="18"/>
                  <w:szCs w:val="18"/>
                  <w:color w:val="0000FF"/>
                </w:rPr>
                <w:t>to the Registrant’s Quarterly Report on Form 10-Q filed with the Securities and Exchange Commission on May 6, 2021).</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527"/>
        </w:trPr>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-5331460</wp:posOffset>
            </wp:positionV>
            <wp:extent cx="7157720" cy="53447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7157720" cy="534479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080" w:type="dxa"/>
            <w:vAlign w:val="bottom"/>
          </w:tcPr>
          <w:p>
            <w:pPr>
              <w:ind w:left="120"/>
              <w:spacing w:after="0"/>
              <w:rPr>
                <w:sz w:val="20"/>
                <w:szCs w:val="20"/>
                <w:color w:val="auto"/>
              </w:rPr>
            </w:pPr>
            <w:r>
              <w:rPr>
                <w:rFonts w:ascii="Arial" w:cs="Arial" w:eastAsia="Arial" w:hAnsi="Arial"/>
                <w:sz w:val="18"/>
                <w:szCs w:val="18"/>
                <w:color w:val="auto"/>
              </w:rPr>
              <w:t>10.19#</w:t>
            </w:r>
          </w:p>
        </w:tc>
        <w:tc>
          <w:tcPr>
            <w:tcW w:w="10240" w:type="dxa"/>
            <w:vAlign w:val="bottom"/>
            <w:gridSpan w:val="56"/>
          </w:tcPr>
          <w:p>
            <w:pPr>
              <w:spacing w:after="0"/>
              <w:rPr>
                <w:rFonts w:ascii="Arial" w:cs="Arial" w:eastAsia="Arial" w:hAnsi="Arial"/>
                <w:sz w:val="18"/>
                <w:szCs w:val="18"/>
                <w:color w:val="0000FF"/>
                <w:w w:val="92"/>
              </w:rPr>
            </w:pPr>
            <w:hyperlink r:id="rId342">
              <w:r>
                <w:rPr>
                  <w:rFonts w:ascii="Arial" w:cs="Arial" w:eastAsia="Arial" w:hAnsi="Arial"/>
                  <w:sz w:val="18"/>
                  <w:szCs w:val="18"/>
                  <w:color w:val="0000FF"/>
                  <w:w w:val="92"/>
                </w:rPr>
                <w:t>Employment Agreement, dated October 29, 2020, by and between the Registrant and Curtis Oltmans (incorporated by reference to Exhibit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1"/>
              </w:rPr>
            </w:pPr>
            <w:hyperlink r:id="rId34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16</w:t>
              </w:r>
              <w:r>
                <w:rPr>
                  <w:rFonts w:ascii="Arial" w:cs="Arial" w:eastAsia="Arial" w:hAnsi="Arial"/>
                  <w:sz w:val="18"/>
                  <w:szCs w:val="18"/>
                  <w:color w:val="0000FF"/>
                  <w:w w:val="91"/>
                </w:rPr>
                <w:t xml:space="preserve"> to the Registrant’s Annual Report on Form 10-K filed with the Securities and Exchange Commission on March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10.20#</w:t>
            </w:r>
          </w:p>
        </w:tc>
        <w:tc>
          <w:tcPr>
            <w:tcW w:w="9180" w:type="dxa"/>
            <w:vAlign w:val="bottom"/>
            <w:gridSpan w:val="26"/>
          </w:tcPr>
          <w:p>
            <w:pPr>
              <w:spacing w:after="0" w:line="169" w:lineRule="exact"/>
              <w:rPr>
                <w:rFonts w:ascii="Arial" w:cs="Arial" w:eastAsia="Arial" w:hAnsi="Arial"/>
                <w:sz w:val="18"/>
                <w:szCs w:val="18"/>
                <w:color w:val="0000FF"/>
                <w:w w:val="92"/>
              </w:rPr>
            </w:pPr>
            <w:hyperlink r:id="rId343">
              <w:r>
                <w:rPr>
                  <w:rFonts w:ascii="Arial" w:cs="Arial" w:eastAsia="Arial" w:hAnsi="Arial"/>
                  <w:sz w:val="18"/>
                  <w:szCs w:val="18"/>
                  <w:color w:val="0000FF"/>
                  <w:w w:val="92"/>
                </w:rPr>
                <w:t>Employment Agreement, dated February 6, 2021, by and between the Registrant and Christopher Moxham (incorporated by</w:t>
              </w:r>
            </w:hyperlink>
          </w:p>
        </w:tc>
        <w:tc>
          <w:tcPr>
            <w:tcW w:w="1060" w:type="dxa"/>
            <w:vAlign w:val="bottom"/>
            <w:gridSpan w:val="30"/>
          </w:tcPr>
          <w:p>
            <w:pPr>
              <w:spacing w:after="0" w:line="169" w:lineRule="exact"/>
              <w:rPr>
                <w:rFonts w:ascii="Arial" w:cs="Arial" w:eastAsia="Arial" w:hAnsi="Arial"/>
                <w:sz w:val="18"/>
                <w:szCs w:val="18"/>
                <w:color w:val="0000FF"/>
              </w:rPr>
            </w:pPr>
            <w:hyperlink r:id="rId343">
              <w:r>
                <w:rPr>
                  <w:rFonts w:ascii="Arial" w:cs="Arial" w:eastAsia="Arial" w:hAnsi="Arial"/>
                  <w:sz w:val="18"/>
                  <w:szCs w:val="18"/>
                  <w:color w:val="0000FF"/>
                </w:rPr>
                <w:t>reference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w w:val="91"/>
              </w:rPr>
            </w:pPr>
            <w:hyperlink r:id="rId343">
              <w:r>
                <w:rPr>
                  <w:rFonts w:ascii="Arial" w:cs="Arial" w:eastAsia="Arial" w:hAnsi="Arial"/>
                  <w:sz w:val="18"/>
                  <w:szCs w:val="18"/>
                  <w:color w:val="0000FF"/>
                  <w:w w:val="91"/>
                </w:rPr>
                <w:t>Exhibit 10.1 to the Registrant’s Quarterly Report on Form 10-Q filed with the Securities and Exchange Commission on May 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10.21#</w:t>
            </w:r>
          </w:p>
        </w:tc>
        <w:tc>
          <w:tcPr>
            <w:tcW w:w="9680" w:type="dxa"/>
            <w:vAlign w:val="bottom"/>
            <w:tcBorders>
              <w:bottom w:val="single" w:sz="8" w:color="0000FF"/>
            </w:tcBorders>
            <w:gridSpan w:val="35"/>
          </w:tcPr>
          <w:p>
            <w:pPr>
              <w:spacing w:after="0" w:line="169" w:lineRule="exact"/>
              <w:rPr>
                <w:rFonts w:ascii="Arial" w:cs="Arial" w:eastAsia="Arial" w:hAnsi="Arial"/>
                <w:sz w:val="18"/>
                <w:szCs w:val="18"/>
                <w:color w:val="0000FF"/>
                <w:w w:val="89"/>
              </w:rPr>
            </w:pPr>
            <w:hyperlink r:id="rId344">
              <w:r>
                <w:rPr>
                  <w:rFonts w:ascii="Arial" w:cs="Arial" w:eastAsia="Arial" w:hAnsi="Arial"/>
                  <w:sz w:val="18"/>
                  <w:szCs w:val="18"/>
                  <w:color w:val="0000FF"/>
                  <w:w w:val="89"/>
                </w:rPr>
                <w:t>Employment Agreement, dated February 6, 2021, by and between the Registrant and Judith Dunn (incorporated by reference to Exhibit</w:t>
              </w:r>
            </w:hyperlink>
          </w:p>
        </w:tc>
        <w:tc>
          <w:tcPr>
            <w:tcW w:w="540" w:type="dxa"/>
            <w:vAlign w:val="bottom"/>
            <w:tcBorders>
              <w:bottom w:val="single" w:sz="8" w:color="0000FF"/>
            </w:tcBorders>
            <w:gridSpan w:val="20"/>
          </w:tcPr>
          <w:p>
            <w:pPr>
              <w:jc w:val="right"/>
              <w:ind w:right="100"/>
              <w:spacing w:after="0" w:line="169" w:lineRule="exact"/>
              <w:rPr>
                <w:rFonts w:ascii="Arial" w:cs="Arial" w:eastAsia="Arial" w:hAnsi="Arial"/>
                <w:sz w:val="18"/>
                <w:szCs w:val="18"/>
                <w:color w:val="0000FF"/>
              </w:rPr>
            </w:pPr>
            <w:hyperlink r:id="rId344">
              <w:r>
                <w:rPr>
                  <w:rFonts w:ascii="Arial" w:cs="Arial" w:eastAsia="Arial" w:hAnsi="Arial"/>
                  <w:sz w:val="18"/>
                  <w:szCs w:val="18"/>
                  <w:color w:val="0000FF"/>
                </w:rPr>
                <w:t>10.2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220" w:type="dxa"/>
            <w:vAlign w:val="bottom"/>
            <w:gridSpan w:val="55"/>
          </w:tcPr>
          <w:p>
            <w:pPr>
              <w:spacing w:after="0" w:line="156" w:lineRule="exact"/>
              <w:rPr>
                <w:rFonts w:ascii="Arial" w:cs="Arial" w:eastAsia="Arial" w:hAnsi="Arial"/>
                <w:sz w:val="18"/>
                <w:szCs w:val="18"/>
                <w:color w:val="0000FF"/>
              </w:rPr>
            </w:pPr>
            <w:hyperlink r:id="rId344">
              <w:r>
                <w:rPr>
                  <w:rFonts w:ascii="Arial" w:cs="Arial" w:eastAsia="Arial" w:hAnsi="Arial"/>
                  <w:sz w:val="18"/>
                  <w:szCs w:val="18"/>
                  <w:color w:val="0000FF"/>
                </w:rPr>
                <w:t>to the Registrant’s Quarterly Report on Form 10-Q filed with the Securities and Exchange Commission on May 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10.22#</w:t>
            </w:r>
          </w:p>
        </w:tc>
        <w:tc>
          <w:tcPr>
            <w:tcW w:w="8720" w:type="dxa"/>
            <w:vAlign w:val="bottom"/>
            <w:tcBorders>
              <w:top w:val="single" w:sz="8" w:color="0000FF"/>
              <w:bottom w:val="single" w:sz="8" w:color="0000FF"/>
            </w:tcBorders>
            <w:gridSpan w:val="23"/>
          </w:tcPr>
          <w:p>
            <w:pPr>
              <w:spacing w:after="0" w:line="169" w:lineRule="exact"/>
              <w:rPr>
                <w:rFonts w:ascii="Arial" w:cs="Arial" w:eastAsia="Arial" w:hAnsi="Arial"/>
                <w:sz w:val="18"/>
                <w:szCs w:val="18"/>
                <w:color w:val="0000FF"/>
                <w:w w:val="90"/>
              </w:rPr>
            </w:pPr>
            <w:hyperlink r:id="rId345">
              <w:r>
                <w:rPr>
                  <w:rFonts w:ascii="Arial" w:cs="Arial" w:eastAsia="Arial" w:hAnsi="Arial"/>
                  <w:sz w:val="18"/>
                  <w:szCs w:val="18"/>
                  <w:color w:val="0000FF"/>
                  <w:w w:val="90"/>
                </w:rPr>
                <w:t>Employment Agreement, dated May 10, 2021, by and between the Registrant and Christopher Morabito (incorporated by</w:t>
              </w:r>
            </w:hyperlink>
          </w:p>
        </w:tc>
        <w:tc>
          <w:tcPr>
            <w:tcW w:w="20" w:type="dxa"/>
            <w:vAlign w:val="bottom"/>
            <w:tcBorders>
              <w:top w:val="single" w:sz="8" w:color="0000EE"/>
              <w:bottom w:val="single" w:sz="8" w:color="0000FF"/>
            </w:tcBorders>
          </w:tcPr>
          <w:p>
            <w:pPr>
              <w:spacing w:after="0"/>
              <w:rPr>
                <w:sz w:val="14"/>
                <w:szCs w:val="14"/>
                <w:color w:val="auto"/>
              </w:rPr>
            </w:pPr>
          </w:p>
        </w:tc>
        <w:tc>
          <w:tcPr>
            <w:tcW w:w="980" w:type="dxa"/>
            <w:vAlign w:val="bottom"/>
            <w:tcBorders>
              <w:bottom w:val="single" w:sz="8" w:color="0000FF"/>
            </w:tcBorders>
            <w:gridSpan w:val="13"/>
          </w:tcPr>
          <w:p>
            <w:pPr>
              <w:ind w:left="40"/>
              <w:spacing w:after="0" w:line="169" w:lineRule="exact"/>
              <w:rPr>
                <w:rFonts w:ascii="Arial" w:cs="Arial" w:eastAsia="Arial" w:hAnsi="Arial"/>
                <w:sz w:val="18"/>
                <w:szCs w:val="18"/>
                <w:color w:val="0000FF"/>
                <w:w w:val="95"/>
              </w:rPr>
            </w:pPr>
            <w:hyperlink r:id="rId345">
              <w:r>
                <w:rPr>
                  <w:rFonts w:ascii="Arial" w:cs="Arial" w:eastAsia="Arial" w:hAnsi="Arial"/>
                  <w:sz w:val="18"/>
                  <w:szCs w:val="18"/>
                  <w:color w:val="0000FF"/>
                  <w:w w:val="95"/>
                </w:rPr>
                <w:t>reference to</w:t>
              </w:r>
            </w:hyperlink>
          </w:p>
        </w:tc>
        <w:tc>
          <w:tcPr>
            <w:tcW w:w="52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10.23*#</w:t>
            </w:r>
          </w:p>
        </w:tc>
        <w:tc>
          <w:tcPr>
            <w:tcW w:w="10240" w:type="dxa"/>
            <w:vAlign w:val="bottom"/>
            <w:gridSpan w:val="56"/>
          </w:tcPr>
          <w:p>
            <w:pPr>
              <w:spacing w:after="0" w:line="156" w:lineRule="exact"/>
              <w:rPr>
                <w:rFonts w:ascii="Arial" w:cs="Arial" w:eastAsia="Arial" w:hAnsi="Arial"/>
                <w:sz w:val="18"/>
                <w:szCs w:val="18"/>
                <w:color w:val="0000FF"/>
                <w:w w:val="94"/>
              </w:rPr>
            </w:pPr>
            <w:hyperlink r:id="rId345">
              <w:r>
                <w:rPr>
                  <w:rFonts w:ascii="Arial" w:cs="Arial" w:eastAsia="Arial" w:hAnsi="Arial"/>
                  <w:sz w:val="18"/>
                  <w:szCs w:val="18"/>
                  <w:color w:val="0000FF"/>
                  <w:w w:val="94"/>
                </w:rPr>
                <w:t>Exhibit 10.1 to the Registrant’s Quarterly Report on Form 10-Q filed with the Securities and Exchange Commission on August 10, 2021).</w:t>
              </w:r>
            </w:hyperlink>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726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89"/>
              </w:rPr>
            </w:pPr>
            <w:hyperlink w:anchor="page174">
              <w:r>
                <w:rPr>
                  <w:rFonts w:ascii="Arial" w:cs="Arial" w:eastAsia="Arial" w:hAnsi="Arial"/>
                  <w:sz w:val="18"/>
                  <w:szCs w:val="18"/>
                  <w:color w:val="0000FF"/>
                  <w:w w:val="89"/>
                </w:rPr>
                <w:t>Employment Agreement, dated January 3, 2022, by and between the Registrant and Esther Rajavelu.</w:t>
              </w:r>
            </w:hyperlink>
          </w:p>
        </w:tc>
        <w:tc>
          <w:tcPr>
            <w:tcW w:w="20" w:type="dxa"/>
            <w:vAlign w:val="bottom"/>
            <w:tcBorders>
              <w:top w:val="single" w:sz="8" w:color="0000FF"/>
              <w:bottom w:val="single" w:sz="8" w:color="0000EE"/>
            </w:tcBorders>
          </w:tcPr>
          <w:p>
            <w:pPr>
              <w:spacing w:after="0"/>
              <w:rPr>
                <w:sz w:val="14"/>
                <w:szCs w:val="14"/>
                <w:color w:val="auto"/>
              </w:rPr>
            </w:pPr>
          </w:p>
        </w:tc>
        <w:tc>
          <w:tcPr>
            <w:tcW w:w="26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10.24#</w:t>
            </w:r>
          </w:p>
        </w:tc>
        <w:tc>
          <w:tcPr>
            <w:tcW w:w="7280" w:type="dxa"/>
            <w:vAlign w:val="bottom"/>
            <w:gridSpan w:val="22"/>
          </w:tcPr>
          <w:p>
            <w:pPr>
              <w:spacing w:after="0" w:line="169" w:lineRule="exact"/>
              <w:rPr>
                <w:rFonts w:ascii="Arial" w:cs="Arial" w:eastAsia="Arial" w:hAnsi="Arial"/>
                <w:sz w:val="18"/>
                <w:szCs w:val="18"/>
                <w:color w:val="0000FF"/>
                <w:w w:val="93"/>
              </w:rPr>
            </w:pPr>
            <w:hyperlink r:id="rId346">
              <w:r>
                <w:rPr>
                  <w:rFonts w:ascii="Arial" w:cs="Arial" w:eastAsia="Arial" w:hAnsi="Arial"/>
                  <w:sz w:val="18"/>
                  <w:szCs w:val="18"/>
                  <w:color w:val="0000FF"/>
                  <w:w w:val="93"/>
                </w:rPr>
                <w:t>Form of Indemnification Agreement between the Registrant and each of its Executive Officers and</w:t>
              </w:r>
            </w:hyperlink>
          </w:p>
        </w:tc>
        <w:tc>
          <w:tcPr>
            <w:tcW w:w="2960" w:type="dxa"/>
            <w:vAlign w:val="bottom"/>
            <w:gridSpan w:val="34"/>
          </w:tcPr>
          <w:p>
            <w:pPr>
              <w:spacing w:after="0" w:line="169" w:lineRule="exact"/>
              <w:rPr>
                <w:rFonts w:ascii="Arial" w:cs="Arial" w:eastAsia="Arial" w:hAnsi="Arial"/>
                <w:sz w:val="18"/>
                <w:szCs w:val="18"/>
                <w:color w:val="0000FF"/>
                <w:w w:val="95"/>
              </w:rPr>
            </w:pPr>
            <w:hyperlink r:id="rId346">
              <w:r>
                <w:rPr>
                  <w:rFonts w:ascii="Arial" w:cs="Arial" w:eastAsia="Arial" w:hAnsi="Arial"/>
                  <w:sz w:val="18"/>
                  <w:szCs w:val="18"/>
                  <w:color w:val="0000FF"/>
                  <w:w w:val="95"/>
                </w:rPr>
                <w:t>Directors (incorporated by reference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20" w:type="dxa"/>
            <w:vAlign w:val="bottom"/>
            <w:tcBorders>
              <w:top w:val="single" w:sz="8" w:color="0000FF"/>
            </w:tcBorders>
            <w:gridSpan w:val="45"/>
          </w:tcPr>
          <w:p>
            <w:pPr>
              <w:spacing w:after="0" w:line="156" w:lineRule="exact"/>
              <w:rPr>
                <w:rFonts w:ascii="Arial" w:cs="Arial" w:eastAsia="Arial" w:hAnsi="Arial"/>
                <w:sz w:val="18"/>
                <w:szCs w:val="18"/>
                <w:color w:val="0000FF"/>
                <w:w w:val="99"/>
              </w:rPr>
            </w:pPr>
            <w:hyperlink r:id="rId346">
              <w:r>
                <w:rPr>
                  <w:rFonts w:ascii="Arial" w:cs="Arial" w:eastAsia="Arial" w:hAnsi="Arial"/>
                  <w:sz w:val="18"/>
                  <w:szCs w:val="18"/>
                  <w:color w:val="0000FF"/>
                  <w:w w:val="99"/>
                </w:rPr>
                <w:t>Exhibit 10.15 to Registrant’s Registration Statement on Form S-1 (File No. 333-232260) filed with the Securities and Exchange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346">
              <w:r>
                <w:rPr>
                  <w:rFonts w:ascii="Arial" w:cs="Arial" w:eastAsia="Arial" w:hAnsi="Arial"/>
                  <w:sz w:val="18"/>
                  <w:szCs w:val="18"/>
                  <w:color w:val="0000FF"/>
                </w:rPr>
                <w:t>Commission on June 21, 2019).</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10.25</w:t>
            </w:r>
            <w:r>
              <w:rPr>
                <w:rFonts w:ascii="Arial" w:cs="Arial" w:eastAsia="Arial" w:hAnsi="Arial"/>
                <w:sz w:val="14"/>
                <w:szCs w:val="14"/>
                <w:color w:val="auto"/>
              </w:rPr>
              <w:t>†</w:t>
            </w:r>
          </w:p>
        </w:tc>
        <w:tc>
          <w:tcPr>
            <w:tcW w:w="23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0"/>
              </w:rPr>
            </w:pPr>
            <w:hyperlink r:id="rId347">
              <w:r>
                <w:rPr>
                  <w:rFonts w:ascii="Arial" w:cs="Arial" w:eastAsia="Arial" w:hAnsi="Arial"/>
                  <w:sz w:val="18"/>
                  <w:szCs w:val="18"/>
                  <w:color w:val="0000FF"/>
                  <w:w w:val="90"/>
                </w:rPr>
                <w:t>Right of Reference and License</w:t>
              </w:r>
            </w:hyperlink>
          </w:p>
        </w:tc>
        <w:tc>
          <w:tcPr>
            <w:tcW w:w="7420" w:type="dxa"/>
            <w:vAlign w:val="bottom"/>
            <w:tcBorders>
              <w:bottom w:val="single" w:sz="8" w:color="0000FF"/>
            </w:tcBorders>
            <w:gridSpan w:val="29"/>
          </w:tcPr>
          <w:p>
            <w:pPr>
              <w:ind w:left="40"/>
              <w:spacing w:after="0" w:line="169" w:lineRule="exact"/>
              <w:rPr>
                <w:rFonts w:ascii="Arial" w:cs="Arial" w:eastAsia="Arial" w:hAnsi="Arial"/>
                <w:sz w:val="18"/>
                <w:szCs w:val="18"/>
                <w:color w:val="0000FF"/>
                <w:w w:val="91"/>
              </w:rPr>
            </w:pPr>
            <w:hyperlink r:id="rId347">
              <w:r>
                <w:rPr>
                  <w:rFonts w:ascii="Arial" w:cs="Arial" w:eastAsia="Arial" w:hAnsi="Arial"/>
                  <w:sz w:val="18"/>
                  <w:szCs w:val="18"/>
                  <w:color w:val="0000FF"/>
                  <w:w w:val="91"/>
                </w:rPr>
                <w:t>Agreement, dated as of February 8, 2019, by and among the Registrant, GlaxoSmithKline Intellectual</w:t>
              </w:r>
            </w:hyperlink>
          </w:p>
        </w:tc>
        <w:tc>
          <w:tcPr>
            <w:tcW w:w="52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240" w:type="dxa"/>
            <w:vAlign w:val="bottom"/>
            <w:gridSpan w:val="56"/>
          </w:tcPr>
          <w:p>
            <w:pPr>
              <w:spacing w:after="0" w:line="156" w:lineRule="exact"/>
              <w:rPr>
                <w:rFonts w:ascii="Arial" w:cs="Arial" w:eastAsia="Arial" w:hAnsi="Arial"/>
                <w:sz w:val="18"/>
                <w:szCs w:val="18"/>
                <w:color w:val="0000FF"/>
                <w:w w:val="95"/>
              </w:rPr>
            </w:pPr>
            <w:hyperlink r:id="rId347">
              <w:r>
                <w:rPr>
                  <w:rFonts w:ascii="Arial" w:cs="Arial" w:eastAsia="Arial" w:hAnsi="Arial"/>
                  <w:sz w:val="18"/>
                  <w:szCs w:val="18"/>
                  <w:color w:val="0000FF"/>
                  <w:w w:val="95"/>
                </w:rPr>
                <w:t>Property (No. 2) Limited, GlaxoSmithKline LLC and Glaxo Group Limited (incorporated by reference to Exhibit 10.10 to the Registrant’s</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10.26</w:t>
            </w:r>
            <w:r>
              <w:rPr>
                <w:rFonts w:ascii="Arial" w:cs="Arial" w:eastAsia="Arial" w:hAnsi="Arial"/>
                <w:sz w:val="14"/>
                <w:szCs w:val="14"/>
                <w:color w:val="auto"/>
              </w:rPr>
              <w:t>†</w:t>
            </w:r>
          </w:p>
        </w:tc>
        <w:tc>
          <w:tcPr>
            <w:tcW w:w="10040" w:type="dxa"/>
            <w:vAlign w:val="bottom"/>
            <w:tcBorders>
              <w:top w:val="single" w:sz="8" w:color="0000FF"/>
            </w:tcBorders>
            <w:gridSpan w:val="46"/>
          </w:tcPr>
          <w:p>
            <w:pPr>
              <w:spacing w:after="0" w:line="156" w:lineRule="exact"/>
              <w:rPr>
                <w:rFonts w:ascii="Arial" w:cs="Arial" w:eastAsia="Arial" w:hAnsi="Arial"/>
                <w:sz w:val="18"/>
                <w:szCs w:val="18"/>
                <w:color w:val="0000FF"/>
                <w:w w:val="96"/>
              </w:rPr>
            </w:pPr>
            <w:hyperlink r:id="rId347">
              <w:r>
                <w:rPr>
                  <w:rFonts w:ascii="Arial" w:cs="Arial" w:eastAsia="Arial" w:hAnsi="Arial"/>
                  <w:sz w:val="18"/>
                  <w:szCs w:val="18"/>
                  <w:color w:val="0000FF"/>
                  <w:w w:val="96"/>
                </w:rPr>
                <w:t>Registration Statement on Form S-1 (File No. 333-232260) filed with the Securities and Exchange Commission on June 21,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9420" w:type="dxa"/>
            <w:vAlign w:val="bottom"/>
            <w:tcBorders>
              <w:top w:val="single" w:sz="8" w:color="0000FF"/>
              <w:bottom w:val="single" w:sz="8" w:color="0000FF"/>
            </w:tcBorders>
            <w:gridSpan w:val="28"/>
          </w:tcPr>
          <w:p>
            <w:pPr>
              <w:spacing w:after="0" w:line="169" w:lineRule="exact"/>
              <w:rPr>
                <w:rFonts w:ascii="Arial" w:cs="Arial" w:eastAsia="Arial" w:hAnsi="Arial"/>
                <w:sz w:val="18"/>
                <w:szCs w:val="18"/>
                <w:color w:val="0000FF"/>
                <w:w w:val="89"/>
              </w:rPr>
            </w:pPr>
            <w:hyperlink r:id="rId348">
              <w:r>
                <w:rPr>
                  <w:rFonts w:ascii="Arial" w:cs="Arial" w:eastAsia="Arial" w:hAnsi="Arial"/>
                  <w:sz w:val="18"/>
                  <w:szCs w:val="18"/>
                  <w:color w:val="0000FF"/>
                  <w:w w:val="89"/>
                </w:rPr>
                <w:t>First Amendment to the Right of Reference and License Agreement, dated as of September 23, 2020, by and among the Registrant,</w:t>
              </w:r>
            </w:hyperlink>
          </w:p>
        </w:tc>
        <w:tc>
          <w:tcPr>
            <w:tcW w:w="20" w:type="dxa"/>
            <w:vAlign w:val="bottom"/>
            <w:tcBorders>
              <w:top w:val="single" w:sz="8" w:color="0000EE"/>
              <w:bottom w:val="single" w:sz="8" w:color="0000FF"/>
            </w:tcBorders>
          </w:tcPr>
          <w:p>
            <w:pPr>
              <w:spacing w:after="0"/>
              <w:rPr>
                <w:sz w:val="14"/>
                <w:szCs w:val="14"/>
                <w:color w:val="auto"/>
              </w:rPr>
            </w:pPr>
          </w:p>
        </w:tc>
        <w:tc>
          <w:tcPr>
            <w:tcW w:w="6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3"/>
            <w:vMerge w:val="restart"/>
          </w:tcPr>
          <w:p>
            <w:pPr>
              <w:spacing w:after="0"/>
              <w:rPr>
                <w:rFonts w:ascii="Arial" w:cs="Arial" w:eastAsia="Arial" w:hAnsi="Arial"/>
                <w:sz w:val="18"/>
                <w:szCs w:val="18"/>
                <w:color w:val="0000FF"/>
              </w:rPr>
            </w:pPr>
            <w:hyperlink r:id="rId348">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9500" w:type="dxa"/>
            <w:vAlign w:val="bottom"/>
            <w:gridSpan w:val="30"/>
          </w:tcPr>
          <w:p>
            <w:pPr>
              <w:spacing w:after="0" w:line="156" w:lineRule="exact"/>
              <w:rPr>
                <w:rFonts w:ascii="Arial" w:cs="Arial" w:eastAsia="Arial" w:hAnsi="Arial"/>
                <w:sz w:val="18"/>
                <w:szCs w:val="18"/>
                <w:color w:val="0000FF"/>
                <w:w w:val="92"/>
              </w:rPr>
            </w:pPr>
            <w:hyperlink r:id="rId348">
              <w:r>
                <w:rPr>
                  <w:rFonts w:ascii="Arial" w:cs="Arial" w:eastAsia="Arial" w:hAnsi="Arial"/>
                  <w:sz w:val="18"/>
                  <w:szCs w:val="18"/>
                  <w:color w:val="0000FF"/>
                  <w:w w:val="92"/>
                </w:rPr>
                <w:t>GlaxoSmithKline Intellectual Property (No. 2) Limited, GlaxoSmithKline LLC and Glaxo Group Limited (incorporated by reference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39"/>
          </w:tcPr>
          <w:p>
            <w:pPr>
              <w:spacing w:after="0" w:line="156" w:lineRule="exact"/>
              <w:rPr>
                <w:rFonts w:ascii="Arial" w:cs="Arial" w:eastAsia="Arial" w:hAnsi="Arial"/>
                <w:sz w:val="18"/>
                <w:szCs w:val="18"/>
                <w:color w:val="0000FF"/>
                <w:w w:val="90"/>
              </w:rPr>
            </w:pPr>
            <w:hyperlink r:id="rId348">
              <w:r>
                <w:rPr>
                  <w:rFonts w:ascii="Arial" w:cs="Arial" w:eastAsia="Arial" w:hAnsi="Arial"/>
                  <w:sz w:val="18"/>
                  <w:szCs w:val="18"/>
                  <w:color w:val="0000FF"/>
                  <w:w w:val="90"/>
                </w:rPr>
                <w:t>Exhibit 10.2 to the Registrant’s Quarterly Report on Form 10-Q (File No. 001-38978) filed with the Securities and Exchange Commission</w:t>
              </w:r>
            </w:hyperlink>
          </w:p>
        </w:tc>
        <w:tc>
          <w:tcPr>
            <w:tcW w:w="6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78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348">
              <w:r>
                <w:rPr>
                  <w:rFonts w:ascii="Arial" w:cs="Arial" w:eastAsia="Arial" w:hAnsi="Arial"/>
                  <w:sz w:val="18"/>
                  <w:szCs w:val="18"/>
                  <w:color w:val="0000FF"/>
                  <w:w w:val="90"/>
                </w:rPr>
                <w:t>on November 10, 2020).</w:t>
              </w:r>
            </w:hyperlink>
          </w:p>
        </w:tc>
        <w:tc>
          <w:tcPr>
            <w:tcW w:w="20" w:type="dxa"/>
            <w:vAlign w:val="bottom"/>
            <w:tcBorders>
              <w:bottom w:val="single" w:sz="8" w:color="0000EE"/>
            </w:tcBorders>
          </w:tcPr>
          <w:p>
            <w:pPr>
              <w:spacing w:after="0"/>
              <w:rPr>
                <w:sz w:val="13"/>
                <w:szCs w:val="13"/>
                <w:color w:val="auto"/>
              </w:rPr>
            </w:pPr>
          </w:p>
        </w:tc>
        <w:tc>
          <w:tcPr>
            <w:tcW w:w="8200" w:type="dxa"/>
            <w:vAlign w:val="bottom"/>
            <w:gridSpan w:val="3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10.27</w:t>
            </w:r>
            <w:r>
              <w:rPr>
                <w:rFonts w:ascii="Arial" w:cs="Arial" w:eastAsia="Arial" w:hAnsi="Arial"/>
                <w:sz w:val="14"/>
                <w:szCs w:val="14"/>
                <w:color w:val="auto"/>
              </w:rPr>
              <w:t>†</w:t>
            </w:r>
          </w:p>
        </w:tc>
        <w:tc>
          <w:tcPr>
            <w:tcW w:w="1800" w:type="dxa"/>
            <w:vAlign w:val="bottom"/>
            <w:gridSpan w:val="6"/>
          </w:tcPr>
          <w:p>
            <w:pPr>
              <w:spacing w:after="0" w:line="169" w:lineRule="exact"/>
              <w:rPr>
                <w:rFonts w:ascii="Arial" w:cs="Arial" w:eastAsia="Arial" w:hAnsi="Arial"/>
                <w:sz w:val="18"/>
                <w:szCs w:val="18"/>
                <w:color w:val="0000FF"/>
                <w:w w:val="85"/>
              </w:rPr>
            </w:pPr>
            <w:hyperlink r:id="rId349">
              <w:r>
                <w:rPr>
                  <w:rFonts w:ascii="Arial" w:cs="Arial" w:eastAsia="Arial" w:hAnsi="Arial"/>
                  <w:sz w:val="18"/>
                  <w:szCs w:val="18"/>
                  <w:color w:val="0000FF"/>
                  <w:w w:val="85"/>
                </w:rPr>
                <w:t>Collaboration and License</w:t>
              </w:r>
            </w:hyperlink>
          </w:p>
        </w:tc>
        <w:tc>
          <w:tcPr>
            <w:tcW w:w="8440" w:type="dxa"/>
            <w:vAlign w:val="bottom"/>
            <w:gridSpan w:val="50"/>
          </w:tcPr>
          <w:p>
            <w:pPr>
              <w:ind w:left="160"/>
              <w:spacing w:after="0" w:line="169" w:lineRule="exact"/>
              <w:rPr>
                <w:rFonts w:ascii="Arial" w:cs="Arial" w:eastAsia="Arial" w:hAnsi="Arial"/>
                <w:sz w:val="18"/>
                <w:szCs w:val="18"/>
                <w:color w:val="0000FF"/>
                <w:w w:val="91"/>
              </w:rPr>
            </w:pPr>
            <w:hyperlink r:id="rId349">
              <w:r>
                <w:rPr>
                  <w:rFonts w:ascii="Arial" w:cs="Arial" w:eastAsia="Arial" w:hAnsi="Arial"/>
                  <w:sz w:val="18"/>
                  <w:szCs w:val="18"/>
                  <w:color w:val="0000FF"/>
                  <w:w w:val="91"/>
                </w:rPr>
                <w:t>Agreement, dated as of December 20, 2019, by and between the Registrant and Acceleron Pharma Inc, a wholly-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140" w:type="dxa"/>
            <w:vAlign w:val="bottom"/>
            <w:tcBorders>
              <w:top w:val="single" w:sz="8" w:color="0000FF"/>
            </w:tcBorders>
            <w:gridSpan w:val="51"/>
          </w:tcPr>
          <w:p>
            <w:pPr>
              <w:spacing w:after="0" w:line="156" w:lineRule="exact"/>
              <w:rPr>
                <w:rFonts w:ascii="Arial" w:cs="Arial" w:eastAsia="Arial" w:hAnsi="Arial"/>
                <w:sz w:val="18"/>
                <w:szCs w:val="18"/>
                <w:color w:val="0000FF"/>
                <w:w w:val="94"/>
              </w:rPr>
            </w:pPr>
            <w:hyperlink r:id="rId349">
              <w:r>
                <w:rPr>
                  <w:rFonts w:ascii="Arial" w:cs="Arial" w:eastAsia="Arial" w:hAnsi="Arial"/>
                  <w:sz w:val="18"/>
                  <w:szCs w:val="18"/>
                  <w:color w:val="0000FF"/>
                  <w:w w:val="94"/>
                </w:rPr>
                <w:t>owned subsidiary of Merck &amp; Co., Inc. (incorporated by reference to Exhibit 10.17 to the Registrant’s Annual Report on Form 10-K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10.28</w:t>
            </w:r>
            <w:r>
              <w:rPr>
                <w:rFonts w:ascii="Arial" w:cs="Arial" w:eastAsia="Arial" w:hAnsi="Arial"/>
                <w:sz w:val="14"/>
                <w:szCs w:val="14"/>
                <w:color w:val="auto"/>
              </w:rPr>
              <w:t>†</w:t>
            </w:r>
          </w:p>
        </w:tc>
        <w:tc>
          <w:tcPr>
            <w:tcW w:w="63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349">
              <w:r>
                <w:rPr>
                  <w:rFonts w:ascii="Arial" w:cs="Arial" w:eastAsia="Arial" w:hAnsi="Arial"/>
                  <w:sz w:val="18"/>
                  <w:szCs w:val="18"/>
                  <w:color w:val="0000FF"/>
                  <w:w w:val="91"/>
                </w:rPr>
                <w:t>No. 001-38978) filed with the Securities and Exchange Commission on March 5,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3580" w:type="dxa"/>
            <w:vAlign w:val="bottom"/>
            <w:tcBorders>
              <w:top w:val="single" w:sz="8" w:color="0000FF"/>
            </w:tcBorders>
            <w:gridSpan w:val="25"/>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0240" w:type="dxa"/>
            <w:vAlign w:val="bottom"/>
            <w:gridSpan w:val="56"/>
          </w:tcPr>
          <w:p>
            <w:pPr>
              <w:spacing w:after="0" w:line="169" w:lineRule="exact"/>
              <w:rPr>
                <w:rFonts w:ascii="Arial" w:cs="Arial" w:eastAsia="Arial" w:hAnsi="Arial"/>
                <w:sz w:val="18"/>
                <w:szCs w:val="18"/>
                <w:color w:val="0000FF"/>
                <w:w w:val="96"/>
              </w:rPr>
            </w:pPr>
            <w:hyperlink r:id="rId350">
              <w:r>
                <w:rPr>
                  <w:rFonts w:ascii="Arial" w:cs="Arial" w:eastAsia="Arial" w:hAnsi="Arial"/>
                  <w:sz w:val="18"/>
                  <w:szCs w:val="18"/>
                  <w:color w:val="0000FF"/>
                  <w:w w:val="96"/>
                </w:rPr>
                <w:t>Collaboration and License Agreement, dated as of July 20, 2020, by and between the Registrant and MyoKardia, Inc, a wholly-owned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9720" w:type="dxa"/>
            <w:vAlign w:val="bottom"/>
            <w:tcBorders>
              <w:top w:val="single" w:sz="8" w:color="0000FF"/>
            </w:tcBorders>
            <w:gridSpan w:val="37"/>
          </w:tcPr>
          <w:p>
            <w:pPr>
              <w:spacing w:after="0" w:line="156" w:lineRule="exact"/>
              <w:rPr>
                <w:rFonts w:ascii="Arial" w:cs="Arial" w:eastAsia="Arial" w:hAnsi="Arial"/>
                <w:sz w:val="18"/>
                <w:szCs w:val="18"/>
                <w:color w:val="0000FF"/>
                <w:w w:val="92"/>
              </w:rPr>
            </w:pPr>
            <w:hyperlink r:id="rId350">
              <w:r>
                <w:rPr>
                  <w:rFonts w:ascii="Arial" w:cs="Arial" w:eastAsia="Arial" w:hAnsi="Arial"/>
                  <w:sz w:val="18"/>
                  <w:szCs w:val="18"/>
                  <w:color w:val="0000FF"/>
                  <w:w w:val="92"/>
                </w:rPr>
                <w:t>subsidiary of Bristol Myers Squibb Company (incorporated by reference to Exhibit 10.1 to the Registrant’s Quarterly Report on Form</w:t>
              </w:r>
            </w:hyperlink>
          </w:p>
        </w:tc>
        <w:tc>
          <w:tcPr>
            <w:tcW w:w="520" w:type="dxa"/>
            <w:vAlign w:val="bottom"/>
            <w:gridSpan w:val="19"/>
          </w:tcPr>
          <w:p>
            <w:pPr>
              <w:spacing w:after="0" w:line="156" w:lineRule="exact"/>
              <w:rPr>
                <w:rFonts w:ascii="Arial" w:cs="Arial" w:eastAsia="Arial" w:hAnsi="Arial"/>
                <w:sz w:val="18"/>
                <w:szCs w:val="18"/>
                <w:color w:val="0000FF"/>
              </w:rPr>
            </w:pPr>
            <w:hyperlink r:id="rId350">
              <w:r>
                <w:rPr>
                  <w:rFonts w:ascii="Arial" w:cs="Arial" w:eastAsia="Arial" w:hAnsi="Arial"/>
                  <w:sz w:val="18"/>
                  <w:szCs w:val="18"/>
                  <w:color w:val="0000FF"/>
                </w:rPr>
                <w:t>10-Q</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180" w:type="dxa"/>
            <w:vAlign w:val="bottom"/>
            <w:tcBorders>
              <w:top w:val="single" w:sz="8" w:color="0000FF"/>
            </w:tcBorders>
            <w:gridSpan w:val="53"/>
          </w:tcPr>
          <w:p>
            <w:pPr>
              <w:spacing w:after="0" w:line="156" w:lineRule="exact"/>
              <w:rPr>
                <w:rFonts w:ascii="Arial" w:cs="Arial" w:eastAsia="Arial" w:hAnsi="Arial"/>
                <w:sz w:val="18"/>
                <w:szCs w:val="18"/>
                <w:color w:val="0000FF"/>
              </w:rPr>
            </w:pPr>
            <w:hyperlink r:id="rId350">
              <w:r>
                <w:rPr>
                  <w:rFonts w:ascii="Arial" w:cs="Arial" w:eastAsia="Arial" w:hAnsi="Arial"/>
                  <w:sz w:val="18"/>
                  <w:szCs w:val="18"/>
                  <w:color w:val="0000FF"/>
                </w:rPr>
                <w:t>(File No. 001-38978) filed with the Securities and Exchange Commission on November 10,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10.29</w:t>
            </w:r>
          </w:p>
        </w:tc>
        <w:tc>
          <w:tcPr>
            <w:tcW w:w="7120" w:type="dxa"/>
            <w:vAlign w:val="bottom"/>
            <w:tcBorders>
              <w:top w:val="single" w:sz="8" w:color="0000FF"/>
            </w:tcBorders>
            <w:gridSpan w:val="19"/>
          </w:tcPr>
          <w:p>
            <w:pPr>
              <w:spacing w:after="0" w:line="169" w:lineRule="exact"/>
              <w:rPr>
                <w:rFonts w:ascii="Arial" w:cs="Arial" w:eastAsia="Arial" w:hAnsi="Arial"/>
                <w:sz w:val="18"/>
                <w:szCs w:val="18"/>
                <w:color w:val="0000FF"/>
                <w:w w:val="87"/>
              </w:rPr>
            </w:pPr>
            <w:hyperlink r:id="rId351">
              <w:r>
                <w:rPr>
                  <w:rFonts w:ascii="Arial" w:cs="Arial" w:eastAsia="Arial" w:hAnsi="Arial"/>
                  <w:sz w:val="18"/>
                  <w:szCs w:val="18"/>
                  <w:color w:val="0000FF"/>
                  <w:w w:val="87"/>
                </w:rPr>
                <w:t>Lease for 26 Landsdowne Street, dated November 22, 2017, by and between the UP 26 Landsdowne,</w:t>
              </w:r>
            </w:hyperlink>
          </w:p>
        </w:tc>
        <w:tc>
          <w:tcPr>
            <w:tcW w:w="20" w:type="dxa"/>
            <w:vAlign w:val="bottom"/>
            <w:tcBorders>
              <w:top w:val="single" w:sz="8" w:color="0000EE"/>
            </w:tcBorders>
          </w:tcPr>
          <w:p>
            <w:pPr>
              <w:spacing w:after="0"/>
              <w:rPr>
                <w:sz w:val="14"/>
                <w:szCs w:val="14"/>
                <w:color w:val="auto"/>
              </w:rPr>
            </w:pPr>
          </w:p>
        </w:tc>
        <w:tc>
          <w:tcPr>
            <w:tcW w:w="3100" w:type="dxa"/>
            <w:vAlign w:val="bottom"/>
            <w:gridSpan w:val="36"/>
          </w:tcPr>
          <w:p>
            <w:pPr>
              <w:ind w:left="200"/>
              <w:spacing w:after="0" w:line="169" w:lineRule="exact"/>
              <w:rPr>
                <w:rFonts w:ascii="Arial" w:cs="Arial" w:eastAsia="Arial" w:hAnsi="Arial"/>
                <w:sz w:val="18"/>
                <w:szCs w:val="18"/>
                <w:color w:val="0000FF"/>
                <w:w w:val="97"/>
              </w:rPr>
            </w:pPr>
            <w:hyperlink r:id="rId351">
              <w:r>
                <w:rPr>
                  <w:rFonts w:ascii="Arial" w:cs="Arial" w:eastAsia="Arial" w:hAnsi="Arial"/>
                  <w:sz w:val="18"/>
                  <w:szCs w:val="18"/>
                  <w:color w:val="0000FF"/>
                  <w:w w:val="97"/>
                </w:rPr>
                <w:t>LLC and the Registrant (incorporated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0160" w:type="dxa"/>
            <w:vAlign w:val="bottom"/>
            <w:tcBorders>
              <w:top w:val="single" w:sz="8" w:color="0000FF"/>
            </w:tcBorders>
            <w:gridSpan w:val="52"/>
          </w:tcPr>
          <w:p>
            <w:pPr>
              <w:spacing w:after="0" w:line="156" w:lineRule="exact"/>
              <w:rPr>
                <w:rFonts w:ascii="Arial" w:cs="Arial" w:eastAsia="Arial" w:hAnsi="Arial"/>
                <w:sz w:val="18"/>
                <w:szCs w:val="18"/>
                <w:color w:val="0000FF"/>
                <w:w w:val="94"/>
              </w:rPr>
            </w:pPr>
            <w:hyperlink r:id="rId351">
              <w:r>
                <w:rPr>
                  <w:rFonts w:ascii="Arial" w:cs="Arial" w:eastAsia="Arial" w:hAnsi="Arial"/>
                  <w:sz w:val="18"/>
                  <w:szCs w:val="18"/>
                  <w:color w:val="0000FF"/>
                  <w:w w:val="94"/>
                </w:rPr>
                <w:t>by reference to Exhibit 10.11 to the Registrant’s Registration Statement on Form S-1 (File No. 333-232260) filed with the Securities and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10.30</w:t>
            </w:r>
          </w:p>
        </w:tc>
        <w:tc>
          <w:tcPr>
            <w:tcW w:w="3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351">
              <w:r>
                <w:rPr>
                  <w:rFonts w:ascii="Arial" w:cs="Arial" w:eastAsia="Arial" w:hAnsi="Arial"/>
                  <w:sz w:val="18"/>
                  <w:szCs w:val="18"/>
                  <w:color w:val="0000FF"/>
                  <w:w w:val="89"/>
                </w:rPr>
                <w:t>Exchange Commission on June 21,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6800" w:type="dxa"/>
            <w:vAlign w:val="bottom"/>
            <w:tcBorders>
              <w:top w:val="single" w:sz="8" w:color="0000FF"/>
            </w:tcBorders>
            <w:gridSpan w:val="29"/>
          </w:tcPr>
          <w:p>
            <w:pPr>
              <w:spacing w:after="0"/>
              <w:rPr>
                <w:sz w:val="13"/>
                <w:szCs w:val="13"/>
                <w:color w:val="auto"/>
              </w:rPr>
            </w:pPr>
          </w:p>
        </w:tc>
        <w:tc>
          <w:tcPr>
            <w:tcW w:w="2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0240" w:type="dxa"/>
            <w:vAlign w:val="bottom"/>
            <w:gridSpan w:val="56"/>
          </w:tcPr>
          <w:p>
            <w:pPr>
              <w:spacing w:after="0" w:line="169" w:lineRule="exact"/>
              <w:rPr>
                <w:rFonts w:ascii="Arial" w:cs="Arial" w:eastAsia="Arial" w:hAnsi="Arial"/>
                <w:sz w:val="18"/>
                <w:szCs w:val="18"/>
                <w:color w:val="0000FF"/>
                <w:w w:val="93"/>
              </w:rPr>
            </w:pPr>
            <w:hyperlink r:id="rId352">
              <w:r>
                <w:rPr>
                  <w:rFonts w:ascii="Arial" w:cs="Arial" w:eastAsia="Arial" w:hAnsi="Arial"/>
                  <w:sz w:val="18"/>
                  <w:szCs w:val="18"/>
                  <w:color w:val="0000FF"/>
                  <w:w w:val="93"/>
                </w:rPr>
                <w:t>Equity Distribution Agreement, dated August 11, 2020, by and between the Registrant and Piper Sandler &amp; Co. (incorporated by reference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9560" w:type="dxa"/>
            <w:vAlign w:val="bottom"/>
            <w:gridSpan w:val="31"/>
          </w:tcPr>
          <w:p>
            <w:pPr>
              <w:spacing w:after="0" w:line="156" w:lineRule="exact"/>
              <w:rPr>
                <w:rFonts w:ascii="Arial" w:cs="Arial" w:eastAsia="Arial" w:hAnsi="Arial"/>
                <w:sz w:val="18"/>
                <w:szCs w:val="18"/>
                <w:color w:val="0000FF"/>
                <w:highlight w:val="white"/>
                <w:w w:val="92"/>
              </w:rPr>
            </w:pPr>
            <w:hyperlink r:id="rId352">
              <w:r>
                <w:rPr>
                  <w:rFonts w:ascii="Arial" w:cs="Arial" w:eastAsia="Arial" w:hAnsi="Arial"/>
                  <w:sz w:val="18"/>
                  <w:szCs w:val="18"/>
                  <w:color w:val="0000FF"/>
                  <w:highlight w:val="white"/>
                  <w:w w:val="92"/>
                </w:rPr>
                <w:t>to Exhibit 1.2 to the Registrant’s Registration Statement on Form S-3 (File No. 333-244136) filed with the Securities and Exchange</w:t>
              </w:r>
            </w:hyperlink>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340" w:type="dxa"/>
            <w:vAlign w:val="bottom"/>
            <w:tcBorders>
              <w:top w:val="single" w:sz="8" w:color="0000FF"/>
            </w:tcBorders>
            <w:gridSpan w:val="10"/>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80" w:type="dxa"/>
            <w:vAlign w:val="bottom"/>
            <w:gridSpan w:val="9"/>
            <w:vMerge w:val="restart"/>
          </w:tcPr>
          <w:p>
            <w:pPr>
              <w:spacing w:after="0" w:line="176" w:lineRule="exact"/>
              <w:rPr>
                <w:rFonts w:ascii="Arial" w:cs="Arial" w:eastAsia="Arial" w:hAnsi="Arial"/>
                <w:sz w:val="18"/>
                <w:szCs w:val="18"/>
                <w:color w:val="0000FF"/>
                <w:highlight w:val="white"/>
                <w:w w:val="89"/>
              </w:rPr>
            </w:pPr>
            <w:hyperlink r:id="rId352">
              <w:r>
                <w:rPr>
                  <w:rFonts w:ascii="Arial" w:cs="Arial" w:eastAsia="Arial" w:hAnsi="Arial"/>
                  <w:sz w:val="18"/>
                  <w:szCs w:val="18"/>
                  <w:color w:val="0000FF"/>
                  <w:highlight w:val="white"/>
                  <w:w w:val="89"/>
                </w:rPr>
                <w:t>Commission on August 11, 2020).</w:t>
              </w:r>
            </w:hyperlink>
          </w:p>
        </w:tc>
        <w:tc>
          <w:tcPr>
            <w:tcW w:w="192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40" w:type="dxa"/>
            <w:vAlign w:val="bottom"/>
            <w:gridSpan w:val="1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10.31</w:t>
            </w:r>
          </w:p>
        </w:tc>
        <w:tc>
          <w:tcPr>
            <w:tcW w:w="2480" w:type="dxa"/>
            <w:vAlign w:val="bottom"/>
            <w:tcBorders>
              <w:bottom w:val="single" w:sz="8" w:color="0000FF"/>
            </w:tcBorders>
            <w:gridSpan w:val="9"/>
            <w:vMerge w:val="continue"/>
          </w:tcPr>
          <w:p>
            <w:pPr>
              <w:spacing w:after="0"/>
              <w:rPr>
                <w:sz w:val="13"/>
                <w:szCs w:val="13"/>
                <w:color w:val="auto"/>
              </w:rPr>
            </w:pPr>
          </w:p>
        </w:tc>
        <w:tc>
          <w:tcPr>
            <w:tcW w:w="7760" w:type="dxa"/>
            <w:vAlign w:val="bottom"/>
            <w:gridSpan w:val="47"/>
            <w:vMerge w:val="restart"/>
          </w:tcPr>
          <w:p>
            <w:pPr>
              <w:spacing w:after="0"/>
              <w:rPr>
                <w:rFonts w:ascii="Arial" w:cs="Arial" w:eastAsia="Arial" w:hAnsi="Arial"/>
                <w:sz w:val="18"/>
                <w:szCs w:val="18"/>
                <w:color w:val="0000FF"/>
                <w:highlight w:val="white"/>
                <w:w w:val="91"/>
              </w:rPr>
            </w:pPr>
            <w:hyperlink r:id="rId353">
              <w:r>
                <w:rPr>
                  <w:rFonts w:ascii="Arial" w:cs="Arial" w:eastAsia="Arial" w:hAnsi="Arial"/>
                  <w:sz w:val="18"/>
                  <w:szCs w:val="18"/>
                  <w:color w:val="0000FF"/>
                  <w:highlight w:val="white"/>
                  <w:w w:val="91"/>
                </w:rPr>
                <w:t>Distribution Agreement, dated November 4, 2021, by and between the Registrant and Piper Sandler &amp; Co.</w:t>
              </w:r>
            </w:hyperlink>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2480" w:type="dxa"/>
            <w:vAlign w:val="bottom"/>
            <w:gridSpan w:val="9"/>
          </w:tcPr>
          <w:p>
            <w:pPr>
              <w:spacing w:after="0" w:line="169" w:lineRule="exact"/>
              <w:rPr>
                <w:rFonts w:ascii="Arial" w:cs="Arial" w:eastAsia="Arial" w:hAnsi="Arial"/>
                <w:sz w:val="18"/>
                <w:szCs w:val="18"/>
                <w:color w:val="0000FF"/>
                <w:w w:val="97"/>
              </w:rPr>
            </w:pPr>
            <w:hyperlink r:id="rId353">
              <w:r>
                <w:rPr>
                  <w:rFonts w:ascii="Arial" w:cs="Arial" w:eastAsia="Arial" w:hAnsi="Arial"/>
                  <w:sz w:val="18"/>
                  <w:szCs w:val="18"/>
                  <w:color w:val="0000FF"/>
                  <w:w w:val="97"/>
                </w:rPr>
                <w:t xml:space="preserve">Amendment </w:t>
              </w:r>
              <w:r>
                <w:rPr>
                  <w:rFonts w:ascii="Arial" w:cs="Arial" w:eastAsia="Arial" w:hAnsi="Arial"/>
                  <w:sz w:val="18"/>
                  <w:szCs w:val="18"/>
                  <w:color w:val="0000FF"/>
                  <w:highlight w:val="white"/>
                  <w:w w:val="97"/>
                </w:rPr>
                <w:t>No. 1 to the Equity</w:t>
              </w:r>
            </w:hyperlink>
          </w:p>
        </w:tc>
        <w:tc>
          <w:tcPr>
            <w:tcW w:w="7760" w:type="dxa"/>
            <w:vAlign w:val="bottom"/>
            <w:gridSpan w:val="4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960" w:type="dxa"/>
            <w:vAlign w:val="bottom"/>
            <w:tcBorders>
              <w:top w:val="single" w:sz="8" w:color="0000FF"/>
            </w:tcBorders>
            <w:gridSpan w:val="3"/>
          </w:tcPr>
          <w:p>
            <w:pPr>
              <w:spacing w:after="0" w:line="156" w:lineRule="exact"/>
              <w:rPr>
                <w:rFonts w:ascii="Arial" w:cs="Arial" w:eastAsia="Arial" w:hAnsi="Arial"/>
                <w:sz w:val="18"/>
                <w:szCs w:val="18"/>
                <w:color w:val="0000FF"/>
                <w:w w:val="88"/>
              </w:rPr>
            </w:pPr>
            <w:hyperlink r:id="rId353">
              <w:r>
                <w:rPr>
                  <w:rFonts w:ascii="Arial" w:cs="Arial" w:eastAsia="Arial" w:hAnsi="Arial"/>
                  <w:sz w:val="18"/>
                  <w:szCs w:val="18"/>
                  <w:color w:val="0000FF"/>
                  <w:w w:val="88"/>
                </w:rPr>
                <w:t>(incorporated</w:t>
              </w:r>
            </w:hyperlink>
          </w:p>
        </w:tc>
        <w:tc>
          <w:tcPr>
            <w:tcW w:w="20" w:type="dxa"/>
            <w:vAlign w:val="bottom"/>
          </w:tcPr>
          <w:p>
            <w:pPr>
              <w:spacing w:after="0"/>
              <w:rPr>
                <w:sz w:val="13"/>
                <w:szCs w:val="13"/>
                <w:color w:val="auto"/>
              </w:rPr>
            </w:pPr>
          </w:p>
        </w:tc>
        <w:tc>
          <w:tcPr>
            <w:tcW w:w="9120" w:type="dxa"/>
            <w:vAlign w:val="bottom"/>
            <w:tcBorders>
              <w:top w:val="single" w:sz="8" w:color="0000FF"/>
            </w:tcBorders>
            <w:gridSpan w:val="45"/>
          </w:tcPr>
          <w:p>
            <w:pPr>
              <w:ind w:left="40"/>
              <w:spacing w:after="0" w:line="156" w:lineRule="exact"/>
              <w:rPr>
                <w:rFonts w:ascii="Arial" w:cs="Arial" w:eastAsia="Arial" w:hAnsi="Arial"/>
                <w:sz w:val="18"/>
                <w:szCs w:val="18"/>
                <w:color w:val="0000FF"/>
                <w:w w:val="96"/>
              </w:rPr>
            </w:pPr>
            <w:hyperlink r:id="rId353">
              <w:r>
                <w:rPr>
                  <w:rFonts w:ascii="Arial" w:cs="Arial" w:eastAsia="Arial" w:hAnsi="Arial"/>
                  <w:sz w:val="18"/>
                  <w:szCs w:val="18"/>
                  <w:color w:val="0000FF"/>
                  <w:w w:val="96"/>
                </w:rPr>
                <w:t>by reference to Exhibit 1.3 to the Registrant’s Registration Statement on Form S-3 (File No. 333-260754) filed with the</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21.1*</w:t>
            </w:r>
          </w:p>
        </w:tc>
        <w:tc>
          <w:tcPr>
            <w:tcW w:w="97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353">
              <w:r>
                <w:rPr>
                  <w:rFonts w:ascii="Arial" w:cs="Arial" w:eastAsia="Arial" w:hAnsi="Arial"/>
                  <w:sz w:val="18"/>
                  <w:szCs w:val="18"/>
                  <w:color w:val="0000FF"/>
                </w:rPr>
                <w:t>Securities and Exchange Commission on November 4, 2021.</w:t>
              </w:r>
            </w:hyperlink>
          </w:p>
        </w:tc>
        <w:tc>
          <w:tcPr>
            <w:tcW w:w="340" w:type="dxa"/>
            <w:vAlign w:val="bottom"/>
            <w:gridSpan w:val="10"/>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44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185">
              <w:r>
                <w:rPr>
                  <w:rFonts w:ascii="Arial" w:cs="Arial" w:eastAsia="Arial" w:hAnsi="Arial"/>
                  <w:sz w:val="18"/>
                  <w:szCs w:val="18"/>
                  <w:color w:val="0000FF"/>
                </w:rPr>
                <w:t>Subsidiary of the Registrant.</w:t>
              </w:r>
            </w:hyperlink>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gridSpan w:val="17"/>
          </w:tcPr>
          <w:p>
            <w:pPr>
              <w:spacing w:after="0"/>
              <w:rPr>
                <w:sz w:val="14"/>
                <w:szCs w:val="14"/>
                <w:color w:val="auto"/>
              </w:rPr>
            </w:pPr>
          </w:p>
        </w:tc>
        <w:tc>
          <w:tcPr>
            <w:tcW w:w="80" w:type="dxa"/>
            <w:vAlign w:val="bottom"/>
            <w:gridSpan w:val="3"/>
          </w:tcPr>
          <w:p>
            <w:pPr>
              <w:spacing w:after="0"/>
              <w:rPr>
                <w:sz w:val="14"/>
                <w:szCs w:val="14"/>
                <w:color w:val="auto"/>
              </w:rPr>
            </w:pPr>
          </w:p>
        </w:tc>
        <w:tc>
          <w:tcPr>
            <w:tcW w:w="380" w:type="dxa"/>
            <w:vAlign w:val="bottom"/>
            <w:gridSpan w:val="12"/>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23.1*</w:t>
            </w: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5"/>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1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5720" w:type="dxa"/>
            <w:vAlign w:val="bottom"/>
            <w:tcBorders>
              <w:bottom w:val="single" w:sz="8" w:color="0000FF"/>
            </w:tcBorders>
            <w:gridSpan w:val="15"/>
          </w:tcPr>
          <w:p>
            <w:pPr>
              <w:spacing w:after="0" w:line="169" w:lineRule="exact"/>
              <w:rPr>
                <w:rFonts w:ascii="Arial" w:cs="Arial" w:eastAsia="Arial" w:hAnsi="Arial"/>
                <w:sz w:val="18"/>
                <w:szCs w:val="18"/>
                <w:color w:val="0000FF"/>
                <w:w w:val="91"/>
              </w:rPr>
            </w:pPr>
            <w:hyperlink w:anchor="page186">
              <w:r>
                <w:rPr>
                  <w:rFonts w:ascii="Arial" w:cs="Arial" w:eastAsia="Arial" w:hAnsi="Arial"/>
                  <w:sz w:val="18"/>
                  <w:szCs w:val="18"/>
                  <w:color w:val="0000FF"/>
                  <w:w w:val="91"/>
                </w:rPr>
                <w:t>Consent of Ernst &amp; Young LLP, independent registered public accounting firm.</w:t>
              </w:r>
            </w:hyperlink>
          </w:p>
        </w:tc>
        <w:tc>
          <w:tcPr>
            <w:tcW w:w="20" w:type="dxa"/>
            <w:vAlign w:val="bottom"/>
            <w:tcBorders>
              <w:bottom w:val="single" w:sz="8" w:color="0000EE"/>
            </w:tcBorders>
          </w:tcPr>
          <w:p>
            <w:pPr>
              <w:spacing w:after="0"/>
              <w:rPr>
                <w:sz w:val="14"/>
                <w:szCs w:val="14"/>
                <w:color w:val="auto"/>
              </w:rPr>
            </w:pPr>
          </w:p>
        </w:tc>
        <w:tc>
          <w:tcPr>
            <w:tcW w:w="4500" w:type="dxa"/>
            <w:vAlign w:val="bottom"/>
            <w:gridSpan w:val="4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31.1*</w:t>
            </w:r>
          </w:p>
        </w:tc>
        <w:tc>
          <w:tcPr>
            <w:tcW w:w="10240" w:type="dxa"/>
            <w:vAlign w:val="bottom"/>
            <w:gridSpan w:val="56"/>
          </w:tcPr>
          <w:p>
            <w:pPr>
              <w:spacing w:after="0" w:line="169" w:lineRule="exact"/>
              <w:rPr>
                <w:rFonts w:ascii="Arial" w:cs="Arial" w:eastAsia="Arial" w:hAnsi="Arial"/>
                <w:sz w:val="18"/>
                <w:szCs w:val="18"/>
                <w:color w:val="0000FF"/>
                <w:w w:val="96"/>
              </w:rPr>
            </w:pPr>
            <w:hyperlink w:anchor="page187">
              <w:r>
                <w:rPr>
                  <w:rFonts w:ascii="Arial" w:cs="Arial" w:eastAsia="Arial" w:hAnsi="Arial"/>
                  <w:sz w:val="18"/>
                  <w:szCs w:val="18"/>
                  <w:color w:val="0000FF"/>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31.2*</w:t>
            </w:r>
          </w:p>
        </w:tc>
        <w:tc>
          <w:tcPr>
            <w:tcW w:w="5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w:anchor="page187">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80" w:type="dxa"/>
            <w:vAlign w:val="bottom"/>
            <w:tcBorders>
              <w:top w:val="single" w:sz="8" w:color="0000FF"/>
            </w:tcBorders>
            <w:gridSpan w:val="22"/>
          </w:tcPr>
          <w:p>
            <w:pPr>
              <w:spacing w:after="0"/>
              <w:rPr>
                <w:sz w:val="13"/>
                <w:szCs w:val="13"/>
                <w:color w:val="auto"/>
              </w:rPr>
            </w:pPr>
          </w:p>
        </w:tc>
        <w:tc>
          <w:tcPr>
            <w:tcW w:w="380" w:type="dxa"/>
            <w:vAlign w:val="bottom"/>
            <w:gridSpan w:val="1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0240" w:type="dxa"/>
            <w:vAlign w:val="bottom"/>
            <w:gridSpan w:val="56"/>
          </w:tcPr>
          <w:p>
            <w:pPr>
              <w:spacing w:after="0" w:line="169" w:lineRule="exact"/>
              <w:rPr>
                <w:rFonts w:ascii="Arial" w:cs="Arial" w:eastAsia="Arial" w:hAnsi="Arial"/>
                <w:sz w:val="18"/>
                <w:szCs w:val="18"/>
                <w:color w:val="0000FF"/>
                <w:w w:val="97"/>
              </w:rPr>
            </w:pPr>
            <w:hyperlink w:anchor="page188">
              <w:r>
                <w:rPr>
                  <w:rFonts w:ascii="Arial" w:cs="Arial" w:eastAsia="Arial" w:hAnsi="Arial"/>
                  <w:sz w:val="18"/>
                  <w:szCs w:val="18"/>
                  <w:color w:val="0000FF"/>
                  <w:w w:val="97"/>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32.1+</w:t>
            </w:r>
          </w:p>
        </w:tc>
        <w:tc>
          <w:tcPr>
            <w:tcW w:w="5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w:anchor="page188">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00" w:type="dxa"/>
            <w:vAlign w:val="bottom"/>
            <w:tcBorders>
              <w:top w:val="single" w:sz="8" w:color="0000FF"/>
            </w:tcBorders>
            <w:gridSpan w:val="19"/>
          </w:tcPr>
          <w:p>
            <w:pPr>
              <w:spacing w:after="0"/>
              <w:rPr>
                <w:sz w:val="13"/>
                <w:szCs w:val="13"/>
                <w:color w:val="auto"/>
              </w:rPr>
            </w:pPr>
          </w:p>
        </w:tc>
        <w:tc>
          <w:tcPr>
            <w:tcW w:w="460" w:type="dxa"/>
            <w:vAlign w:val="bottom"/>
            <w:gridSpan w:val="15"/>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0240" w:type="dxa"/>
            <w:vAlign w:val="bottom"/>
            <w:gridSpan w:val="56"/>
          </w:tcPr>
          <w:p>
            <w:pPr>
              <w:spacing w:after="0" w:line="169" w:lineRule="exact"/>
              <w:rPr>
                <w:rFonts w:ascii="Arial" w:cs="Arial" w:eastAsia="Arial" w:hAnsi="Arial"/>
                <w:sz w:val="18"/>
                <w:szCs w:val="18"/>
                <w:color w:val="0000FF"/>
                <w:w w:val="92"/>
              </w:rPr>
            </w:pPr>
            <w:hyperlink w:anchor="page189">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89">
              <w:r>
                <w:rPr>
                  <w:rFonts w:ascii="Arial" w:cs="Arial" w:eastAsia="Arial" w:hAnsi="Arial"/>
                  <w:sz w:val="18"/>
                  <w:szCs w:val="18"/>
                  <w:color w:val="0000FF"/>
                  <w:w w:val="93"/>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260" w:type="dxa"/>
            <w:vAlign w:val="bottom"/>
            <w:tcBorders>
              <w:top w:val="single" w:sz="8" w:color="0000FF"/>
            </w:tcBorders>
            <w:gridSpan w:val="5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120"/>
              <w:spacing w:after="0" w:line="169" w:lineRule="exact"/>
              <w:rPr>
                <w:sz w:val="20"/>
                <w:szCs w:val="20"/>
                <w:color w:val="auto"/>
              </w:rPr>
            </w:pPr>
            <w:r>
              <w:rPr>
                <w:rFonts w:ascii="Arial" w:cs="Arial" w:eastAsia="Arial" w:hAnsi="Arial"/>
                <w:sz w:val="18"/>
                <w:szCs w:val="18"/>
                <w:color w:val="auto"/>
              </w:rPr>
              <w:t>32.2+</w:t>
            </w:r>
          </w:p>
        </w:tc>
        <w:tc>
          <w:tcPr>
            <w:tcW w:w="940" w:type="dxa"/>
            <w:vAlign w:val="bottom"/>
            <w:gridSpan w:val="2"/>
          </w:tcPr>
          <w:p>
            <w:pPr>
              <w:spacing w:after="0" w:line="169" w:lineRule="exact"/>
              <w:rPr>
                <w:rFonts w:ascii="Arial" w:cs="Arial" w:eastAsia="Arial" w:hAnsi="Arial"/>
                <w:sz w:val="18"/>
                <w:szCs w:val="18"/>
                <w:color w:val="0000FF"/>
                <w:w w:val="96"/>
              </w:rPr>
            </w:pPr>
            <w:hyperlink w:anchor="page190">
              <w:r>
                <w:rPr>
                  <w:rFonts w:ascii="Arial" w:cs="Arial" w:eastAsia="Arial" w:hAnsi="Arial"/>
                  <w:sz w:val="18"/>
                  <w:szCs w:val="18"/>
                  <w:color w:val="0000FF"/>
                  <w:w w:val="96"/>
                </w:rPr>
                <w:t>Certification</w:t>
              </w:r>
            </w:hyperlink>
          </w:p>
        </w:tc>
        <w:tc>
          <w:tcPr>
            <w:tcW w:w="9300" w:type="dxa"/>
            <w:vAlign w:val="bottom"/>
            <w:gridSpan w:val="54"/>
          </w:tcPr>
          <w:p>
            <w:pPr>
              <w:ind w:left="20"/>
              <w:spacing w:after="0" w:line="169" w:lineRule="exact"/>
              <w:rPr>
                <w:rFonts w:ascii="Arial" w:cs="Arial" w:eastAsia="Arial" w:hAnsi="Arial"/>
                <w:sz w:val="18"/>
                <w:szCs w:val="18"/>
                <w:color w:val="0000FF"/>
                <w:w w:val="92"/>
              </w:rPr>
            </w:pPr>
            <w:hyperlink w:anchor="page190">
              <w:r>
                <w:rPr>
                  <w:rFonts w:ascii="Arial" w:cs="Arial" w:eastAsia="Arial" w:hAnsi="Arial"/>
                  <w:sz w:val="18"/>
                  <w:szCs w:val="18"/>
                  <w:color w:val="0000FF"/>
                  <w:w w:val="92"/>
                </w:rPr>
                <w:t>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90">
              <w:r>
                <w:rPr>
                  <w:rFonts w:ascii="Arial" w:cs="Arial" w:eastAsia="Arial" w:hAnsi="Arial"/>
                  <w:sz w:val="18"/>
                  <w:szCs w:val="18"/>
                  <w:color w:val="0000FF"/>
                  <w:w w:val="93"/>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140" w:type="dxa"/>
            <w:vAlign w:val="bottom"/>
            <w:tcBorders>
              <w:top w:val="single" w:sz="8" w:color="0000FF"/>
            </w:tcBorders>
            <w:gridSpan w:val="46"/>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080" w:type="dxa"/>
            <w:vAlign w:val="bottom"/>
            <w:vMerge w:val="continue"/>
          </w:tcPr>
          <w:p>
            <w:pPr>
              <w:spacing w:after="0"/>
              <w:rPr>
                <w:sz w:val="19"/>
                <w:szCs w:val="19"/>
                <w:color w:val="auto"/>
              </w:rPr>
            </w:pPr>
          </w:p>
        </w:tc>
        <w:tc>
          <w:tcPr>
            <w:tcW w:w="10240" w:type="dxa"/>
            <w:vAlign w:val="bottom"/>
            <w:gridSpan w:val="5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09"/>
        </w:trPr>
        <w:tc>
          <w:tcPr>
            <w:tcW w:w="1080" w:type="dxa"/>
            <w:vAlign w:val="bottom"/>
          </w:tcPr>
          <w:p>
            <w:pPr>
              <w:ind w:left="20"/>
              <w:spacing w:after="0"/>
              <w:rPr>
                <w:sz w:val="20"/>
                <w:szCs w:val="20"/>
                <w:color w:val="auto"/>
              </w:rPr>
            </w:pPr>
            <w:r>
              <w:rPr>
                <w:rFonts w:ascii="Arial" w:cs="Arial" w:eastAsia="Arial" w:hAnsi="Arial"/>
                <w:sz w:val="18"/>
                <w:szCs w:val="18"/>
                <w:color w:val="auto"/>
              </w:rPr>
              <w:t>101.SCH</w:t>
            </w:r>
          </w:p>
        </w:tc>
        <w:tc>
          <w:tcPr>
            <w:tcW w:w="10240" w:type="dxa"/>
            <w:vAlign w:val="bottom"/>
            <w:gridSpan w:val="5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0240" w:type="dxa"/>
            <w:vAlign w:val="bottom"/>
            <w:gridSpan w:val="56"/>
          </w:tcPr>
          <w:p>
            <w:pPr>
              <w:spacing w:after="0" w:line="189"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0240" w:type="dxa"/>
            <w:vAlign w:val="bottom"/>
            <w:gridSpan w:val="56"/>
          </w:tcPr>
          <w:p>
            <w:pPr>
              <w:spacing w:after="0" w:line="189"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101.LAB</w:t>
            </w:r>
          </w:p>
        </w:tc>
        <w:tc>
          <w:tcPr>
            <w:tcW w:w="10240" w:type="dxa"/>
            <w:vAlign w:val="bottom"/>
            <w:gridSpan w:val="5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506"/>
        </w:trPr>
        <w:tc>
          <w:tcPr>
            <w:tcW w:w="11320" w:type="dxa"/>
            <w:vAlign w:val="bottom"/>
            <w:tcBorders>
              <w:bottom w:val="single" w:sz="8" w:color="9A9A9A"/>
            </w:tcBorders>
            <w:gridSpan w:val="5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5" w:name="page146"/>
    <w:bookmarkEnd w:id="145"/>
    <w:p>
      <w:pPr>
        <w:ind w:left="20"/>
        <w:spacing w:after="0"/>
        <w:tabs>
          <w:tab w:leader="none" w:pos="10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ind w:left="1080" w:hanging="1059"/>
        <w:spacing w:after="0"/>
        <w:tabs>
          <w:tab w:leader="none" w:pos="10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178" w:lineRule="exact"/>
        <w:rPr>
          <w:rFonts w:ascii="Arial" w:cs="Arial" w:eastAsia="Arial" w:hAnsi="Arial"/>
          <w:sz w:val="16"/>
          <w:szCs w:val="16"/>
          <w:color w:val="auto"/>
        </w:rPr>
      </w:pPr>
    </w:p>
    <w:p>
      <w:pPr>
        <w:ind w:left="140" w:hanging="132"/>
        <w:spacing w:after="0"/>
        <w:tabs>
          <w:tab w:leader="none" w:pos="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9512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 w:lineRule="exact"/>
        <w:rPr>
          <w:sz w:val="20"/>
          <w:szCs w:val="20"/>
          <w:color w:val="auto"/>
        </w:rPr>
      </w:pPr>
    </w:p>
    <w:p>
      <w:pPr>
        <w:ind w:firstLine="8"/>
        <w:spacing w:after="0" w:line="274" w:lineRule="auto"/>
        <w:tabs>
          <w:tab w:leader="none" w:pos="1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12" w:right="5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4260" w:type="dxa"/>
            <w:vAlign w:val="bottom"/>
            <w:gridSpan w:val="2"/>
          </w:tcPr>
          <w:p>
            <w:pPr>
              <w:ind w:left="2100"/>
              <w:spacing w:after="0"/>
              <w:rPr>
                <w:sz w:val="20"/>
                <w:szCs w:val="20"/>
                <w:color w:val="auto"/>
              </w:rPr>
            </w:pPr>
            <w:r>
              <w:rPr>
                <w:rFonts w:ascii="Arial" w:cs="Arial" w:eastAsia="Arial" w:hAnsi="Arial"/>
                <w:sz w:val="18"/>
                <w:szCs w:val="18"/>
                <w:color w:val="auto"/>
              </w:rPr>
              <w:t>Fulcrum Therapeutics, Inc.</w:t>
            </w:r>
          </w:p>
        </w:tc>
        <w:tc>
          <w:tcPr>
            <w:tcW w:w="3380" w:type="dxa"/>
            <w:vAlign w:val="bottom"/>
          </w:tcPr>
          <w:p>
            <w:pPr>
              <w:spacing w:after="0"/>
              <w:rPr>
                <w:sz w:val="20"/>
                <w:szCs w:val="20"/>
                <w:color w:val="auto"/>
              </w:rPr>
            </w:pPr>
          </w:p>
        </w:tc>
      </w:tr>
      <w:tr>
        <w:trPr>
          <w:trHeight w:val="283"/>
        </w:trPr>
        <w:tc>
          <w:tcPr>
            <w:tcW w:w="3580" w:type="dxa"/>
            <w:vAlign w:val="bottom"/>
          </w:tcPr>
          <w:p>
            <w:pPr>
              <w:spacing w:after="0"/>
              <w:rPr>
                <w:sz w:val="20"/>
                <w:szCs w:val="20"/>
                <w:color w:val="auto"/>
              </w:rPr>
            </w:pPr>
            <w:r>
              <w:rPr>
                <w:rFonts w:ascii="Arial" w:cs="Arial" w:eastAsia="Arial" w:hAnsi="Arial"/>
                <w:sz w:val="18"/>
                <w:szCs w:val="18"/>
                <w:color w:val="auto"/>
              </w:rPr>
              <w:t>Date: March 3, 2022</w:t>
            </w:r>
          </w:p>
        </w:tc>
        <w:tc>
          <w:tcPr>
            <w:tcW w:w="426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3380" w:type="dxa"/>
            <w:vAlign w:val="bottom"/>
          </w:tcPr>
          <w:p>
            <w:pPr>
              <w:jc w:val="center"/>
              <w:ind w:right="1730"/>
              <w:spacing w:after="0"/>
              <w:rPr>
                <w:sz w:val="20"/>
                <w:szCs w:val="20"/>
                <w:color w:val="auto"/>
              </w:rPr>
            </w:pPr>
            <w:r>
              <w:rPr>
                <w:rFonts w:ascii="Arial" w:cs="Arial" w:eastAsia="Arial" w:hAnsi="Arial"/>
                <w:sz w:val="18"/>
                <w:szCs w:val="18"/>
                <w:color w:val="auto"/>
                <w:w w:val="90"/>
              </w:rPr>
              <w:t>/s/ Bryan Stuart</w:t>
            </w:r>
          </w:p>
        </w:tc>
      </w:tr>
      <w:tr>
        <w:trPr>
          <w:trHeight w:val="171"/>
        </w:trPr>
        <w:tc>
          <w:tcPr>
            <w:tcW w:w="3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3380" w:type="dxa"/>
            <w:vAlign w:val="bottom"/>
            <w:tcBorders>
              <w:top w:val="single" w:sz="8" w:color="auto"/>
            </w:tcBorders>
          </w:tcPr>
          <w:p>
            <w:pPr>
              <w:jc w:val="center"/>
              <w:ind w:right="1730"/>
              <w:spacing w:after="0" w:line="170" w:lineRule="exact"/>
              <w:rPr>
                <w:sz w:val="20"/>
                <w:szCs w:val="20"/>
                <w:color w:val="auto"/>
              </w:rPr>
            </w:pPr>
            <w:r>
              <w:rPr>
                <w:rFonts w:ascii="Arial" w:cs="Arial" w:eastAsia="Arial" w:hAnsi="Arial"/>
                <w:sz w:val="18"/>
                <w:szCs w:val="18"/>
                <w:color w:val="auto"/>
                <w:w w:val="91"/>
              </w:rPr>
              <w:t>Bryan Stuart</w:t>
            </w:r>
          </w:p>
        </w:tc>
      </w:tr>
    </w:tbl>
    <w:p>
      <w:pPr>
        <w:ind w:left="7260"/>
        <w:spacing w:after="0"/>
        <w:rPr>
          <w:sz w:val="20"/>
          <w:szCs w:val="20"/>
          <w:color w:val="auto"/>
        </w:rPr>
      </w:pPr>
      <w:r>
        <w:rPr>
          <w:rFonts w:ascii="Arial" w:cs="Arial" w:eastAsia="Arial" w:hAnsi="Arial"/>
          <w:sz w:val="18"/>
          <w:szCs w:val="18"/>
          <w:color w:val="auto"/>
        </w:rPr>
        <w:t>President and Chief Executive Officer</w:t>
      </w:r>
    </w:p>
    <w:p>
      <w:pPr>
        <w:spacing w:after="0" w:line="196"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3" w:lineRule="exact"/>
        <w:rPr>
          <w:sz w:val="20"/>
          <w:szCs w:val="20"/>
          <w:color w:val="auto"/>
        </w:rPr>
      </w:pPr>
    </w:p>
    <w:p>
      <w:pPr>
        <w:ind w:left="2020"/>
        <w:spacing w:after="0"/>
        <w:tabs>
          <w:tab w:leader="none" w:pos="6820" w:val="left"/>
          <w:tab w:leader="none" w:pos="102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Bryan Stuart</w:t>
            </w:r>
          </w:p>
        </w:tc>
        <w:tc>
          <w:tcPr>
            <w:tcW w:w="4540" w:type="dxa"/>
            <w:vAlign w:val="bottom"/>
          </w:tcPr>
          <w:p>
            <w:pPr>
              <w:ind w:left="140"/>
              <w:spacing w:after="0"/>
              <w:rPr>
                <w:sz w:val="20"/>
                <w:szCs w:val="20"/>
                <w:color w:val="auto"/>
              </w:rPr>
            </w:pPr>
            <w:r>
              <w:rPr>
                <w:rFonts w:ascii="Arial" w:cs="Arial" w:eastAsia="Arial" w:hAnsi="Arial"/>
                <w:sz w:val="18"/>
                <w:szCs w:val="18"/>
                <w:color w:val="auto"/>
              </w:rPr>
              <w:t>President and Chief Executive Officer, 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210"/>
        </w:trPr>
        <w:tc>
          <w:tcPr>
            <w:tcW w:w="4400" w:type="dxa"/>
            <w:vAlign w:val="bottom"/>
          </w:tcPr>
          <w:p>
            <w:pPr>
              <w:jc w:val="center"/>
              <w:spacing w:after="0"/>
              <w:rPr>
                <w:sz w:val="20"/>
                <w:szCs w:val="20"/>
                <w:color w:val="auto"/>
              </w:rPr>
            </w:pPr>
            <w:r>
              <w:rPr>
                <w:rFonts w:ascii="Arial" w:cs="Arial" w:eastAsia="Arial" w:hAnsi="Arial"/>
                <w:sz w:val="14"/>
                <w:szCs w:val="14"/>
                <w:color w:val="auto"/>
                <w:w w:val="92"/>
              </w:rPr>
              <w:t>Bryan Stuart</w:t>
            </w:r>
          </w:p>
        </w:tc>
        <w:tc>
          <w:tcPr>
            <w:tcW w:w="45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2300" w:type="dxa"/>
            <w:vAlign w:val="bottom"/>
          </w:tcPr>
          <w:p>
            <w:pPr>
              <w:spacing w:after="0"/>
              <w:rPr>
                <w:sz w:val="18"/>
                <w:szCs w:val="18"/>
                <w:color w:val="auto"/>
              </w:rPr>
            </w:pPr>
          </w:p>
        </w:tc>
      </w:tr>
      <w:tr>
        <w:trPr>
          <w:trHeight w:val="48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Esther Rajavelu</w:t>
            </w:r>
          </w:p>
        </w:tc>
        <w:tc>
          <w:tcPr>
            <w:tcW w:w="454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Officer)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3"/>
              </w:rPr>
              <w:t>Esther Rajavelu</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3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Thomson</w:t>
            </w:r>
          </w:p>
        </w:tc>
        <w:tc>
          <w:tcPr>
            <w:tcW w:w="4540" w:type="dxa"/>
            <w:vAlign w:val="bottom"/>
          </w:tcPr>
          <w:p>
            <w:pPr>
              <w:ind w:left="140"/>
              <w:spacing w:after="0"/>
              <w:rPr>
                <w:sz w:val="20"/>
                <w:szCs w:val="20"/>
                <w:color w:val="auto"/>
              </w:rPr>
            </w:pPr>
            <w:r>
              <w:rPr>
                <w:rFonts w:ascii="Arial" w:cs="Arial" w:eastAsia="Arial" w:hAnsi="Arial"/>
                <w:sz w:val="18"/>
                <w:szCs w:val="18"/>
                <w:color w:val="auto"/>
              </w:rPr>
              <w:t>Vice President, Finance &amp; Accounting (Principal</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210"/>
        </w:trPr>
        <w:tc>
          <w:tcPr>
            <w:tcW w:w="4400" w:type="dxa"/>
            <w:vAlign w:val="bottom"/>
          </w:tcPr>
          <w:p>
            <w:pPr>
              <w:jc w:val="center"/>
              <w:spacing w:after="0"/>
              <w:rPr>
                <w:sz w:val="20"/>
                <w:szCs w:val="20"/>
                <w:color w:val="auto"/>
              </w:rPr>
            </w:pPr>
            <w:r>
              <w:rPr>
                <w:rFonts w:ascii="Arial" w:cs="Arial" w:eastAsia="Arial" w:hAnsi="Arial"/>
                <w:sz w:val="14"/>
                <w:szCs w:val="14"/>
                <w:color w:val="auto"/>
                <w:w w:val="91"/>
              </w:rPr>
              <w:t>Peter Thomson</w:t>
            </w:r>
          </w:p>
        </w:tc>
        <w:tc>
          <w:tcPr>
            <w:tcW w:w="4540" w:type="dxa"/>
            <w:vAlign w:val="bottom"/>
          </w:tcPr>
          <w:p>
            <w:pPr>
              <w:ind w:left="140"/>
              <w:spacing w:after="0"/>
              <w:rPr>
                <w:sz w:val="20"/>
                <w:szCs w:val="20"/>
                <w:color w:val="auto"/>
              </w:rPr>
            </w:pPr>
            <w:r>
              <w:rPr>
                <w:rFonts w:ascii="Arial" w:cs="Arial" w:eastAsia="Arial" w:hAnsi="Arial"/>
                <w:sz w:val="18"/>
                <w:szCs w:val="18"/>
                <w:color w:val="auto"/>
              </w:rPr>
              <w:t>Accounting Officer)</w:t>
            </w:r>
          </w:p>
        </w:tc>
        <w:tc>
          <w:tcPr>
            <w:tcW w:w="2300" w:type="dxa"/>
            <w:vAlign w:val="bottom"/>
          </w:tcPr>
          <w:p>
            <w:pPr>
              <w:spacing w:after="0"/>
              <w:rPr>
                <w:sz w:val="18"/>
                <w:szCs w:val="18"/>
                <w:color w:val="auto"/>
              </w:rPr>
            </w:pPr>
          </w:p>
        </w:tc>
      </w:tr>
      <w:tr>
        <w:trPr>
          <w:trHeight w:val="48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Kate Haviland</w:t>
            </w:r>
          </w:p>
        </w:tc>
        <w:tc>
          <w:tcPr>
            <w:tcW w:w="4540" w:type="dxa"/>
            <w:vAlign w:val="bottom"/>
          </w:tcPr>
          <w:p>
            <w:pPr>
              <w:ind w:left="140"/>
              <w:spacing w:after="0"/>
              <w:rPr>
                <w:sz w:val="20"/>
                <w:szCs w:val="20"/>
                <w:color w:val="auto"/>
              </w:rPr>
            </w:pPr>
            <w:r>
              <w:rPr>
                <w:rFonts w:ascii="Arial" w:cs="Arial" w:eastAsia="Arial" w:hAnsi="Arial"/>
                <w:sz w:val="18"/>
                <w:szCs w:val="18"/>
                <w:color w:val="auto"/>
              </w:rPr>
              <w:t>Chair of the Board</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97"/>
        </w:trPr>
        <w:tc>
          <w:tcPr>
            <w:tcW w:w="4400" w:type="dxa"/>
            <w:vAlign w:val="bottom"/>
          </w:tcPr>
          <w:p>
            <w:pPr>
              <w:jc w:val="center"/>
              <w:spacing w:after="0"/>
              <w:rPr>
                <w:sz w:val="20"/>
                <w:szCs w:val="20"/>
                <w:color w:val="auto"/>
              </w:rPr>
            </w:pPr>
            <w:r>
              <w:rPr>
                <w:rFonts w:ascii="Arial" w:cs="Arial" w:eastAsia="Arial" w:hAnsi="Arial"/>
                <w:sz w:val="14"/>
                <w:szCs w:val="14"/>
                <w:color w:val="auto"/>
                <w:w w:val="96"/>
              </w:rPr>
              <w:t>Kate Haviland</w:t>
            </w:r>
          </w:p>
        </w:tc>
        <w:tc>
          <w:tcPr>
            <w:tcW w:w="45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9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Sonja Banks</w:t>
            </w: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1"/>
              </w:rPr>
              <w:t>Sonja Banks</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9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J. Collins</w:t>
            </w: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0"/>
              </w:rPr>
              <w:t>James J. Collins Ph.D.</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9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Katina Dorton</w:t>
            </w: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8"/>
              </w:rPr>
              <w:t>Katina Dorton</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9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Alan Ezekowitz</w:t>
            </w: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8"/>
              </w:rPr>
              <w:t>Alan Ezekowitz, MBChB, D. Phil</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9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Geraghty</w:t>
            </w: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89"/>
              </w:rPr>
              <w:t>James Geraghty</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3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Gould</w:t>
            </w: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3"/>
              </w:rPr>
              <w:t>Robert J. Gould, Ph.D.</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9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Mark Levin</w:t>
            </w: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640"/>
              <w:spacing w:after="0"/>
              <w:rPr>
                <w:sz w:val="20"/>
                <w:szCs w:val="20"/>
                <w:color w:val="auto"/>
              </w:rPr>
            </w:pPr>
            <w:r>
              <w:rPr>
                <w:rFonts w:ascii="Arial" w:cs="Arial" w:eastAsia="Arial" w:hAnsi="Arial"/>
                <w:sz w:val="18"/>
                <w:szCs w:val="18"/>
                <w:color w:val="auto"/>
              </w:rPr>
              <w:t>March 3, 2022</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9"/>
              </w:rPr>
              <w:t>Mark Levin</w:t>
            </w:r>
          </w:p>
        </w:tc>
        <w:tc>
          <w:tcPr>
            <w:tcW w:w="45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635"/>
        </w:trPr>
        <w:tc>
          <w:tcPr>
            <w:tcW w:w="44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10.10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Fulcrum Therapeutics,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RESTRICTED STOCK UNIT AGREEMENT</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Fulcrum 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grants the following restricted stock units pursuant to its 2019 Stock Incentive Plan. The terms and conditions attached hereto are also a part hereof.</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20" w:type="dxa"/>
            <w:vAlign w:val="bottom"/>
            <w:gridSpan w:val="6"/>
          </w:tcPr>
          <w:p>
            <w:pPr>
              <w:ind w:left="640"/>
              <w:spacing w:after="0"/>
              <w:rPr>
                <w:sz w:val="20"/>
                <w:szCs w:val="20"/>
                <w:color w:val="auto"/>
              </w:rPr>
            </w:pPr>
            <w:r>
              <w:rPr>
                <w:rFonts w:ascii="Arial" w:cs="Arial" w:eastAsia="Arial" w:hAnsi="Arial"/>
                <w:sz w:val="22"/>
                <w:szCs w:val="22"/>
                <w:color w:val="auto"/>
              </w:rPr>
              <w:t>Notice of Grant</w:t>
            </w:r>
          </w:p>
        </w:tc>
      </w:tr>
      <w:tr>
        <w:trPr>
          <w:trHeight w:val="233"/>
        </w:trPr>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r>
      <w:tr>
        <w:trPr>
          <w:trHeight w:val="199"/>
        </w:trPr>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right w:val="single" w:sz="8" w:color="auto"/>
            </w:tcBorders>
            <w:gridSpan w:val="6"/>
          </w:tcPr>
          <w:p>
            <w:pPr>
              <w:spacing w:after="0" w:line="200" w:lineRule="exact"/>
              <w:rPr>
                <w:sz w:val="20"/>
                <w:szCs w:val="20"/>
                <w:color w:val="auto"/>
              </w:rPr>
            </w:pPr>
            <w:r>
              <w:rPr>
                <w:rFonts w:ascii="Arial" w:cs="Arial" w:eastAsia="Arial" w:hAnsi="Arial"/>
                <w:sz w:val="22"/>
                <w:szCs w:val="22"/>
                <w:color w:val="auto"/>
              </w:rPr>
              <w:t>Name of recipient (the “Participant”):</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00" w:type="dxa"/>
            <w:vAlign w:val="bottom"/>
            <w:tcBorders>
              <w:right w:val="single" w:sz="8" w:color="auto"/>
            </w:tcBorders>
          </w:tcPr>
          <w:p>
            <w:pPr>
              <w:spacing w:after="0"/>
              <w:rPr>
                <w:sz w:val="17"/>
                <w:szCs w:val="17"/>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80" w:type="dxa"/>
            <w:vAlign w:val="bottom"/>
            <w:tcBorders>
              <w:bottom w:val="single" w:sz="8" w:color="auto"/>
              <w:right w:val="single" w:sz="8" w:color="auto"/>
            </w:tcBorders>
            <w:gridSpan w:val="6"/>
          </w:tcPr>
          <w:p>
            <w:pPr>
              <w:spacing w:after="0" w:line="224" w:lineRule="exact"/>
              <w:rPr>
                <w:sz w:val="20"/>
                <w:szCs w:val="20"/>
                <w:color w:val="auto"/>
              </w:rPr>
            </w:pPr>
            <w:r>
              <w:rPr>
                <w:rFonts w:ascii="Arial" w:cs="Arial" w:eastAsia="Arial" w:hAnsi="Arial"/>
                <w:sz w:val="22"/>
                <w:szCs w:val="22"/>
                <w:color w:val="auto"/>
              </w:rPr>
              <w:t>Grant Date:</w:t>
            </w: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r>
      <w:tr>
        <w:trPr>
          <w:trHeight w:val="196"/>
        </w:trPr>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right w:val="single" w:sz="8" w:color="auto"/>
            </w:tcBorders>
            <w:gridSpan w:val="6"/>
          </w:tcPr>
          <w:p>
            <w:pPr>
              <w:spacing w:after="0" w:line="195" w:lineRule="exact"/>
              <w:rPr>
                <w:sz w:val="20"/>
                <w:szCs w:val="20"/>
                <w:color w:val="auto"/>
              </w:rPr>
            </w:pPr>
            <w:r>
              <w:rPr>
                <w:rFonts w:ascii="Arial" w:cs="Arial" w:eastAsia="Arial" w:hAnsi="Arial"/>
                <w:sz w:val="22"/>
                <w:szCs w:val="22"/>
                <w:color w:val="auto"/>
              </w:rPr>
              <w:t>Number of restricted stock units (“RSUs”)</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00" w:type="dxa"/>
            <w:vAlign w:val="bottom"/>
            <w:tcBorders>
              <w:right w:val="single" w:sz="8" w:color="auto"/>
            </w:tcBorders>
          </w:tcPr>
          <w:p>
            <w:pPr>
              <w:spacing w:after="0"/>
              <w:rPr>
                <w:sz w:val="17"/>
                <w:szCs w:val="17"/>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spacing w:after="0" w:line="237" w:lineRule="exact"/>
              <w:rPr>
                <w:sz w:val="20"/>
                <w:szCs w:val="20"/>
                <w:color w:val="auto"/>
              </w:rPr>
            </w:pPr>
            <w:r>
              <w:rPr>
                <w:rFonts w:ascii="Arial" w:cs="Arial" w:eastAsia="Arial" w:hAnsi="Arial"/>
                <w:sz w:val="22"/>
                <w:szCs w:val="22"/>
                <w:color w:val="auto"/>
              </w:rPr>
              <w:t>granted:</w:t>
            </w:r>
          </w:p>
        </w:tc>
        <w:tc>
          <w:tcPr>
            <w:tcW w:w="500" w:type="dxa"/>
            <w:vAlign w:val="bottom"/>
            <w:tcBorders>
              <w:top w:val="single" w:sz="8" w:color="auto"/>
              <w:bottom w:val="single" w:sz="8" w:color="auto"/>
            </w:tcBorders>
            <w:gridSpan w:val="2"/>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188"/>
        </w:trPr>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Borders>
              <w:right w:val="single" w:sz="8" w:color="auto"/>
            </w:tcBorders>
            <w:gridSpan w:val="6"/>
          </w:tcPr>
          <w:p>
            <w:pPr>
              <w:spacing w:after="0" w:line="188" w:lineRule="exact"/>
              <w:rPr>
                <w:sz w:val="20"/>
                <w:szCs w:val="20"/>
                <w:color w:val="auto"/>
              </w:rPr>
            </w:pPr>
            <w:r>
              <w:rPr>
                <w:rFonts w:ascii="Arial" w:cs="Arial" w:eastAsia="Arial" w:hAnsi="Arial"/>
                <w:sz w:val="21"/>
                <w:szCs w:val="21"/>
                <w:color w:val="auto"/>
              </w:rPr>
              <w:t>Number, if any, of RSUs that vest</w:t>
            </w: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100" w:type="dxa"/>
            <w:vAlign w:val="bottom"/>
            <w:tcBorders>
              <w:right w:val="single" w:sz="8" w:color="auto"/>
            </w:tcBorders>
          </w:tcPr>
          <w:p>
            <w:pPr>
              <w:spacing w:after="0"/>
              <w:rPr>
                <w:sz w:val="16"/>
                <w:szCs w:val="16"/>
                <w:color w:val="auto"/>
              </w:rPr>
            </w:pPr>
          </w:p>
        </w:tc>
      </w:tr>
      <w:tr>
        <w:trPr>
          <w:trHeight w:val="264"/>
        </w:trPr>
        <w:tc>
          <w:tcPr>
            <w:tcW w:w="140" w:type="dxa"/>
            <w:vAlign w:val="bottom"/>
            <w:tcBorders>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8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22"/>
                <w:szCs w:val="22"/>
                <w:color w:val="auto"/>
              </w:rPr>
              <w:t>immediately on the grant date:</w:t>
            </w: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3100" w:type="dxa"/>
            <w:vAlign w:val="bottom"/>
            <w:tcBorders>
              <w:bottom w:val="single" w:sz="8" w:color="auto"/>
              <w:right w:val="single" w:sz="8" w:color="auto"/>
            </w:tcBorders>
          </w:tcPr>
          <w:p>
            <w:pPr>
              <w:spacing w:after="0"/>
              <w:rPr>
                <w:sz w:val="22"/>
                <w:szCs w:val="22"/>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gridSpan w:val="6"/>
          </w:tcPr>
          <w:p>
            <w:pPr>
              <w:spacing w:after="0" w:line="237" w:lineRule="exact"/>
              <w:rPr>
                <w:sz w:val="20"/>
                <w:szCs w:val="20"/>
                <w:color w:val="auto"/>
              </w:rPr>
            </w:pPr>
            <w:r>
              <w:rPr>
                <w:rFonts w:ascii="Arial" w:cs="Arial" w:eastAsia="Arial" w:hAnsi="Arial"/>
                <w:sz w:val="22"/>
                <w:szCs w:val="22"/>
                <w:color w:val="auto"/>
                <w:w w:val="97"/>
              </w:rPr>
              <w:t>RSUs that are subject to vesting schedule:</w:t>
            </w: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gridSpan w:val="6"/>
          </w:tcPr>
          <w:p>
            <w:pPr>
              <w:spacing w:after="0" w:line="237" w:lineRule="exact"/>
              <w:rPr>
                <w:sz w:val="20"/>
                <w:szCs w:val="20"/>
                <w:color w:val="auto"/>
              </w:rPr>
            </w:pPr>
            <w:r>
              <w:rPr>
                <w:rFonts w:ascii="Arial" w:cs="Arial" w:eastAsia="Arial" w:hAnsi="Arial"/>
                <w:sz w:val="22"/>
                <w:szCs w:val="22"/>
                <w:color w:val="auto"/>
              </w:rPr>
              <w:t>Vesting Start Date:</w:t>
            </w: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705"/>
        </w:trPr>
        <w:tc>
          <w:tcPr>
            <w:tcW w:w="4300" w:type="dxa"/>
            <w:vAlign w:val="bottom"/>
            <w:gridSpan w:val="8"/>
          </w:tcPr>
          <w:p>
            <w:pPr>
              <w:spacing w:after="0"/>
              <w:rPr>
                <w:sz w:val="20"/>
                <w:szCs w:val="20"/>
                <w:color w:val="auto"/>
              </w:rPr>
            </w:pPr>
            <w:r>
              <w:rPr>
                <w:rFonts w:ascii="Arial" w:cs="Arial" w:eastAsia="Arial" w:hAnsi="Arial"/>
                <w:sz w:val="22"/>
                <w:szCs w:val="22"/>
                <w:color w:val="auto"/>
              </w:rPr>
              <w:t>Vesting Schedule:</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5"/>
        </w:trPr>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r>
      <w:tr>
        <w:trPr>
          <w:trHeight w:val="159"/>
        </w:trPr>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gridSpan w:val="6"/>
          </w:tcPr>
          <w:p>
            <w:pPr>
              <w:spacing w:after="0" w:line="159" w:lineRule="exact"/>
              <w:rPr>
                <w:sz w:val="20"/>
                <w:szCs w:val="20"/>
                <w:color w:val="auto"/>
              </w:rPr>
            </w:pPr>
            <w:r>
              <w:rPr>
                <w:rFonts w:ascii="Arial" w:cs="Arial" w:eastAsia="Arial" w:hAnsi="Arial"/>
                <w:sz w:val="18"/>
                <w:szCs w:val="18"/>
                <w:color w:val="auto"/>
              </w:rPr>
              <w:t>Vesting Date:</w:t>
            </w:r>
          </w:p>
        </w:tc>
        <w:tc>
          <w:tcPr>
            <w:tcW w:w="6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5560" w:type="dxa"/>
            <w:vAlign w:val="bottom"/>
            <w:gridSpan w:val="4"/>
          </w:tcPr>
          <w:p>
            <w:pPr>
              <w:ind w:left="100"/>
              <w:spacing w:after="0" w:line="159" w:lineRule="exact"/>
              <w:rPr>
                <w:sz w:val="20"/>
                <w:szCs w:val="20"/>
                <w:color w:val="auto"/>
              </w:rPr>
            </w:pPr>
            <w:r>
              <w:rPr>
                <w:rFonts w:ascii="Arial" w:cs="Arial" w:eastAsia="Arial" w:hAnsi="Arial"/>
                <w:sz w:val="18"/>
                <w:szCs w:val="18"/>
                <w:color w:val="auto"/>
              </w:rPr>
              <w:t>Number of RSUs that Vest:</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-164465</wp:posOffset>
            </wp:positionV>
            <wp:extent cx="7054850" cy="8058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054850" cy="8058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All vesting is dependent on the Participant remaining an Eligible Participant, as provided herein.</w:t>
      </w:r>
    </w:p>
    <w:p>
      <w:pPr>
        <w:spacing w:after="0" w:line="200" w:lineRule="exact"/>
        <w:rPr>
          <w:sz w:val="20"/>
          <w:szCs w:val="20"/>
          <w:color w:val="auto"/>
        </w:rPr>
      </w:pPr>
    </w:p>
    <w:p>
      <w:pPr>
        <w:spacing w:after="0" w:line="290" w:lineRule="exact"/>
        <w:rPr>
          <w:sz w:val="20"/>
          <w:szCs w:val="20"/>
          <w:color w:val="auto"/>
        </w:rPr>
      </w:pPr>
    </w:p>
    <w:p>
      <w:pPr>
        <w:ind w:right="100" w:firstLine="749"/>
        <w:spacing w:after="0" w:line="250" w:lineRule="auto"/>
        <w:rPr>
          <w:sz w:val="20"/>
          <w:szCs w:val="20"/>
          <w:color w:val="auto"/>
        </w:rPr>
      </w:pPr>
      <w:r>
        <w:rPr>
          <w:rFonts w:ascii="Arial" w:cs="Arial" w:eastAsia="Arial" w:hAnsi="Arial"/>
          <w:sz w:val="22"/>
          <w:szCs w:val="22"/>
          <w:color w:val="auto"/>
        </w:rPr>
        <w:t>This grant of RSUs satisfies in full all commitments that the Company has to the Participant with respect to the issuance of stock, stock options or other equity securities.</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Fulcrum Therapeutics, Inc.</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-154940</wp:posOffset>
            </wp:positionV>
            <wp:extent cx="13716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jc w:val="center"/>
        <w:ind w:left="500"/>
        <w:spacing w:after="0" w:line="212" w:lineRule="auto"/>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-5080</wp:posOffset>
            </wp:positionV>
            <wp:extent cx="13716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100"/>
        <w:spacing w:after="0" w:line="237" w:lineRule="auto"/>
        <w:tabs>
          <w:tab w:leader="none" w:pos="6000" w:val="left"/>
        </w:tabs>
        <w:rPr>
          <w:sz w:val="20"/>
          <w:szCs w:val="20"/>
          <w:color w:val="auto"/>
        </w:rPr>
      </w:pPr>
      <w:r>
        <w:rPr>
          <w:rFonts w:ascii="Arial" w:cs="Arial" w:eastAsia="Arial" w:hAnsi="Arial"/>
          <w:sz w:val="22"/>
          <w:szCs w:val="22"/>
          <w:color w:val="auto"/>
        </w:rPr>
        <w:t>Street Address</w:t>
      </w:r>
      <w:r>
        <w:rPr>
          <w:sz w:val="20"/>
          <w:szCs w:val="20"/>
          <w:color w:val="auto"/>
        </w:rPr>
        <w:tab/>
      </w:r>
      <w:r>
        <w:rPr>
          <w:rFonts w:ascii="Arial" w:cs="Arial" w:eastAsia="Arial" w:hAnsi="Arial"/>
          <w:sz w:val="19"/>
          <w:szCs w:val="19"/>
          <w:color w:val="auto"/>
        </w:rPr>
        <w:t>Name of Officer</w:t>
      </w:r>
    </w:p>
    <w:p>
      <w:pPr>
        <w:ind w:left="6020"/>
        <w:spacing w:after="0" w:line="231"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-5715</wp:posOffset>
            </wp:positionV>
            <wp:extent cx="13716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City/State/Zip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ActiveUS 191962360v.1" "" ActiveUS 191962360v.1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Restricted Stock Unit Agreement</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Incorporated Terms and Conditions</w:t>
      </w:r>
    </w:p>
    <w:p>
      <w:pPr>
        <w:spacing w:after="0" w:line="215" w:lineRule="exact"/>
        <w:rPr>
          <w:sz w:val="20"/>
          <w:szCs w:val="20"/>
          <w:color w:val="auto"/>
        </w:rPr>
      </w:pPr>
    </w:p>
    <w:p>
      <w:pPr>
        <w:ind w:right="140" w:firstLine="757"/>
        <w:spacing w:after="0" w:line="279" w:lineRule="auto"/>
        <w:tabs>
          <w:tab w:leader="none" w:pos="149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Award of Restricted Stock Units</w:t>
      </w:r>
      <w:r>
        <w:rPr>
          <w:rFonts w:ascii="Arial" w:cs="Arial" w:eastAsia="Arial" w:hAnsi="Arial"/>
          <w:sz w:val="19"/>
          <w:szCs w:val="19"/>
          <w:color w:val="auto"/>
        </w:rPr>
        <w:t>. In consideration of services rendered and to be rendered to the Company, by the Participant, the Company has granted to the Participant, subject to the terms and conditions set forth in this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and in the Company’s 2019 Stock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 award with respect to the number of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set forth in the Notice of Grant that forms part of this Agreement (the “</w:t>
      </w:r>
      <w:r>
        <w:rPr>
          <w:rFonts w:ascii="Arial" w:cs="Arial" w:eastAsia="Arial" w:hAnsi="Arial"/>
          <w:sz w:val="19"/>
          <w:szCs w:val="19"/>
          <w:u w:val="single" w:color="auto"/>
          <w:color w:val="auto"/>
        </w:rPr>
        <w:t>Notice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w:t>
      </w:r>
      <w:r>
        <w:rPr>
          <w:rFonts w:ascii="Arial" w:cs="Arial" w:eastAsia="Arial" w:hAnsi="Arial"/>
          <w:sz w:val="19"/>
          <w:szCs w:val="19"/>
          <w:color w:val="auto"/>
        </w:rPr>
        <w:t>”). Each RSU represents the right to receive one share of common stock, $0.001 par value per share,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upon vesting of the RSU, subject to the terms and conditions set forth herein.</w:t>
      </w:r>
    </w:p>
    <w:p>
      <w:pPr>
        <w:spacing w:after="0" w:line="150" w:lineRule="exact"/>
        <w:rPr>
          <w:sz w:val="20"/>
          <w:szCs w:val="20"/>
          <w:color w:val="auto"/>
        </w:rPr>
      </w:pPr>
    </w:p>
    <w:p>
      <w:pPr>
        <w:ind w:left="1500" w:hanging="743"/>
        <w:spacing w:after="0"/>
        <w:tabs>
          <w:tab w:leader="none" w:pos="1500"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RSUs shall vest in accordance with the Vesting Schedule set forth in the Notice of Grant (the</w:t>
      </w:r>
    </w:p>
    <w:p>
      <w:pPr>
        <w:spacing w:after="0" w:line="4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Schedule</w:t>
      </w:r>
      <w:r>
        <w:rPr>
          <w:rFonts w:ascii="Arial" w:cs="Arial" w:eastAsia="Arial" w:hAnsi="Arial"/>
          <w:sz w:val="22"/>
          <w:szCs w:val="22"/>
          <w:color w:val="auto"/>
        </w:rPr>
        <w:t>”). Any fractional shares resulting from the application of any percentages used in the Vesting Schedule shall be rounded down to the nearest whole number of RSUs. As soon as practicable after the vesting of the RSU, the Company will deliver to the Participant, for each RSU that becomes vested, one share of Common Stock, subject to the payment of any taxes pursuant to Section 7. The Common Stock will be delivered to the Participant as soon as practicable following each vesting date, but in any event within 30 days of such date.</w:t>
      </w:r>
    </w:p>
    <w:p>
      <w:pPr>
        <w:spacing w:after="0" w:line="185" w:lineRule="exact"/>
        <w:rPr>
          <w:sz w:val="20"/>
          <w:szCs w:val="20"/>
          <w:color w:val="auto"/>
        </w:rPr>
      </w:pPr>
    </w:p>
    <w:p>
      <w:pPr>
        <w:ind w:right="60" w:firstLine="757"/>
        <w:spacing w:after="0" w:line="246" w:lineRule="auto"/>
        <w:tabs>
          <w:tab w:leader="none" w:pos="1498"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Forfeiture of Unvested RSUs Upon Cessation of Service</w:t>
      </w:r>
      <w:r>
        <w:rPr>
          <w:rFonts w:ascii="Arial" w:cs="Arial" w:eastAsia="Arial" w:hAnsi="Arial"/>
          <w:sz w:val="21"/>
          <w:szCs w:val="21"/>
          <w:color w:val="auto"/>
        </w:rPr>
        <w:t>. In the event that the Participant ceases to be an Eligible Participant (as defined below) for any reason or no reason, with or without cause, all of the RSUs that are unvested as of the time of such cessation shall be forfeited immediately and automatically to the Company, without the payment of any consideration to the Participant, effective as of such cessation. The Participant shall have no further rights with respect to the unvested RSUs or any Common Stock that may have been issuable with respect thereto. The Participant shall be an “</w:t>
      </w:r>
      <w:r>
        <w:rPr>
          <w:rFonts w:ascii="Arial" w:cs="Arial" w:eastAsia="Arial" w:hAnsi="Arial"/>
          <w:sz w:val="21"/>
          <w:szCs w:val="21"/>
          <w:u w:val="single" w:color="auto"/>
          <w:color w:val="auto"/>
        </w:rPr>
        <w:t>Eligible</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Participant</w:t>
      </w:r>
      <w:r>
        <w:rPr>
          <w:rFonts w:ascii="Arial" w:cs="Arial" w:eastAsia="Arial" w:hAnsi="Arial"/>
          <w:sz w:val="21"/>
          <w:szCs w:val="21"/>
          <w:color w:val="auto"/>
        </w:rPr>
        <w:t>” if the individual is an employee, director or officer of the Company or any other entity the employees, officers, directors are eligible to receive awards of RSUs under the Plan.</w:t>
      </w:r>
    </w:p>
    <w:p>
      <w:pPr>
        <w:spacing w:after="0" w:line="184" w:lineRule="exact"/>
        <w:rPr>
          <w:rFonts w:ascii="Arial" w:cs="Arial" w:eastAsia="Arial" w:hAnsi="Arial"/>
          <w:sz w:val="21"/>
          <w:szCs w:val="21"/>
          <w:color w:val="auto"/>
        </w:rPr>
      </w:pPr>
    </w:p>
    <w:p>
      <w:pPr>
        <w:ind w:right="120" w:firstLine="757"/>
        <w:spacing w:after="0" w:line="252" w:lineRule="auto"/>
        <w:tabs>
          <w:tab w:leader="none" w:pos="1498"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Restrictions on Transfer</w:t>
      </w:r>
      <w:r>
        <w:rPr>
          <w:rFonts w:ascii="Arial" w:cs="Arial" w:eastAsia="Arial" w:hAnsi="Arial"/>
          <w:sz w:val="21"/>
          <w:szCs w:val="21"/>
          <w:color w:val="auto"/>
        </w:rPr>
        <w:t>. The Participant shall not sell, assign, transfer, pledge, hypothecate, encumber or otherwise dispose of, by operation of law or otherwise (collectively “transfer”) any RSUs, or any interest therein. The Company shall not be required to treat as the owner of any RSUs or issue any Common Stock to any transferee to whom such RSUs have been transferred in violation of any of the provisions of this Agreement.</w:t>
      </w:r>
    </w:p>
    <w:p>
      <w:pPr>
        <w:spacing w:after="0" w:line="173" w:lineRule="exact"/>
        <w:rPr>
          <w:rFonts w:ascii="Arial" w:cs="Arial" w:eastAsia="Arial" w:hAnsi="Arial"/>
          <w:sz w:val="21"/>
          <w:szCs w:val="21"/>
          <w:color w:val="auto"/>
        </w:rPr>
      </w:pPr>
    </w:p>
    <w:p>
      <w:pPr>
        <w:ind w:right="80" w:firstLine="757"/>
        <w:spacing w:after="0"/>
        <w:tabs>
          <w:tab w:leader="none" w:pos="149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The Participant shall have no rights as a stockholder of the Company with respect to any shares of Common Stock that may be issuable with respect to the RSUs until the issuance of the shares of Common Stock to the Participant following the vesting of the RSUs.</w:t>
      </w:r>
    </w:p>
    <w:p>
      <w:pPr>
        <w:spacing w:after="0" w:line="186" w:lineRule="exact"/>
        <w:rPr>
          <w:rFonts w:ascii="Arial" w:cs="Arial" w:eastAsia="Arial" w:hAnsi="Arial"/>
          <w:sz w:val="22"/>
          <w:szCs w:val="22"/>
          <w:color w:val="auto"/>
        </w:rPr>
      </w:pPr>
    </w:p>
    <w:p>
      <w:pPr>
        <w:ind w:right="100" w:firstLine="757"/>
        <w:spacing w:after="0" w:line="250" w:lineRule="auto"/>
        <w:tabs>
          <w:tab w:leader="none" w:pos="149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Agreement is subject to the provisions of the Plan, a copy of which is furnished to the Participant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49" w:name="page150"/>
    <w:bookmarkEnd w:id="149"/>
    <w:p>
      <w:pPr>
        <w:ind w:left="1500" w:hanging="743"/>
        <w:spacing w:after="0"/>
        <w:tabs>
          <w:tab w:leader="none" w:pos="150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Acknowledgments; No Section 83(b) Election</w:t>
      </w:r>
      <w:r>
        <w:rPr>
          <w:rFonts w:ascii="Arial" w:cs="Arial" w:eastAsia="Arial" w:hAnsi="Arial"/>
          <w:sz w:val="22"/>
          <w:szCs w:val="22"/>
          <w:color w:val="auto"/>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 Participant (and not the Company) shall be responsible for the Participant’s tax liability that may arise in connection with the acquisition, vesting and/or disposition of the RSUs. The Participant acknowledges that no election under Section 83(b) of the Internal Revenue Code of 1986, as amended, (the “Code”) is available with respect to RSUs.</w:t>
      </w:r>
    </w:p>
    <w:p>
      <w:pPr>
        <w:spacing w:after="0" w:line="191"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The Participant acknowledges and agrees that the Company has the right to deduct from payments of any kind otherwise due to the Participant any federal, state, local or other taxes of any kind required by law to be withheld with respect to the vesting of the RSUs. At such time as the Participant is not aware of any material nonpublic information about the Company or the Common Stock and the Participant is not subject to any restriction on trading activities with respect to the Common Stock pursuant to any Company insider trading or other policy, the Participant shall execute the instructions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Automatic Sale Instructions</w:t>
      </w:r>
      <w:r>
        <w:rPr>
          <w:rFonts w:ascii="Arial" w:cs="Arial" w:eastAsia="Arial" w:hAnsi="Arial"/>
          <w:sz w:val="21"/>
          <w:szCs w:val="21"/>
          <w:color w:val="auto"/>
        </w:rPr>
        <w:t>”) as the means of satisfying such tax obligation. If the Participant does not execute the Automatic Sale Instructions prior to an applicable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188" w:lineRule="exact"/>
        <w:rPr>
          <w:sz w:val="20"/>
          <w:szCs w:val="20"/>
          <w:color w:val="auto"/>
        </w:rPr>
      </w:pPr>
    </w:p>
    <w:p>
      <w:pPr>
        <w:ind w:left="1500" w:hanging="743"/>
        <w:spacing w:after="0"/>
        <w:tabs>
          <w:tab w:leader="none" w:pos="15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right="20" w:firstLine="1497"/>
        <w:spacing w:after="0" w:line="238"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Section 409A</w:t>
      </w:r>
      <w:r>
        <w:rPr>
          <w:rFonts w:ascii="Arial" w:cs="Arial" w:eastAsia="Arial" w:hAnsi="Arial"/>
          <w:sz w:val="22"/>
          <w:szCs w:val="22"/>
          <w:color w:val="auto"/>
        </w:rPr>
        <w:t>. The RSUs awarded pursuant to this Agreement are intended to be exempt from or comply with the requirements of Section 409A of the Code and the Treasury Regulations issued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The delivery of shares of Common Stock on the vesting of the RSUs may not be accelerated or deferred unless permitted or required by Section 409A.</w:t>
      </w:r>
    </w:p>
    <w:p>
      <w:pPr>
        <w:spacing w:after="0" w:line="185" w:lineRule="exact"/>
        <w:rPr>
          <w:sz w:val="20"/>
          <w:szCs w:val="20"/>
          <w:color w:val="auto"/>
        </w:rPr>
      </w:pPr>
    </w:p>
    <w:p>
      <w:pPr>
        <w:ind w:right="100" w:firstLine="1497"/>
        <w:spacing w:after="0" w:line="28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Participant’s Acknowledgements</w:t>
      </w:r>
      <w:r>
        <w:rPr>
          <w:rFonts w:ascii="Arial" w:cs="Arial" w:eastAsia="Arial" w:hAnsi="Arial"/>
          <w:sz w:val="19"/>
          <w:szCs w:val="19"/>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the Participant will be bound by any clawback policy that the Company may adopt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b w:val="1"/>
          <w:bCs w:val="1"/>
          <w:color w:val="auto"/>
        </w:rPr>
        <w:t>Schedule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Automatic Sale Instructions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undersigned hereby consents and agrees that any taxes due on a vesting date as a result of the vesting of RSUs on such date shall be paid through an automatic sale of shares as follows:</w:t>
      </w:r>
    </w:p>
    <w:p>
      <w:pPr>
        <w:spacing w:after="0" w:line="202" w:lineRule="exact"/>
        <w:rPr>
          <w:sz w:val="20"/>
          <w:szCs w:val="20"/>
          <w:color w:val="auto"/>
        </w:rPr>
      </w:pPr>
    </w:p>
    <w:p>
      <w:pPr>
        <w:ind w:right="180" w:firstLine="757"/>
        <w:spacing w:after="0" w:line="248" w:lineRule="auto"/>
        <w:tabs>
          <w:tab w:leader="none" w:pos="1181" w:val="left"/>
        </w:tabs>
        <w:numPr>
          <w:ilvl w:val="0"/>
          <w:numId w:val="73"/>
        </w:numPr>
        <w:rPr>
          <w:rFonts w:ascii="Arial" w:cs="Arial" w:eastAsia="Arial" w:hAnsi="Arial"/>
          <w:sz w:val="21"/>
          <w:szCs w:val="21"/>
          <w:color w:val="auto"/>
        </w:rPr>
      </w:pPr>
      <w:r>
        <w:rPr>
          <w:rFonts w:ascii="Arial" w:cs="Arial" w:eastAsia="Arial" w:hAnsi="Arial"/>
          <w:sz w:val="21"/>
          <w:szCs w:val="21"/>
          <w:color w:val="auto"/>
        </w:rPr>
        <w:t>Upon any vesting of RSUs pursuant to Section 2 hereof, the Company shall arrange for the sale of such number of shares of Common Stock issuable with respect to the RSUs that vest pursuant to Section 2 as is sufficient to generate net proceeds in the amount necessary to satisfy the Company’s minimum statutory withholding obligations with respect to the income recognized by the Participant upon the vesting of the RSUs (based on minimum statutory withholding rates for all tax purposes, including payroll and social security taxes, that are applicable to such income), and the net proceeds of such sale shall be delivered to the Company in satisfaction of such tax withholding obligations.</w:t>
      </w:r>
    </w:p>
    <w:p>
      <w:pPr>
        <w:spacing w:after="0" w:line="176" w:lineRule="exact"/>
        <w:rPr>
          <w:rFonts w:ascii="Arial" w:cs="Arial" w:eastAsia="Arial" w:hAnsi="Arial"/>
          <w:sz w:val="21"/>
          <w:szCs w:val="21"/>
          <w:color w:val="auto"/>
        </w:rPr>
      </w:pPr>
    </w:p>
    <w:p>
      <w:pPr>
        <w:ind w:firstLine="757"/>
        <w:spacing w:after="0" w:line="236" w:lineRule="auto"/>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Participant hereby appoints the Chief Executive Officer, the Chief Financial Officer and the Chief Legal Officer (or a person holding a similar title), and any of them acting alone and with full power of substitution, to serve as his or her attorneys in fact to arrange for the sale of the Participant’s Common Stock in accordance with this Schedule A. The Participant agrees to execute and deliver such documents, instruments and certificates as may reasonably be required in connection with the sale of the shares pursuant to this Schedule A.</w:t>
      </w:r>
    </w:p>
    <w:p>
      <w:pPr>
        <w:spacing w:after="0" w:line="187" w:lineRule="exact"/>
        <w:rPr>
          <w:rFonts w:ascii="Arial" w:cs="Arial" w:eastAsia="Arial" w:hAnsi="Arial"/>
          <w:sz w:val="22"/>
          <w:szCs w:val="22"/>
          <w:color w:val="auto"/>
        </w:rPr>
      </w:pPr>
    </w:p>
    <w:p>
      <w:pPr>
        <w:ind w:right="120" w:firstLine="757"/>
        <w:spacing w:after="0" w:line="235" w:lineRule="auto"/>
        <w:tabs>
          <w:tab w:leader="none" w:pos="1181"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Participant represents to the Company that, as of the date hereof, he or she is not aware of any material nonpublic information about the Company or the Common Stock and is not subject to any restriction on trading activities with respect to the Common Stock pursuant to any Company insider trading policy or other policy. The Participant and the Company have structured this Agreement, including this Schedule A, to constitute a “binding contract” relating to the sale of Common Stock, consistent with the affirmative defense to liability under Section 10(b) of the Securities Exchange Act of 1934 under Rule 10b5-1(c) promulgated under such Act.</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Company shall not deliver any shares of Common Stock to the Participant until it is satisfied that all required withholdings have been made.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Participant Name: ________________</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Date: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FULCRUM THERAPEUTICS,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2022 INDUCEMENT STOCK INCENTIVE PLAN</w:t>
      </w:r>
    </w:p>
    <w:p>
      <w:pPr>
        <w:spacing w:after="0" w:line="198"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98"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The purpose of this 2022 Inducement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of Fulcrum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to advance the interests of the Company’s stockholders by enhancing the Company’s ability to attract, retain and motivate persons who are expected to make important contributions to the Company with an inducement material for such persons to enter into employment with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include any of the Company’s present or future parent or subsidiary corporations as defined in Sections 424(e) or (f) of the Internal Revenue Code of 1986, as amended, and any regulations thereunder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w:t>
      </w:r>
    </w:p>
    <w:p>
      <w:pPr>
        <w:spacing w:after="0" w:line="167"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52" w:lineRule="exact"/>
        <w:rPr>
          <w:sz w:val="20"/>
          <w:szCs w:val="20"/>
          <w:color w:val="auto"/>
        </w:rPr>
      </w:pPr>
    </w:p>
    <w:p>
      <w:pPr>
        <w:ind w:right="100" w:firstLine="749"/>
        <w:spacing w:after="0" w:line="339" w:lineRule="auto"/>
        <w:rPr>
          <w:sz w:val="20"/>
          <w:szCs w:val="20"/>
          <w:color w:val="auto"/>
        </w:rPr>
      </w:pPr>
      <w:r>
        <w:rPr>
          <w:rFonts w:ascii="Arial" w:cs="Arial" w:eastAsia="Arial" w:hAnsi="Arial"/>
          <w:sz w:val="16"/>
          <w:szCs w:val="16"/>
          <w:color w:val="auto"/>
        </w:rPr>
        <w:t>Awards under the Plan may only be granted to persons who (a) were not previously an employee or director of the Company or (b) are commencing employment with the Company following a bona fide period of non-employment, in either case as an inducement material to the individual’s entering into employment with the Company and in accordance with the requirements of Nasdaq Stock Market Rule 5635(c)(4). For the avoidance of doubt, neither consultants nor advisors shall be eligible to participate in the Plan. Each person who is granted an Award under the Plan is deemed a</w:t>
      </w:r>
    </w:p>
    <w:p>
      <w:pPr>
        <w:spacing w:after="0" w:line="1"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Options (as defined in Section 5), SARs (as defined in Section 6), Restricted Stock (as defined in Section 7), Restricted Stock Units (as defined in Section 7) and Other Stock-Based Awards (as defined in Section 8).</w:t>
      </w:r>
    </w:p>
    <w:p>
      <w:pPr>
        <w:spacing w:after="0" w:line="17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198" w:lineRule="exact"/>
        <w:rPr>
          <w:rFonts w:ascii="Arial" w:cs="Arial" w:eastAsia="Arial" w:hAnsi="Arial"/>
          <w:sz w:val="18"/>
          <w:szCs w:val="18"/>
          <w:color w:val="auto"/>
        </w:rPr>
      </w:pPr>
    </w:p>
    <w:p>
      <w:pPr>
        <w:ind w:firstLine="757"/>
        <w:spacing w:after="0" w:line="272" w:lineRule="auto"/>
        <w:tabs>
          <w:tab w:leader="none" w:pos="1394"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Administration by Board of Directors</w:t>
      </w:r>
      <w:r>
        <w:rPr>
          <w:rFonts w:ascii="Arial" w:cs="Arial" w:eastAsia="Arial" w:hAnsi="Arial"/>
          <w:sz w:val="16"/>
          <w:szCs w:val="16"/>
          <w:color w:val="auto"/>
        </w:rPr>
        <w:t>. The Plan will be administered by the Board. The Board shall have authority to grant Awards and to adopt, amend and repeal such administrative rules, guidelines and practices relating to the Plan as it shall deem advisable; provided that the grant of any Award under the Plan must be approved by the Company’s independent compensation committee or a majority of the Company’s independent directors (as defined in Nasdaq Stock Market Rule 5605(a)(2)) (the “Independent Directors”) in order to comply with the exemption from the stockholder approval requirement for “inducement grants” provided for under Nasdaq Stock Market Rule 5635(c)(4).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w:t>
      </w:r>
    </w:p>
    <w:p>
      <w:pPr>
        <w:spacing w:after="0" w:line="154" w:lineRule="exact"/>
        <w:rPr>
          <w:rFonts w:ascii="Arial" w:cs="Arial" w:eastAsia="Arial" w:hAnsi="Arial"/>
          <w:sz w:val="16"/>
          <w:szCs w:val="16"/>
          <w:color w:val="auto"/>
        </w:rPr>
      </w:pPr>
    </w:p>
    <w:p>
      <w:pPr>
        <w:ind w:right="20" w:firstLine="757"/>
        <w:spacing w:after="0" w:line="284" w:lineRule="auto"/>
        <w:tabs>
          <w:tab w:leader="none" w:pos="1404"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and the Nasdaq Stock Market rules, the Board (including acting with a majority of the Independent Directors) may delegate any or all of its powers under the Plan to one or more committees or subcommittees of the Board (a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All references in the Plan to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shall mean the Board or a Committee of the Board or the officers referred to in Section 3(c) to the extent that the Board’s powers or authority under the Plan have been delegated to such Committee or officers.</w:t>
      </w:r>
    </w:p>
    <w:p>
      <w:pPr>
        <w:spacing w:after="0" w:line="141" w:lineRule="exact"/>
        <w:rPr>
          <w:rFonts w:ascii="Arial" w:cs="Arial" w:eastAsia="Arial" w:hAnsi="Arial"/>
          <w:sz w:val="16"/>
          <w:szCs w:val="16"/>
          <w:color w:val="auto"/>
        </w:rPr>
      </w:pPr>
    </w:p>
    <w:p>
      <w:pPr>
        <w:ind w:right="160" w:firstLine="757"/>
        <w:spacing w:after="0" w:line="262" w:lineRule="auto"/>
        <w:tabs>
          <w:tab w:leader="none" w:pos="1407"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Delegation to Officers</w:t>
      </w:r>
      <w:r>
        <w:rPr>
          <w:rFonts w:ascii="Arial" w:cs="Arial" w:eastAsia="Arial" w:hAnsi="Arial"/>
          <w:sz w:val="17"/>
          <w:szCs w:val="17"/>
          <w:color w:val="auto"/>
          <w:highlight w:val="white"/>
        </w:rPr>
        <w:t>. Subject to any requirements of applicable law (including as applicable Sections 152 and 157(c) of the General</w:t>
      </w:r>
      <w:r>
        <w:rPr>
          <w:rFonts w:ascii="Arial" w:cs="Arial" w:eastAsia="Arial" w:hAnsi="Arial"/>
          <w:sz w:val="17"/>
          <w:szCs w:val="17"/>
          <w:color w:val="auto"/>
        </w:rPr>
        <w:t xml:space="preserve"> Corporation Law of the State of Delaware) and the Nasdaq Stock Market rules, the Board (acting with a majority of the Independent Directors) or the Company’s independent compensation committee may delegate to one or more officers of the Company the power to grant Awards (subject to any limitations under the Plan) to employees or officers of the Company and to exercise such other powers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right="260"/>
        <w:spacing w:after="0" w:line="262" w:lineRule="auto"/>
        <w:rPr>
          <w:sz w:val="20"/>
          <w:szCs w:val="20"/>
          <w:color w:val="auto"/>
        </w:rPr>
      </w:pPr>
      <w:r>
        <w:rPr>
          <w:rFonts w:ascii="Arial" w:cs="Arial" w:eastAsia="Arial" w:hAnsi="Arial"/>
          <w:sz w:val="17"/>
          <w:szCs w:val="17"/>
          <w:color w:val="auto"/>
        </w:rPr>
        <w:t>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or to any “officer” of the Company (as defined by Rule 16a-1(f) under the Exchange Act).</w:t>
      </w:r>
    </w:p>
    <w:p>
      <w:pPr>
        <w:spacing w:after="0" w:line="159"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198" w:lineRule="exact"/>
        <w:rPr>
          <w:rFonts w:ascii="Arial" w:cs="Arial" w:eastAsia="Arial" w:hAnsi="Arial"/>
          <w:sz w:val="18"/>
          <w:szCs w:val="18"/>
          <w:color w:val="auto"/>
        </w:rPr>
      </w:pPr>
    </w:p>
    <w:p>
      <w:pPr>
        <w:ind w:right="140" w:firstLine="757"/>
        <w:spacing w:after="0"/>
        <w:tabs>
          <w:tab w:leader="none" w:pos="1394"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Authorized Number of Shares</w:t>
      </w:r>
      <w:r>
        <w:rPr>
          <w:rFonts w:ascii="Arial" w:cs="Arial" w:eastAsia="Arial" w:hAnsi="Arial"/>
          <w:sz w:val="18"/>
          <w:szCs w:val="18"/>
          <w:color w:val="auto"/>
        </w:rPr>
        <w:t>. Subject to adjustment under Section 9, Awards may be made under the Plan for up to 1,750,000 shares of common stock, $0.001 par value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Shares issued under the Plan may consist in whole or in part of authorized but unissued shares or treasury shares.</w:t>
      </w:r>
    </w:p>
    <w:p>
      <w:pPr>
        <w:spacing w:after="0" w:line="2" w:lineRule="exact"/>
        <w:rPr>
          <w:rFonts w:ascii="Arial" w:cs="Arial" w:eastAsia="Arial" w:hAnsi="Arial"/>
          <w:sz w:val="18"/>
          <w:szCs w:val="18"/>
          <w:color w:val="auto"/>
        </w:rPr>
      </w:pPr>
    </w:p>
    <w:p>
      <w:pPr>
        <w:ind w:left="1120" w:hanging="363"/>
        <w:spacing w:after="0" w:line="234" w:lineRule="auto"/>
        <w:tabs>
          <w:tab w:leader="none" w:pos="112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Share Counting</w:t>
      </w:r>
      <w:r>
        <w:rPr>
          <w:rFonts w:ascii="Arial" w:cs="Arial" w:eastAsia="Arial" w:hAnsi="Arial"/>
          <w:sz w:val="18"/>
          <w:szCs w:val="18"/>
          <w:color w:val="auto"/>
          <w:highlight w:val="white"/>
        </w:rPr>
        <w:t>. For purposes of counting the number of shares available for the grant of Awards under the Plan:</w:t>
      </w:r>
    </w:p>
    <w:p>
      <w:pPr>
        <w:ind w:left="760" w:firstLine="745"/>
        <w:spacing w:after="0" w:line="254" w:lineRule="auto"/>
        <w:tabs>
          <w:tab w:leader="none" w:pos="1896" w:val="left"/>
        </w:tabs>
        <w:numPr>
          <w:ilvl w:val="2"/>
          <w:numId w:val="77"/>
        </w:numPr>
        <w:rPr>
          <w:rFonts w:ascii="Arial" w:cs="Arial" w:eastAsia="Arial" w:hAnsi="Arial"/>
          <w:sz w:val="17"/>
          <w:szCs w:val="17"/>
          <w:color w:val="auto"/>
        </w:rPr>
      </w:pPr>
      <w:r>
        <w:rPr>
          <w:rFonts w:ascii="Arial" w:cs="Arial" w:eastAsia="Arial" w:hAnsi="Arial"/>
          <w:sz w:val="17"/>
          <w:szCs w:val="17"/>
          <w:color w:val="auto"/>
        </w:rPr>
        <w:t xml:space="preserve">all shares of Common Stock covered by SARs shall be counted against the number of shares available for the grant of Awards under the Plan; </w:t>
      </w:r>
      <w:r>
        <w:rPr>
          <w:rFonts w:ascii="Arial" w:cs="Arial" w:eastAsia="Arial" w:hAnsi="Arial"/>
          <w:sz w:val="17"/>
          <w:szCs w:val="17"/>
          <w:i w:val="1"/>
          <w:iCs w:val="1"/>
          <w:color w:val="auto"/>
        </w:rPr>
        <w:t>provided, however</w:t>
      </w:r>
      <w:r>
        <w:rPr>
          <w:rFonts w:ascii="Arial" w:cs="Arial" w:eastAsia="Arial" w:hAnsi="Arial"/>
          <w:sz w:val="17"/>
          <w:szCs w:val="17"/>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Arial" w:cs="Arial" w:eastAsia="Arial" w:hAnsi="Arial"/>
          <w:sz w:val="17"/>
          <w:szCs w:val="17"/>
          <w:b w:val="1"/>
          <w:bCs w:val="1"/>
          <w:i w:val="1"/>
          <w:iCs w:val="1"/>
          <w:color w:val="auto"/>
        </w:rPr>
        <w:t>Tandem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SAR</w:t>
      </w:r>
      <w:r>
        <w:rPr>
          <w:rFonts w:ascii="Arial" w:cs="Arial" w:eastAsia="Arial" w:hAnsi="Arial"/>
          <w:sz w:val="17"/>
          <w:szCs w:val="17"/>
          <w:color w:val="auto"/>
        </w:rPr>
        <w:t>”), only the shares covered by the Option, and not the shares covered by the Tandem SAR, shall be so counted, and the expiration of one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 with the other’s exercise will not restore shares to the Plan;</w:t>
      </w:r>
    </w:p>
    <w:p>
      <w:pPr>
        <w:spacing w:after="0" w:line="164" w:lineRule="exact"/>
        <w:rPr>
          <w:rFonts w:ascii="Arial" w:cs="Arial" w:eastAsia="Arial" w:hAnsi="Arial"/>
          <w:sz w:val="17"/>
          <w:szCs w:val="17"/>
          <w:color w:val="auto"/>
        </w:rPr>
      </w:pPr>
    </w:p>
    <w:p>
      <w:pPr>
        <w:ind w:left="760" w:right="20" w:firstLine="745"/>
        <w:spacing w:after="0" w:line="254" w:lineRule="auto"/>
        <w:tabs>
          <w:tab w:leader="none" w:pos="1869" w:val="left"/>
        </w:tabs>
        <w:numPr>
          <w:ilvl w:val="2"/>
          <w:numId w:val="77"/>
        </w:numPr>
        <w:rPr>
          <w:rFonts w:ascii="Arial" w:cs="Arial" w:eastAsia="Arial" w:hAnsi="Arial"/>
          <w:sz w:val="17"/>
          <w:szCs w:val="17"/>
          <w:color w:val="auto"/>
        </w:rPr>
      </w:pPr>
      <w:r>
        <w:rPr>
          <w:rFonts w:ascii="Arial" w:cs="Arial" w:eastAsia="Arial" w:hAnsi="Arial"/>
          <w:sz w:val="17"/>
          <w:szCs w:val="17"/>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(1)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(2) the shares covered by a Tandem SAR shall not again become available for grant upon the expiration or termination of such Tandem SAR; and</w:t>
      </w:r>
    </w:p>
    <w:p>
      <w:pPr>
        <w:spacing w:after="0" w:line="167" w:lineRule="exact"/>
        <w:rPr>
          <w:rFonts w:ascii="Arial" w:cs="Arial" w:eastAsia="Arial" w:hAnsi="Arial"/>
          <w:sz w:val="17"/>
          <w:szCs w:val="17"/>
          <w:color w:val="auto"/>
        </w:rPr>
      </w:pPr>
    </w:p>
    <w:p>
      <w:pPr>
        <w:ind w:left="760" w:right="100" w:firstLine="745"/>
        <w:spacing w:after="0" w:line="294" w:lineRule="auto"/>
        <w:tabs>
          <w:tab w:leader="none" w:pos="1869" w:val="left"/>
        </w:tabs>
        <w:numPr>
          <w:ilvl w:val="2"/>
          <w:numId w:val="77"/>
        </w:numPr>
        <w:rPr>
          <w:rFonts w:ascii="Arial" w:cs="Arial" w:eastAsia="Arial" w:hAnsi="Arial"/>
          <w:sz w:val="16"/>
          <w:szCs w:val="16"/>
          <w:color w:val="auto"/>
        </w:rPr>
      </w:pPr>
      <w:r>
        <w:rPr>
          <w:rFonts w:ascii="Arial" w:cs="Arial" w:eastAsia="Arial" w:hAnsi="Arial"/>
          <w:sz w:val="16"/>
          <w:szCs w:val="16"/>
          <w:color w:val="auto"/>
        </w:rPr>
        <w:t>shares of Common Stock delivered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be added back to the number of shares available for the future grant of Awards.</w:t>
      </w:r>
    </w:p>
    <w:p>
      <w:pPr>
        <w:spacing w:after="0" w:line="133" w:lineRule="exact"/>
        <w:rPr>
          <w:rFonts w:ascii="Arial" w:cs="Arial" w:eastAsia="Arial" w:hAnsi="Arial"/>
          <w:sz w:val="16"/>
          <w:szCs w:val="16"/>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198" w:lineRule="exact"/>
        <w:rPr>
          <w:rFonts w:ascii="Arial" w:cs="Arial" w:eastAsia="Arial" w:hAnsi="Arial"/>
          <w:sz w:val="18"/>
          <w:szCs w:val="18"/>
          <w:color w:val="auto"/>
        </w:rPr>
      </w:pPr>
    </w:p>
    <w:p>
      <w:pPr>
        <w:ind w:right="20" w:firstLine="757"/>
        <w:spacing w:after="0" w:line="253" w:lineRule="auto"/>
        <w:tabs>
          <w:tab w:leader="none" w:pos="1394"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highlight w:val="white"/>
        </w:rPr>
        <w:t>. The Board may grant options to purchase Common Stock (each, an “</w:t>
      </w:r>
      <w:r>
        <w:rPr>
          <w:rFonts w:ascii="Arial" w:cs="Arial" w:eastAsia="Arial" w:hAnsi="Arial"/>
          <w:sz w:val="18"/>
          <w:szCs w:val="18"/>
          <w:b w:val="1"/>
          <w:bCs w:val="1"/>
          <w:i w:val="1"/>
          <w:iCs w:val="1"/>
          <w:color w:val="auto"/>
          <w:highlight w:val="white"/>
        </w:rPr>
        <w:t>Option</w:t>
      </w:r>
      <w:r>
        <w:rPr>
          <w:rFonts w:ascii="Arial" w:cs="Arial" w:eastAsia="Arial" w:hAnsi="Arial"/>
          <w:sz w:val="18"/>
          <w:szCs w:val="18"/>
          <w:color w:val="auto"/>
          <w:highlight w:val="white"/>
        </w:rPr>
        <w:t>”) and determine the number of shares of</w:t>
      </w:r>
      <w:r>
        <w:rPr>
          <w:rFonts w:ascii="Arial" w:cs="Arial" w:eastAsia="Arial" w:hAnsi="Arial"/>
          <w:sz w:val="18"/>
          <w:szCs w:val="18"/>
          <w:color w:val="auto"/>
        </w:rPr>
        <w:t xml:space="preserve"> Common Stock to be covered by each Option, the exercise price of each Option and the conditions and limitations applicable to the exercise of each Option, including conditions relating to applicable federal or state securities laws, as it considers necessary or advisable. All Options under the Plan shall be Nonstatutory Stock Options. A “Nonstatutory Stock Option” is an Option which is not intended to be an “incentive stock option” within the meaning of Section 422 of the Code.</w:t>
      </w:r>
    </w:p>
    <w:p>
      <w:pPr>
        <w:spacing w:after="0" w:line="164" w:lineRule="exact"/>
        <w:rPr>
          <w:rFonts w:ascii="Arial" w:cs="Arial" w:eastAsia="Arial" w:hAnsi="Arial"/>
          <w:sz w:val="18"/>
          <w:szCs w:val="18"/>
          <w:color w:val="auto"/>
        </w:rPr>
      </w:pPr>
    </w:p>
    <w:p>
      <w:pPr>
        <w:ind w:right="40" w:firstLine="757"/>
        <w:spacing w:after="0" w:line="262" w:lineRule="auto"/>
        <w:tabs>
          <w:tab w:leader="none" w:pos="1417"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Board approves the grant of an Option with an exercise price to be determined on a future date, the exercise price shall be not less than 100%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3" w:name="page154"/>
    <w:bookmarkEnd w:id="153"/>
    <w:p>
      <w:pPr>
        <w:ind w:right="60"/>
        <w:spacing w:after="0" w:line="261" w:lineRule="auto"/>
        <w:rPr>
          <w:sz w:val="20"/>
          <w:szCs w:val="20"/>
          <w:color w:val="auto"/>
        </w:rPr>
      </w:pPr>
      <w:r>
        <w:rPr>
          <w:rFonts w:ascii="Arial" w:cs="Arial" w:eastAsia="Arial" w:hAnsi="Arial"/>
          <w:sz w:val="18"/>
          <w:szCs w:val="18"/>
          <w:color w:val="auto"/>
        </w:rPr>
        <w:t>Date Fair Market Value on such future date. “</w:t>
      </w:r>
      <w:r>
        <w:rPr>
          <w:rFonts w:ascii="Arial" w:cs="Arial" w:eastAsia="Arial" w:hAnsi="Arial"/>
          <w:sz w:val="18"/>
          <w:szCs w:val="18"/>
          <w:b w:val="1"/>
          <w:bCs w:val="1"/>
          <w:i w:val="1"/>
          <w:iCs w:val="1"/>
          <w:color w:val="auto"/>
        </w:rPr>
        <w:t>Grant Date Fair Market Value</w:t>
      </w:r>
      <w:r>
        <w:rPr>
          <w:rFonts w:ascii="Arial" w:cs="Arial" w:eastAsia="Arial" w:hAnsi="Arial"/>
          <w:sz w:val="18"/>
          <w:szCs w:val="18"/>
          <w:color w:val="auto"/>
        </w:rPr>
        <w:t>” of a share of Common Stock for purposes of the Plan will be determined as follows:</w:t>
      </w:r>
    </w:p>
    <w:p>
      <w:pPr>
        <w:spacing w:after="0" w:line="157" w:lineRule="exact"/>
        <w:rPr>
          <w:sz w:val="20"/>
          <w:szCs w:val="20"/>
          <w:color w:val="auto"/>
        </w:rPr>
      </w:pPr>
    </w:p>
    <w:p>
      <w:pPr>
        <w:ind w:left="2160" w:hanging="655"/>
        <w:spacing w:after="0"/>
        <w:tabs>
          <w:tab w:leader="none" w:pos="2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Common Stock trades on a national securities exchange, the closing sale price (for the primary trading session)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of grant; or</w:t>
      </w:r>
    </w:p>
    <w:p>
      <w:pPr>
        <w:spacing w:after="0" w:line="182" w:lineRule="exact"/>
        <w:rPr>
          <w:sz w:val="20"/>
          <w:szCs w:val="20"/>
          <w:color w:val="auto"/>
        </w:rPr>
      </w:pPr>
    </w:p>
    <w:p>
      <w:pPr>
        <w:ind w:right="340" w:firstLine="1505"/>
        <w:spacing w:after="0" w:line="261" w:lineRule="auto"/>
        <w:tabs>
          <w:tab w:leader="none" w:pos="21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Common Stock does not trade on any such exchange, the average of the closing bid and asked prices on the date of grant as reported by an over-the-counter marketplace designated by the Board; or</w:t>
      </w:r>
    </w:p>
    <w:p>
      <w:pPr>
        <w:spacing w:after="0" w:line="157" w:lineRule="exact"/>
        <w:rPr>
          <w:rFonts w:ascii="Arial" w:cs="Arial" w:eastAsia="Arial" w:hAnsi="Arial"/>
          <w:sz w:val="18"/>
          <w:szCs w:val="18"/>
          <w:color w:val="auto"/>
        </w:rPr>
      </w:pPr>
    </w:p>
    <w:p>
      <w:pPr>
        <w:jc w:val="both"/>
        <w:ind w:right="180" w:firstLine="1505"/>
        <w:spacing w:after="0" w:line="270" w:lineRule="auto"/>
        <w:tabs>
          <w:tab w:leader="none" w:pos="2153"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50" w:lineRule="exact"/>
        <w:rPr>
          <w:sz w:val="20"/>
          <w:szCs w:val="20"/>
          <w:color w:val="auto"/>
        </w:rPr>
      </w:pPr>
    </w:p>
    <w:p>
      <w:pPr>
        <w:jc w:val="both"/>
        <w:ind w:right="100" w:firstLine="749"/>
        <w:spacing w:after="0" w:line="287" w:lineRule="auto"/>
        <w:rPr>
          <w:sz w:val="20"/>
          <w:szCs w:val="20"/>
          <w:color w:val="auto"/>
        </w:rPr>
      </w:pPr>
      <w:r>
        <w:rPr>
          <w:rFonts w:ascii="Arial" w:cs="Arial" w:eastAsia="Arial" w:hAnsi="Arial"/>
          <w:sz w:val="16"/>
          <w:szCs w:val="16"/>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appropriate because of exchange or market procedures or can, in its sole discretion, use weighted averages either on a daily basis or such longer period as complies with Code Section 409A.</w:t>
      </w:r>
    </w:p>
    <w:p>
      <w:pPr>
        <w:spacing w:after="0" w:line="143" w:lineRule="exact"/>
        <w:rPr>
          <w:sz w:val="20"/>
          <w:szCs w:val="20"/>
          <w:color w:val="auto"/>
        </w:rPr>
      </w:pPr>
    </w:p>
    <w:p>
      <w:pPr>
        <w:ind w:right="320" w:firstLine="749"/>
        <w:spacing w:after="0" w:line="324" w:lineRule="auto"/>
        <w:rPr>
          <w:sz w:val="20"/>
          <w:szCs w:val="20"/>
          <w:color w:val="auto"/>
        </w:rPr>
      </w:pPr>
      <w:r>
        <w:rPr>
          <w:rFonts w:ascii="Arial" w:cs="Arial" w:eastAsia="Arial" w:hAnsi="Arial"/>
          <w:sz w:val="16"/>
          <w:szCs w:val="16"/>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11" w:lineRule="exact"/>
        <w:rPr>
          <w:sz w:val="20"/>
          <w:szCs w:val="20"/>
          <w:color w:val="auto"/>
        </w:rPr>
      </w:pPr>
    </w:p>
    <w:p>
      <w:pPr>
        <w:ind w:right="40" w:firstLine="757"/>
        <w:spacing w:after="0" w:line="261" w:lineRule="auto"/>
        <w:tabs>
          <w:tab w:leader="none" w:pos="140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highlight w:val="white"/>
        </w:rPr>
        <w:t>. Each Option shall be exercisable at such times and subject to such terms and conditions as the Board may specify</w:t>
      </w:r>
      <w:r>
        <w:rPr>
          <w:rFonts w:ascii="Arial" w:cs="Arial" w:eastAsia="Arial" w:hAnsi="Arial"/>
          <w:sz w:val="18"/>
          <w:szCs w:val="18"/>
          <w:color w:val="auto"/>
        </w:rPr>
        <w:t xml:space="preserve"> in the applicable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Option will be granted with a term in excess of 10 years.</w:t>
      </w:r>
    </w:p>
    <w:p>
      <w:pPr>
        <w:spacing w:after="0" w:line="157" w:lineRule="exact"/>
        <w:rPr>
          <w:rFonts w:ascii="Arial" w:cs="Arial" w:eastAsia="Arial" w:hAnsi="Arial"/>
          <w:sz w:val="18"/>
          <w:szCs w:val="18"/>
          <w:color w:val="auto"/>
        </w:rPr>
      </w:pPr>
    </w:p>
    <w:p>
      <w:pPr>
        <w:ind w:right="40" w:firstLine="757"/>
        <w:spacing w:after="0" w:line="294" w:lineRule="auto"/>
        <w:tabs>
          <w:tab w:leader="none" w:pos="140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highlight w:val="white"/>
        </w:rPr>
        <w:t>. Options may be exercised by delivery to the Company of a notice of exercise in a form (which may be electronic)</w:t>
      </w:r>
      <w:r>
        <w:rPr>
          <w:rFonts w:ascii="Arial" w:cs="Arial" w:eastAsia="Arial" w:hAnsi="Arial"/>
          <w:sz w:val="16"/>
          <w:szCs w:val="16"/>
          <w:color w:val="auto"/>
        </w:rPr>
        <w:t xml:space="preserve">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33" w:lineRule="exact"/>
        <w:rPr>
          <w:rFonts w:ascii="Arial" w:cs="Arial" w:eastAsia="Arial" w:hAnsi="Arial"/>
          <w:sz w:val="16"/>
          <w:szCs w:val="16"/>
          <w:color w:val="auto"/>
        </w:rPr>
      </w:pPr>
    </w:p>
    <w:p>
      <w:pPr>
        <w:ind w:left="1400" w:hanging="643"/>
        <w:spacing w:after="0"/>
        <w:tabs>
          <w:tab w:leader="none" w:pos="14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221" w:lineRule="exact"/>
        <w:rPr>
          <w:rFonts w:ascii="Arial" w:cs="Arial" w:eastAsia="Arial" w:hAnsi="Arial"/>
          <w:sz w:val="16"/>
          <w:szCs w:val="16"/>
          <w:color w:val="auto"/>
        </w:rPr>
      </w:pPr>
    </w:p>
    <w:p>
      <w:pPr>
        <w:ind w:left="2160" w:hanging="655"/>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98" w:lineRule="exact"/>
        <w:rPr>
          <w:rFonts w:ascii="Arial" w:cs="Arial" w:eastAsia="Arial" w:hAnsi="Arial"/>
          <w:sz w:val="18"/>
          <w:szCs w:val="18"/>
          <w:color w:val="auto"/>
        </w:rPr>
      </w:pPr>
    </w:p>
    <w:p>
      <w:pPr>
        <w:ind w:right="40" w:firstLine="1505"/>
        <w:spacing w:after="0" w:line="262" w:lineRule="auto"/>
        <w:tabs>
          <w:tab w:leader="none" w:pos="2153" w:val="left"/>
        </w:tabs>
        <w:numPr>
          <w:ilvl w:val="1"/>
          <w:numId w:val="80"/>
        </w:numPr>
        <w:rPr>
          <w:rFonts w:ascii="Arial" w:cs="Arial" w:eastAsia="Arial" w:hAnsi="Arial"/>
          <w:sz w:val="17"/>
          <w:szCs w:val="17"/>
          <w:color w:val="auto"/>
        </w:rPr>
      </w:pPr>
      <w:r>
        <w:rPr>
          <w:rFonts w:ascii="Arial" w:cs="Arial" w:eastAsia="Arial" w:hAnsi="Arial"/>
          <w:sz w:val="17"/>
          <w:szCs w:val="17"/>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58" w:lineRule="exact"/>
        <w:rPr>
          <w:rFonts w:ascii="Arial" w:cs="Arial" w:eastAsia="Arial" w:hAnsi="Arial"/>
          <w:sz w:val="17"/>
          <w:szCs w:val="17"/>
          <w:color w:val="auto"/>
        </w:rPr>
      </w:pPr>
    </w:p>
    <w:p>
      <w:pPr>
        <w:ind w:firstLine="1505"/>
        <w:spacing w:after="0" w:line="259" w:lineRule="auto"/>
        <w:tabs>
          <w:tab w:leader="none" w:pos="2153" w:val="left"/>
        </w:tabs>
        <w:numPr>
          <w:ilvl w:val="1"/>
          <w:numId w:val="80"/>
        </w:numPr>
        <w:rPr>
          <w:rFonts w:ascii="Arial" w:cs="Arial" w:eastAsia="Arial" w:hAnsi="Arial"/>
          <w:sz w:val="17"/>
          <w:szCs w:val="17"/>
          <w:color w:val="auto"/>
        </w:rPr>
      </w:pPr>
      <w:r>
        <w:rPr>
          <w:rFonts w:ascii="Arial" w:cs="Arial" w:eastAsia="Arial" w:hAnsi="Arial"/>
          <w:sz w:val="17"/>
          <w:szCs w:val="17"/>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4" w:name="page155"/>
    <w:bookmarkEnd w:id="154"/>
    <w:p>
      <w:pPr>
        <w:ind w:right="120" w:firstLine="1505"/>
        <w:spacing w:after="0" w:line="284" w:lineRule="auto"/>
        <w:tabs>
          <w:tab w:leader="none" w:pos="2153" w:val="left"/>
        </w:tabs>
        <w:numPr>
          <w:ilvl w:val="2"/>
          <w:numId w:val="81"/>
        </w:numPr>
        <w:rPr>
          <w:rFonts w:ascii="Arial" w:cs="Arial" w:eastAsia="Arial" w:hAnsi="Arial"/>
          <w:sz w:val="16"/>
          <w:szCs w:val="16"/>
          <w:color w:val="auto"/>
        </w:rPr>
      </w:pPr>
      <w:r>
        <w:rPr>
          <w:rFonts w:ascii="Arial" w:cs="Arial" w:eastAsia="Arial" w:hAnsi="Arial"/>
          <w:sz w:val="16"/>
          <w:szCs w:val="16"/>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41" w:lineRule="exact"/>
        <w:rPr>
          <w:rFonts w:ascii="Arial" w:cs="Arial" w:eastAsia="Arial" w:hAnsi="Arial"/>
          <w:sz w:val="16"/>
          <w:szCs w:val="16"/>
          <w:color w:val="auto"/>
        </w:rPr>
      </w:pPr>
    </w:p>
    <w:p>
      <w:pPr>
        <w:ind w:right="200" w:firstLine="1505"/>
        <w:spacing w:after="0" w:line="261" w:lineRule="auto"/>
        <w:tabs>
          <w:tab w:leader="none" w:pos="2153"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the extent permitted by applicable law and provided for in the applicable Option agreement or approved by the Board by payment of such other lawful consideration as the Board may determine; or</w:t>
      </w:r>
    </w:p>
    <w:p>
      <w:pPr>
        <w:spacing w:after="0" w:line="157" w:lineRule="exact"/>
        <w:rPr>
          <w:rFonts w:ascii="Arial" w:cs="Arial" w:eastAsia="Arial" w:hAnsi="Arial"/>
          <w:sz w:val="18"/>
          <w:szCs w:val="18"/>
          <w:color w:val="auto"/>
        </w:rPr>
      </w:pPr>
    </w:p>
    <w:p>
      <w:pPr>
        <w:ind w:left="2160" w:hanging="655"/>
        <w:spacing w:after="0"/>
        <w:tabs>
          <w:tab w:leader="none" w:pos="21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98" w:lineRule="exact"/>
        <w:rPr>
          <w:rFonts w:ascii="Arial" w:cs="Arial" w:eastAsia="Arial" w:hAnsi="Arial"/>
          <w:sz w:val="18"/>
          <w:szCs w:val="18"/>
          <w:color w:val="auto"/>
        </w:rPr>
      </w:pPr>
    </w:p>
    <w:p>
      <w:pPr>
        <w:ind w:left="1420" w:hanging="663"/>
        <w:spacing w:after="0"/>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the Company may not (except as provided for</w:t>
      </w:r>
    </w:p>
    <w:p>
      <w:pPr>
        <w:spacing w:after="0" w:line="34" w:lineRule="exact"/>
        <w:rPr>
          <w:rFonts w:ascii="Arial" w:cs="Arial" w:eastAsia="Arial" w:hAnsi="Arial"/>
          <w:sz w:val="16"/>
          <w:szCs w:val="16"/>
          <w:color w:val="auto"/>
        </w:rPr>
      </w:pPr>
    </w:p>
    <w:p>
      <w:pPr>
        <w:spacing w:after="0" w:line="264" w:lineRule="auto"/>
        <w:rPr>
          <w:rFonts w:ascii="Arial" w:cs="Arial" w:eastAsia="Arial" w:hAnsi="Arial"/>
          <w:sz w:val="16"/>
          <w:szCs w:val="16"/>
          <w:color w:val="auto"/>
        </w:rPr>
      </w:pPr>
      <w:r>
        <w:rPr>
          <w:rFonts w:ascii="Arial" w:cs="Arial" w:eastAsia="Arial" w:hAnsi="Arial"/>
          <w:sz w:val="16"/>
          <w:szCs w:val="16"/>
          <w:color w:val="auto"/>
        </w:rPr>
        <w:t>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the manner approved by) the Board) or</w:t>
      </w:r>
    </w:p>
    <w:p>
      <w:pPr>
        <w:ind w:firstLine="8"/>
        <w:spacing w:after="0" w:line="243"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take any other action under the Plan that constitutes a “repricing” within the meaning of the rules of the Nasdaq Global Market or any other exchange or marketplace on which the Company stock is listed or traded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w:t>
      </w:r>
    </w:p>
    <w:p>
      <w:pPr>
        <w:spacing w:after="0" w:line="172"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198" w:lineRule="exact"/>
        <w:rPr>
          <w:rFonts w:ascii="Arial" w:cs="Arial" w:eastAsia="Arial" w:hAnsi="Arial"/>
          <w:sz w:val="18"/>
          <w:szCs w:val="18"/>
          <w:color w:val="auto"/>
        </w:rPr>
      </w:pPr>
    </w:p>
    <w:p>
      <w:pPr>
        <w:jc w:val="both"/>
        <w:ind w:right="180" w:firstLine="757"/>
        <w:spacing w:after="0" w:line="284" w:lineRule="auto"/>
        <w:tabs>
          <w:tab w:leader="none" w:pos="1394"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highlight w:val="white"/>
        </w:rPr>
        <w:t>. The Board may grant Awards consisting of stock appreciation rights (“</w:t>
      </w:r>
      <w:r>
        <w:rPr>
          <w:rFonts w:ascii="Arial" w:cs="Arial" w:eastAsia="Arial" w:hAnsi="Arial"/>
          <w:sz w:val="16"/>
          <w:szCs w:val="16"/>
          <w:b w:val="1"/>
          <w:bCs w:val="1"/>
          <w:i w:val="1"/>
          <w:iCs w:val="1"/>
          <w:color w:val="auto"/>
          <w:highlight w:val="white"/>
        </w:rPr>
        <w:t>SARs</w:t>
      </w:r>
      <w:r>
        <w:rPr>
          <w:rFonts w:ascii="Arial" w:cs="Arial" w:eastAsia="Arial" w:hAnsi="Arial"/>
          <w:sz w:val="16"/>
          <w:szCs w:val="16"/>
          <w:color w:val="auto"/>
          <w:highlight w:val="white"/>
        </w:rPr>
        <w:t>”) entitling the holder, upon exercise, to receive</w:t>
      </w:r>
      <w:r>
        <w:rPr>
          <w:rFonts w:ascii="Arial" w:cs="Arial" w:eastAsia="Arial" w:hAnsi="Arial"/>
          <w:sz w:val="16"/>
          <w:szCs w:val="16"/>
          <w:color w:val="auto"/>
        </w:rPr>
        <w:t xml:space="preserve"> an amount of Common Stock or cash or a combination thereof (such form to be determined by the Board) determined by reference to appreciation, from and after the date of grant, in the fair market value of a share of Common Stock (valued in the manner determined by (or in the manner approved by) the Board) over the measurement price established pursuant to Section 6(b). The date as of which such appreciation is determined shall be the exercise date.</w:t>
      </w:r>
    </w:p>
    <w:p>
      <w:pPr>
        <w:spacing w:after="0" w:line="141" w:lineRule="exact"/>
        <w:rPr>
          <w:rFonts w:ascii="Arial" w:cs="Arial" w:eastAsia="Arial" w:hAnsi="Arial"/>
          <w:sz w:val="16"/>
          <w:szCs w:val="16"/>
          <w:color w:val="auto"/>
        </w:rPr>
      </w:pPr>
    </w:p>
    <w:p>
      <w:pPr>
        <w:ind w:right="260" w:firstLine="757"/>
        <w:spacing w:after="0" w:line="243" w:lineRule="auto"/>
        <w:tabs>
          <w:tab w:leader="none" w:pos="140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highlight w:val="white"/>
        </w:rPr>
        <w:t>. The Board shall establish the measurement price of each SAR and specify it in the applicable SAR agreement.</w:t>
      </w:r>
      <w:r>
        <w:rPr>
          <w:rFonts w:ascii="Arial" w:cs="Arial" w:eastAsia="Arial" w:hAnsi="Arial"/>
          <w:sz w:val="18"/>
          <w:szCs w:val="18"/>
          <w:color w:val="auto"/>
        </w:rPr>
        <w:t xml:space="preserve"> The measurement price shall not be less than 100% of the Grant Date Fair Market Value of the Common Stock on the date the SAR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174" w:lineRule="exact"/>
        <w:rPr>
          <w:rFonts w:ascii="Arial" w:cs="Arial" w:eastAsia="Arial" w:hAnsi="Arial"/>
          <w:sz w:val="18"/>
          <w:szCs w:val="18"/>
          <w:color w:val="auto"/>
        </w:rPr>
      </w:pPr>
    </w:p>
    <w:p>
      <w:pPr>
        <w:ind w:right="160" w:firstLine="757"/>
        <w:spacing w:after="0" w:line="261" w:lineRule="auto"/>
        <w:tabs>
          <w:tab w:leader="none" w:pos="1407"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Each SAR shall be exercisable at such times and subject to such terms and conditions as the Board may specify in the applicable SAR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SAR will be granted with a term in excess of 10 years.</w:t>
      </w:r>
    </w:p>
    <w:p>
      <w:pPr>
        <w:spacing w:after="0" w:line="157" w:lineRule="exact"/>
        <w:rPr>
          <w:rFonts w:ascii="Arial" w:cs="Arial" w:eastAsia="Arial" w:hAnsi="Arial"/>
          <w:sz w:val="18"/>
          <w:szCs w:val="18"/>
          <w:color w:val="auto"/>
        </w:rPr>
      </w:pPr>
    </w:p>
    <w:p>
      <w:pPr>
        <w:ind w:right="360" w:firstLine="757"/>
        <w:spacing w:after="0" w:line="261" w:lineRule="auto"/>
        <w:tabs>
          <w:tab w:leader="none" w:pos="140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Exercise of SARs</w:t>
      </w:r>
      <w:r>
        <w:rPr>
          <w:rFonts w:ascii="Arial" w:cs="Arial" w:eastAsia="Arial" w:hAnsi="Arial"/>
          <w:sz w:val="18"/>
          <w:szCs w:val="18"/>
          <w:color w:val="auto"/>
        </w:rPr>
        <w:t>. SARs may be exercised by delivery to the Company of a notice of exercise in a form (which may be electronic) approved by the Company, together with any other documents required by the Board.</w:t>
      </w:r>
    </w:p>
    <w:p>
      <w:pPr>
        <w:spacing w:after="0" w:line="157" w:lineRule="exact"/>
        <w:rPr>
          <w:rFonts w:ascii="Arial" w:cs="Arial" w:eastAsia="Arial" w:hAnsi="Arial"/>
          <w:sz w:val="18"/>
          <w:szCs w:val="18"/>
          <w:color w:val="auto"/>
        </w:rPr>
      </w:pPr>
    </w:p>
    <w:p>
      <w:pPr>
        <w:ind w:left="1420" w:hanging="663"/>
        <w:spacing w:after="0"/>
        <w:tabs>
          <w:tab w:leader="none" w:pos="142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highlight w:val="white"/>
        </w:rPr>
        <w:t>. Unless such action is approved by the Company’s stockholders, the Company may not (except as provided for</w:t>
      </w:r>
    </w:p>
    <w:p>
      <w:pPr>
        <w:spacing w:after="0" w:line="34" w:lineRule="exact"/>
        <w:rPr>
          <w:rFonts w:ascii="Arial" w:cs="Arial" w:eastAsia="Arial" w:hAnsi="Arial"/>
          <w:sz w:val="16"/>
          <w:szCs w:val="16"/>
          <w:color w:val="auto"/>
        </w:rPr>
      </w:pPr>
    </w:p>
    <w:p>
      <w:pPr>
        <w:ind w:right="80"/>
        <w:spacing w:after="0" w:line="274" w:lineRule="auto"/>
        <w:rPr>
          <w:rFonts w:ascii="Arial" w:cs="Arial" w:eastAsia="Arial" w:hAnsi="Arial"/>
          <w:sz w:val="16"/>
          <w:szCs w:val="16"/>
          <w:color w:val="auto"/>
        </w:rPr>
      </w:pPr>
      <w:r>
        <w:rPr>
          <w:rFonts w:ascii="Arial" w:cs="Arial" w:eastAsia="Arial" w:hAnsi="Arial"/>
          <w:sz w:val="16"/>
          <w:szCs w:val="16"/>
          <w:color w:val="auto"/>
        </w:rPr>
        <w:t>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color w:val="auto"/>
        </w:rPr>
        <w:t>approved by) the Board) or (4) take any other action under the Plan that constitutes a “repricing” within the meaning of the rules of the Exchange.</w:t>
      </w:r>
    </w:p>
    <w:p>
      <w:pPr>
        <w:spacing w:after="0" w:line="21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198" w:lineRule="exact"/>
        <w:rPr>
          <w:rFonts w:ascii="Arial" w:cs="Arial" w:eastAsia="Arial" w:hAnsi="Arial"/>
          <w:sz w:val="18"/>
          <w:szCs w:val="18"/>
          <w:color w:val="auto"/>
        </w:rPr>
      </w:pPr>
    </w:p>
    <w:p>
      <w:pPr>
        <w:ind w:firstLine="757"/>
        <w:spacing w:after="0"/>
        <w:tabs>
          <w:tab w:leader="none" w:pos="1394"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highlight w:val="white"/>
        </w:rPr>
        <w:t>. The Board may grant Awards entitling recipients to acquire shares of Common Stock (“</w:t>
      </w:r>
      <w:r>
        <w:rPr>
          <w:rFonts w:ascii="Arial" w:cs="Arial" w:eastAsia="Arial" w:hAnsi="Arial"/>
          <w:sz w:val="18"/>
          <w:szCs w:val="18"/>
          <w:b w:val="1"/>
          <w:bCs w:val="1"/>
          <w:i w:val="1"/>
          <w:iCs w:val="1"/>
          <w:color w:val="auto"/>
          <w:highlight w:val="white"/>
        </w:rPr>
        <w:t>Restricted Stock</w:t>
      </w:r>
      <w:r>
        <w:rPr>
          <w:rFonts w:ascii="Arial" w:cs="Arial" w:eastAsia="Arial" w:hAnsi="Arial"/>
          <w:sz w:val="18"/>
          <w:szCs w:val="18"/>
          <w:color w:val="auto"/>
          <w:highlight w:val="white"/>
        </w:rPr>
        <w:t>”), subject to the right</w:t>
      </w:r>
      <w:r>
        <w:rPr>
          <w:rFonts w:ascii="Arial" w:cs="Arial" w:eastAsia="Arial" w:hAnsi="Arial"/>
          <w:sz w:val="18"/>
          <w:szCs w:val="18"/>
          <w:color w:val="auto"/>
        </w:rPr>
        <w:t xml:space="preserve">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is settled (“</w:t>
      </w: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(Restricted Stock and Restricted Stock Units are each referred to herein as a “</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right="480" w:firstLine="757"/>
        <w:spacing w:after="0" w:line="261" w:lineRule="auto"/>
        <w:tabs>
          <w:tab w:leader="none" w:pos="1404"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All Restricted Stock Awards</w:t>
      </w:r>
      <w:r>
        <w:rPr>
          <w:rFonts w:ascii="Arial" w:cs="Arial" w:eastAsia="Arial" w:hAnsi="Arial"/>
          <w:sz w:val="18"/>
          <w:szCs w:val="18"/>
          <w:color w:val="auto"/>
          <w:highlight w:val="white"/>
        </w:rPr>
        <w:t>. The Board shall determine the terms and conditions of a Restricted Stock</w:t>
      </w:r>
      <w:r>
        <w:rPr>
          <w:rFonts w:ascii="Arial" w:cs="Arial" w:eastAsia="Arial" w:hAnsi="Arial"/>
          <w:sz w:val="18"/>
          <w:szCs w:val="18"/>
          <w:color w:val="auto"/>
        </w:rPr>
        <w:t xml:space="preserve"> Award, including the conditions for vesting and repurchase (or forfeiture) and the issue price, if any.</w:t>
      </w:r>
    </w:p>
    <w:p>
      <w:pPr>
        <w:spacing w:after="0" w:line="157" w:lineRule="exact"/>
        <w:rPr>
          <w:rFonts w:ascii="Arial" w:cs="Arial" w:eastAsia="Arial" w:hAnsi="Arial"/>
          <w:sz w:val="18"/>
          <w:szCs w:val="18"/>
          <w:color w:val="auto"/>
        </w:rPr>
      </w:pPr>
    </w:p>
    <w:p>
      <w:pPr>
        <w:ind w:left="1420" w:hanging="663"/>
        <w:spacing w:after="0"/>
        <w:tabs>
          <w:tab w:leader="none" w:pos="142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60" w:firstLine="1505"/>
        <w:spacing w:after="0" w:line="279" w:lineRule="auto"/>
        <w:tabs>
          <w:tab w:leader="none" w:pos="2153" w:val="left"/>
        </w:tabs>
        <w:numPr>
          <w:ilvl w:val="2"/>
          <w:numId w:val="85"/>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highlight w:val="white"/>
        </w:rPr>
        <w:t>. Unless otherwise provided in the applicable Award agreement, any dividends (whether paid in cash, stock or</w:t>
      </w:r>
      <w:r>
        <w:rPr>
          <w:rFonts w:ascii="Arial" w:cs="Arial" w:eastAsia="Arial" w:hAnsi="Arial"/>
          <w:sz w:val="16"/>
          <w:szCs w:val="16"/>
          <w:color w:val="auto"/>
        </w:rPr>
        <w:t xml:space="preserve"> property) declared and paid by the Company with respect to shares of Restricted Stock (“</w:t>
      </w:r>
      <w:r>
        <w:rPr>
          <w:rFonts w:ascii="Arial" w:cs="Arial" w:eastAsia="Arial" w:hAnsi="Arial"/>
          <w:sz w:val="16"/>
          <w:szCs w:val="16"/>
          <w:b w:val="1"/>
          <w:bCs w:val="1"/>
          <w:i w:val="1"/>
          <w:iCs w:val="1"/>
          <w:color w:val="auto"/>
        </w:rPr>
        <w:t>Accrued Dividends</w:t>
      </w:r>
      <w:r>
        <w:rPr>
          <w:rFonts w:ascii="Arial" w:cs="Arial" w:eastAsia="Arial" w:hAnsi="Arial"/>
          <w:sz w:val="16"/>
          <w:szCs w:val="16"/>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145" w:lineRule="exact"/>
        <w:rPr>
          <w:rFonts w:ascii="Arial" w:cs="Arial" w:eastAsia="Arial" w:hAnsi="Arial"/>
          <w:sz w:val="16"/>
          <w:szCs w:val="16"/>
          <w:color w:val="auto"/>
        </w:rPr>
      </w:pPr>
    </w:p>
    <w:p>
      <w:pPr>
        <w:ind w:right="200" w:firstLine="1505"/>
        <w:spacing w:after="0" w:line="276" w:lineRule="auto"/>
        <w:tabs>
          <w:tab w:leader="none" w:pos="2153" w:val="left"/>
        </w:tabs>
        <w:numPr>
          <w:ilvl w:val="2"/>
          <w:numId w:val="85"/>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Arial" w:cs="Arial" w:eastAsia="Arial" w:hAnsi="Arial"/>
          <w:sz w:val="16"/>
          <w:szCs w:val="16"/>
          <w:b w:val="1"/>
          <w:bCs w:val="1"/>
          <w:i w:val="1"/>
          <w:iCs w:val="1"/>
          <w:color w:val="auto"/>
        </w:rPr>
        <w:t>Designated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Beneficiary</w:t>
      </w:r>
      <w:r>
        <w:rPr>
          <w:rFonts w:ascii="Arial" w:cs="Arial" w:eastAsia="Arial" w:hAnsi="Arial"/>
          <w:sz w:val="16"/>
          <w:szCs w:val="16"/>
          <w:color w:val="auto"/>
        </w:rPr>
        <w:t>” means (i) the beneficiary designated, in a manner determined by the Board, by a Participant to receive amounts due or exercise rights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in the event of the Participant’s death or (ii) in the absence of an effective designation by a Participant, the Participant’s estate.</w:t>
      </w:r>
    </w:p>
    <w:p>
      <w:pPr>
        <w:spacing w:after="0" w:line="147" w:lineRule="exact"/>
        <w:rPr>
          <w:rFonts w:ascii="Arial" w:cs="Arial" w:eastAsia="Arial" w:hAnsi="Arial"/>
          <w:sz w:val="16"/>
          <w:szCs w:val="16"/>
          <w:color w:val="auto"/>
        </w:rPr>
      </w:pPr>
    </w:p>
    <w:p>
      <w:pPr>
        <w:ind w:left="1420" w:hanging="663"/>
        <w:spacing w:after="0"/>
        <w:tabs>
          <w:tab w:leader="none" w:pos="142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firstLine="1505"/>
        <w:spacing w:after="0" w:line="279" w:lineRule="auto"/>
        <w:tabs>
          <w:tab w:leader="none" w:pos="2153" w:val="left"/>
        </w:tabs>
        <w:numPr>
          <w:ilvl w:val="2"/>
          <w:numId w:val="85"/>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highlight w:val="white"/>
        </w:rPr>
        <w:t>. Upon the vesting of and/or lapsing of any other restrictions (i.e., settlement) with respect to each Restricted Stock</w:t>
      </w:r>
      <w:r>
        <w:rPr>
          <w:rFonts w:ascii="Arial" w:cs="Arial" w:eastAsia="Arial" w:hAnsi="Arial"/>
          <w:sz w:val="16"/>
          <w:szCs w:val="16"/>
          <w:color w:val="auto"/>
        </w:rPr>
        <w:t xml:space="preserve"> Unit, the Participant shall be entitled to receive from the Company such number of shares of Common Stock or (if so provided in the applicable Award agreement) an amount of cash equal to the fair market value (valued in the manner determined by (or in a manner approved by) the Board) of such number of shares of Common Stock as are set forth in the applicable Restricted Stock Unit agreement. The Board may provide that settlement of Restricted Stock Units shall be deferred, on a mandatory basis or at the election of the Participant in a manner that complies with Section 409A of the Code.</w:t>
      </w:r>
    </w:p>
    <w:p>
      <w:pPr>
        <w:spacing w:after="0" w:line="145" w:lineRule="exact"/>
        <w:rPr>
          <w:rFonts w:ascii="Arial" w:cs="Arial" w:eastAsia="Arial" w:hAnsi="Arial"/>
          <w:sz w:val="16"/>
          <w:szCs w:val="16"/>
          <w:color w:val="auto"/>
        </w:rPr>
      </w:pPr>
    </w:p>
    <w:p>
      <w:pPr>
        <w:ind w:left="2160" w:hanging="655"/>
        <w:spacing w:after="0"/>
        <w:tabs>
          <w:tab w:leader="none" w:pos="2160"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98" w:lineRule="exact"/>
        <w:rPr>
          <w:rFonts w:ascii="Arial" w:cs="Arial" w:eastAsia="Arial" w:hAnsi="Arial"/>
          <w:sz w:val="18"/>
          <w:szCs w:val="18"/>
          <w:color w:val="auto"/>
        </w:rPr>
      </w:pPr>
    </w:p>
    <w:p>
      <w:pPr>
        <w:ind w:right="40" w:firstLine="1505"/>
        <w:spacing w:after="0" w:line="262" w:lineRule="auto"/>
        <w:tabs>
          <w:tab w:leader="none" w:pos="2153" w:val="left"/>
        </w:tabs>
        <w:numPr>
          <w:ilvl w:val="2"/>
          <w:numId w:val="85"/>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highlight w:val="white"/>
        </w:rPr>
        <w:t>. The Award agreement for Restricted Stock Units may provide Participants with the right to receive an</w:t>
      </w:r>
      <w:r>
        <w:rPr>
          <w:rFonts w:ascii="Arial" w:cs="Arial" w:eastAsia="Arial" w:hAnsi="Arial"/>
          <w:sz w:val="17"/>
          <w:szCs w:val="17"/>
          <w:color w:val="auto"/>
        </w:rPr>
        <w:t xml:space="preserve"> amount equal to any dividends or other distributions declared and paid on an equal number of outstanding shares of Common Stock (“</w:t>
      </w:r>
      <w:r>
        <w:rPr>
          <w:rFonts w:ascii="Arial" w:cs="Arial" w:eastAsia="Arial" w:hAnsi="Arial"/>
          <w:sz w:val="17"/>
          <w:szCs w:val="17"/>
          <w:b w:val="1"/>
          <w:bCs w:val="1"/>
          <w:i w:val="1"/>
          <w:iCs w:val="1"/>
          <w:color w:val="auto"/>
        </w:rPr>
        <w:t>Dividend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Equivalents</w:t>
      </w:r>
      <w:r>
        <w:rPr>
          <w:rFonts w:ascii="Arial" w:cs="Arial" w:eastAsia="Arial" w:hAnsi="Arial"/>
          <w:sz w:val="17"/>
          <w:szCs w:val="17"/>
          <w:color w:val="auto"/>
        </w:rPr>
        <w:t>”). Dividend Equivalents may be settled in cash and/or shares of Common Stock and shall be subject to the same restrictions on transfer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forfeitability as the Restricted Stock Units with respect to which paid, in each case to the extent provided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-3747135</wp:posOffset>
            </wp:positionV>
            <wp:extent cx="25400" cy="1289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4">
                      <a:extLst>
                        <a:ext uri="{28A0092B-C50C-407E-A947-70E740481C1C}"/>
                      </a:extLst>
                    </a:blip>
                    <a:srcRect/>
                    <a:stretch>
                      <a:fillRect/>
                    </a:stretch>
                  </pic:blipFill>
                  <pic:spPr bwMode="auto">
                    <a:xfrm>
                      <a:off x="0" y="0"/>
                      <a:ext cx="25400" cy="1289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-1818005</wp:posOffset>
            </wp:positionV>
            <wp:extent cx="25400" cy="1289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5">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198" w:lineRule="exact"/>
        <w:rPr>
          <w:rFonts w:ascii="Arial" w:cs="Arial" w:eastAsia="Arial" w:hAnsi="Arial"/>
          <w:sz w:val="18"/>
          <w:szCs w:val="18"/>
          <w:color w:val="auto"/>
        </w:rPr>
      </w:pPr>
    </w:p>
    <w:p>
      <w:pPr>
        <w:ind w:left="-8" w:right="80" w:firstLine="757"/>
        <w:spacing w:after="0" w:line="284" w:lineRule="auto"/>
        <w:tabs>
          <w:tab w:leader="none" w:pos="1386"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highlight w:val="white"/>
        </w:rPr>
        <w:t>. The Board may grant other Awards of shares of Common Stock, and other Awards that are valued in whole or in part by</w:t>
      </w:r>
      <w:r>
        <w:rPr>
          <w:rFonts w:ascii="Arial" w:cs="Arial" w:eastAsia="Arial" w:hAnsi="Arial"/>
          <w:sz w:val="16"/>
          <w:szCs w:val="16"/>
          <w:color w:val="auto"/>
        </w:rPr>
        <w:t xml:space="preserve"> reference to, or are otherwise based on, shares of Common Stock or other property (“</w:t>
      </w: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41" w:lineRule="exact"/>
        <w:rPr>
          <w:rFonts w:ascii="Arial" w:cs="Arial" w:eastAsia="Arial" w:hAnsi="Arial"/>
          <w:sz w:val="16"/>
          <w:szCs w:val="16"/>
          <w:color w:val="auto"/>
        </w:rPr>
      </w:pPr>
    </w:p>
    <w:p>
      <w:pPr>
        <w:ind w:left="-8" w:right="180" w:firstLine="757"/>
        <w:spacing w:after="0" w:line="261" w:lineRule="auto"/>
        <w:tabs>
          <w:tab w:leader="none" w:pos="1396"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Subject to the provisions of the Plan, the Board shall determine the terms and conditions of each Other Stock-Based Award, including any purchase price applicable thereto.</w:t>
      </w:r>
    </w:p>
    <w:p>
      <w:pPr>
        <w:spacing w:after="0" w:line="157"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198" w:lineRule="exact"/>
        <w:rPr>
          <w:rFonts w:ascii="Arial" w:cs="Arial" w:eastAsia="Arial" w:hAnsi="Arial"/>
          <w:sz w:val="18"/>
          <w:szCs w:val="18"/>
          <w:color w:val="auto"/>
        </w:rPr>
      </w:pPr>
    </w:p>
    <w:p>
      <w:pPr>
        <w:ind w:left="-8" w:right="60" w:firstLine="757"/>
        <w:spacing w:after="0" w:line="269" w:lineRule="auto"/>
        <w:tabs>
          <w:tab w:leader="none" w:pos="1386"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set forth in Section 4,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Restricted Stock Unit award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7" w:lineRule="exact"/>
        <w:rPr>
          <w:rFonts w:ascii="Arial" w:cs="Arial" w:eastAsia="Arial" w:hAnsi="Arial"/>
          <w:sz w:val="16"/>
          <w:szCs w:val="16"/>
          <w:color w:val="auto"/>
        </w:rPr>
      </w:pPr>
    </w:p>
    <w:p>
      <w:pPr>
        <w:ind w:left="1412" w:hanging="663"/>
        <w:spacing w:after="0"/>
        <w:tabs>
          <w:tab w:leader="none" w:pos="141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 w:firstLine="1505"/>
        <w:spacing w:after="0" w:line="243" w:lineRule="auto"/>
        <w:tabs>
          <w:tab w:leader="none" w:pos="2145"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highlight w:val="white"/>
        </w:rPr>
        <w:t>. A “</w:t>
      </w:r>
      <w:r>
        <w:rPr>
          <w:rFonts w:ascii="Arial" w:cs="Arial" w:eastAsia="Arial" w:hAnsi="Arial"/>
          <w:sz w:val="18"/>
          <w:szCs w:val="18"/>
          <w:b w:val="1"/>
          <w:bCs w:val="1"/>
          <w:i w:val="1"/>
          <w:iCs w:val="1"/>
          <w:color w:val="auto"/>
          <w:highlight w:val="white"/>
        </w:rPr>
        <w:t>Reorganization Event</w:t>
      </w:r>
      <w:r>
        <w:rPr>
          <w:rFonts w:ascii="Arial" w:cs="Arial" w:eastAsia="Arial" w:hAnsi="Arial"/>
          <w:sz w:val="18"/>
          <w:szCs w:val="18"/>
          <w:color w:val="auto"/>
          <w:highlight w:val="white"/>
        </w:rPr>
        <w:t>” shall mean: (a) any merger or consolidation of the Company with or into another</w:t>
      </w:r>
      <w:r>
        <w:rPr>
          <w:rFonts w:ascii="Arial" w:cs="Arial" w:eastAsia="Arial" w:hAnsi="Arial"/>
          <w:sz w:val="18"/>
          <w:szCs w:val="18"/>
          <w:color w:val="auto"/>
        </w:rPr>
        <w:t xml:space="preserve">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74" w:lineRule="exact"/>
        <w:rPr>
          <w:rFonts w:ascii="Arial" w:cs="Arial" w:eastAsia="Arial" w:hAnsi="Arial"/>
          <w:sz w:val="18"/>
          <w:szCs w:val="18"/>
          <w:color w:val="auto"/>
        </w:rPr>
      </w:pPr>
    </w:p>
    <w:p>
      <w:pPr>
        <w:ind w:left="2152" w:hanging="655"/>
        <w:spacing w:after="0"/>
        <w:tabs>
          <w:tab w:leader="none" w:pos="2152"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Consequences of a Reorganization Event on Awards Other than Restricted Stock</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8" w:right="20" w:firstLine="2254"/>
        <w:spacing w:after="0" w:line="252" w:lineRule="auto"/>
        <w:tabs>
          <w:tab w:leader="none" w:pos="2907" w:val="left"/>
        </w:tabs>
        <w:numPr>
          <w:ilvl w:val="3"/>
          <w:numId w:val="86"/>
        </w:numPr>
        <w:rPr>
          <w:rFonts w:ascii="Arial" w:cs="Arial" w:eastAsia="Arial" w:hAnsi="Arial"/>
          <w:sz w:val="17"/>
          <w:szCs w:val="17"/>
          <w:color w:val="auto"/>
        </w:rPr>
      </w:pPr>
      <w:r>
        <w:rPr>
          <w:rFonts w:ascii="Arial" w:cs="Arial" w:eastAsia="Arial" w:hAnsi="Arial"/>
          <w:sz w:val="17"/>
          <w:szCs w:val="17"/>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7"/>
          <w:szCs w:val="17"/>
          <w:b w:val="1"/>
          <w:bCs w:val="1"/>
          <w:i w:val="1"/>
          <w:iCs w:val="1"/>
          <w:color w:val="auto"/>
        </w:rPr>
        <w:t>Acquisition Price</w:t>
      </w:r>
      <w:r>
        <w:rPr>
          <w:rFonts w:ascii="Arial" w:cs="Arial" w:eastAsia="Arial" w:hAnsi="Arial"/>
          <w:sz w:val="17"/>
          <w:szCs w:val="17"/>
          <w:color w:val="auto"/>
        </w:rPr>
        <w:t>”), make or provide for a cash payment to Participants with respect to each Award held by a Participant equal to (A) the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28" w:right="359" w:bottom="1440" w:gutter="0" w:footer="0" w:header="0"/>
        </w:sectPr>
      </w:pPr>
    </w:p>
    <w:bookmarkStart w:id="157" w:name="page158"/>
    <w:bookmarkEnd w:id="157"/>
    <w:p>
      <w:pPr>
        <w:ind w:right="120"/>
        <w:spacing w:after="0" w:line="276" w:lineRule="auto"/>
        <w:rPr>
          <w:sz w:val="20"/>
          <w:szCs w:val="20"/>
          <w:color w:val="auto"/>
        </w:rPr>
      </w:pPr>
      <w:r>
        <w:rPr>
          <w:rFonts w:ascii="Arial" w:cs="Arial" w:eastAsia="Arial" w:hAnsi="Arial"/>
          <w:sz w:val="16"/>
          <w:szCs w:val="16"/>
          <w:color w:val="auto"/>
        </w:rPr>
        <w:t>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148" w:lineRule="exact"/>
        <w:rPr>
          <w:sz w:val="20"/>
          <w:szCs w:val="20"/>
          <w:color w:val="auto"/>
        </w:rPr>
      </w:pPr>
    </w:p>
    <w:p>
      <w:pPr>
        <w:ind w:firstLine="2254"/>
        <w:spacing w:after="0" w:line="267" w:lineRule="auto"/>
        <w:tabs>
          <w:tab w:leader="none" w:pos="2905" w:val="left"/>
        </w:tabs>
        <w:numPr>
          <w:ilvl w:val="3"/>
          <w:numId w:val="87"/>
        </w:numPr>
        <w:rPr>
          <w:rFonts w:ascii="Arial" w:cs="Arial" w:eastAsia="Arial" w:hAnsi="Arial"/>
          <w:sz w:val="16"/>
          <w:szCs w:val="16"/>
          <w:color w:val="auto"/>
        </w:rPr>
      </w:pPr>
      <w:r>
        <w:rPr>
          <w:rFonts w:ascii="Arial" w:cs="Arial" w:eastAsia="Arial" w:hAnsi="Arial"/>
          <w:sz w:val="16"/>
          <w:szCs w:val="16"/>
          <w:color w:val="auto"/>
        </w:rPr>
        <w:t>Notwithstanding the terms of Section 9(b)(2)(A),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9(b)(2)(A)(i) and the Restricted Stock Units shall instead be settled in accordance with the terms of the applicable Restricted Stock Unit agreement; and (ii) the Board may only undertake the actions set forth in clauses (iii), (iv) or (v) of Section 9(b)(2)(A) if the Reorganization Event constitutes a “change in control event” as defined under Treasury Regulation Section 1.409A-3(i)</w:t>
      </w:r>
    </w:p>
    <w:p>
      <w:pPr>
        <w:spacing w:after="0" w:line="2" w:lineRule="exact"/>
        <w:rPr>
          <w:rFonts w:ascii="Arial" w:cs="Arial" w:eastAsia="Arial" w:hAnsi="Arial"/>
          <w:sz w:val="16"/>
          <w:szCs w:val="16"/>
          <w:color w:val="auto"/>
        </w:rPr>
      </w:pPr>
    </w:p>
    <w:p>
      <w:pPr>
        <w:ind w:right="100"/>
        <w:spacing w:after="0" w:line="238" w:lineRule="auto"/>
        <w:rPr>
          <w:rFonts w:ascii="Arial" w:cs="Arial" w:eastAsia="Arial" w:hAnsi="Arial"/>
          <w:sz w:val="16"/>
          <w:szCs w:val="16"/>
          <w:color w:val="auto"/>
        </w:rPr>
      </w:pPr>
      <w:r>
        <w:rPr>
          <w:rFonts w:ascii="Arial" w:cs="Arial" w:eastAsia="Arial" w:hAnsi="Arial"/>
          <w:sz w:val="18"/>
          <w:szCs w:val="18"/>
          <w:color w:val="auto"/>
        </w:rPr>
        <w:t>(5)(i)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9(b)(2)(A), then the unvested Restricted Stock Units shall terminate immediately prior to the consummation of the Reorganization Event without any payment in exchange therefor.</w:t>
      </w:r>
    </w:p>
    <w:p>
      <w:pPr>
        <w:spacing w:after="0" w:line="175" w:lineRule="exact"/>
        <w:rPr>
          <w:rFonts w:ascii="Arial" w:cs="Arial" w:eastAsia="Arial" w:hAnsi="Arial"/>
          <w:sz w:val="16"/>
          <w:szCs w:val="16"/>
          <w:color w:val="auto"/>
        </w:rPr>
      </w:pPr>
    </w:p>
    <w:p>
      <w:pPr>
        <w:ind w:firstLine="2254"/>
        <w:spacing w:after="0" w:line="252" w:lineRule="auto"/>
        <w:tabs>
          <w:tab w:leader="none" w:pos="2905" w:val="left"/>
        </w:tabs>
        <w:numPr>
          <w:ilvl w:val="3"/>
          <w:numId w:val="87"/>
        </w:numPr>
        <w:rPr>
          <w:rFonts w:ascii="Arial" w:cs="Arial" w:eastAsia="Arial" w:hAnsi="Arial"/>
          <w:sz w:val="17"/>
          <w:szCs w:val="17"/>
          <w:color w:val="auto"/>
        </w:rPr>
      </w:pPr>
      <w:r>
        <w:rPr>
          <w:rFonts w:ascii="Arial" w:cs="Arial" w:eastAsia="Arial" w:hAnsi="Arial"/>
          <w:sz w:val="17"/>
          <w:szCs w:val="17"/>
          <w:color w:val="auto"/>
        </w:rPr>
        <w:t xml:space="preserve">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72" w:lineRule="exact"/>
        <w:rPr>
          <w:rFonts w:ascii="Arial" w:cs="Arial" w:eastAsia="Arial" w:hAnsi="Arial"/>
          <w:sz w:val="17"/>
          <w:szCs w:val="17"/>
          <w:color w:val="auto"/>
        </w:rPr>
      </w:pPr>
    </w:p>
    <w:p>
      <w:pPr>
        <w:ind w:right="140" w:firstLine="1505"/>
        <w:spacing w:after="0" w:line="253" w:lineRule="auto"/>
        <w:tabs>
          <w:tab w:leader="none" w:pos="2153" w:val="left"/>
        </w:tabs>
        <w:numPr>
          <w:ilvl w:val="2"/>
          <w:numId w:val="88"/>
        </w:numPr>
        <w:rPr>
          <w:rFonts w:ascii="Arial" w:cs="Arial" w:eastAsia="Arial" w:hAnsi="Arial"/>
          <w:sz w:val="17"/>
          <w:szCs w:val="17"/>
          <w:color w:val="auto"/>
        </w:rPr>
      </w:pPr>
      <w:r>
        <w:rPr>
          <w:rFonts w:ascii="Arial" w:cs="Arial" w:eastAsia="Arial" w:hAnsi="Arial"/>
          <w:sz w:val="17"/>
          <w:szCs w:val="17"/>
          <w:u w:val="single" w:color="auto"/>
          <w:color w:val="auto"/>
        </w:rPr>
        <w:t>Consequences of a Reorganization Event on Restricted Stock</w:t>
      </w:r>
      <w:r>
        <w:rPr>
          <w:rFonts w:ascii="Arial" w:cs="Arial" w:eastAsia="Arial" w:hAnsi="Arial"/>
          <w:sz w:val="17"/>
          <w:szCs w:val="17"/>
          <w:color w:val="auto"/>
          <w:highlight w:val="white"/>
        </w:rPr>
        <w:t>. Upon the occurrence of a Reorganization Event other than a</w:t>
      </w:r>
      <w:r>
        <w:rPr>
          <w:rFonts w:ascii="Arial" w:cs="Arial" w:eastAsia="Arial" w:hAnsi="Arial"/>
          <w:sz w:val="17"/>
          <w:szCs w:val="17"/>
          <w:color w:val="auto"/>
        </w:rPr>
        <w:t xml:space="preserve">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70" w:lineRule="exact"/>
        <w:rPr>
          <w:rFonts w:ascii="Arial" w:cs="Arial" w:eastAsia="Arial" w:hAnsi="Arial"/>
          <w:sz w:val="17"/>
          <w:szCs w:val="17"/>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198" w:lineRule="exact"/>
        <w:rPr>
          <w:rFonts w:ascii="Arial" w:cs="Arial" w:eastAsia="Arial" w:hAnsi="Arial"/>
          <w:sz w:val="18"/>
          <w:szCs w:val="18"/>
          <w:color w:val="auto"/>
        </w:rPr>
      </w:pPr>
    </w:p>
    <w:p>
      <w:pPr>
        <w:ind w:right="100" w:firstLine="757"/>
        <w:spacing w:after="0" w:line="248" w:lineRule="auto"/>
        <w:tabs>
          <w:tab w:leader="none" w:pos="1394"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Awards shall not be sold, assigned, transferred, pledged or otherwise encumbered by the Participant, either voluntarily or by operation of law, except by will or the laws of descent and distribution or pursuant to a qualified domestic relations order, and, during the life of the Participant,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8" w:name="page159"/>
    <w:bookmarkEnd w:id="158"/>
    <w:p>
      <w:pPr>
        <w:ind w:right="80"/>
        <w:spacing w:after="0" w:line="272" w:lineRule="auto"/>
        <w:rPr>
          <w:sz w:val="20"/>
          <w:szCs w:val="20"/>
          <w:color w:val="auto"/>
        </w:rPr>
      </w:pPr>
      <w:r>
        <w:rPr>
          <w:rFonts w:ascii="Arial" w:cs="Arial" w:eastAsia="Arial" w:hAnsi="Arial"/>
          <w:sz w:val="16"/>
          <w:szCs w:val="16"/>
          <w:color w:val="auto"/>
        </w:rPr>
        <w:t xml:space="preserve">exercisable only by the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with respect to Awards subject to Section 409A of the Code,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of 1933, as amended, for the registration of the sale of the Common Stock subject to such Award to such proposed transferee;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Company shall not be required to recognize any such permitted transfer until such time as such permitted transferee shall, as a condition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54" w:lineRule="exact"/>
        <w:rPr>
          <w:sz w:val="20"/>
          <w:szCs w:val="20"/>
          <w:color w:val="auto"/>
        </w:rPr>
      </w:pPr>
    </w:p>
    <w:p>
      <w:pPr>
        <w:ind w:right="180" w:firstLine="757"/>
        <w:spacing w:after="0" w:line="262" w:lineRule="auto"/>
        <w:tabs>
          <w:tab w:leader="none" w:pos="1404"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Documentation; Press Release</w:t>
      </w:r>
      <w:r>
        <w:rPr>
          <w:rFonts w:ascii="Arial" w:cs="Arial" w:eastAsia="Arial" w:hAnsi="Arial"/>
          <w:sz w:val="17"/>
          <w:szCs w:val="17"/>
          <w:color w:val="auto"/>
          <w:highlight w:val="white"/>
        </w:rPr>
        <w:t>. Each Award shall be evidenced in such form (written, electronic or otherwise) as the Board shall</w:t>
      </w:r>
      <w:r>
        <w:rPr>
          <w:rFonts w:ascii="Arial" w:cs="Arial" w:eastAsia="Arial" w:hAnsi="Arial"/>
          <w:sz w:val="17"/>
          <w:szCs w:val="17"/>
          <w:color w:val="auto"/>
        </w:rPr>
        <w:t xml:space="preserve"> determine. Each Award may contain terms and conditions in addition to those set forth in the Plan. Promptly following the grant of an Award hereunder, the Company must disclose in a press release the material terms of the grant, the number of shares involved, and, if required by law or the rules of the Exchange, the identity of the Participant and each Participant, by accepting the Award, consents to the foregoing.</w:t>
      </w:r>
    </w:p>
    <w:p>
      <w:pPr>
        <w:spacing w:after="0" w:line="158" w:lineRule="exact"/>
        <w:rPr>
          <w:rFonts w:ascii="Arial" w:cs="Arial" w:eastAsia="Arial" w:hAnsi="Arial"/>
          <w:sz w:val="17"/>
          <w:szCs w:val="17"/>
          <w:color w:val="auto"/>
        </w:rPr>
      </w:pPr>
    </w:p>
    <w:p>
      <w:pPr>
        <w:ind w:right="200" w:firstLine="757"/>
        <w:spacing w:after="0" w:line="261" w:lineRule="auto"/>
        <w:tabs>
          <w:tab w:leader="none" w:pos="140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57" w:lineRule="exact"/>
        <w:rPr>
          <w:rFonts w:ascii="Arial" w:cs="Arial" w:eastAsia="Arial" w:hAnsi="Arial"/>
          <w:sz w:val="18"/>
          <w:szCs w:val="18"/>
          <w:color w:val="auto"/>
        </w:rPr>
      </w:pPr>
    </w:p>
    <w:p>
      <w:pPr>
        <w:ind w:right="120" w:firstLine="757"/>
        <w:spacing w:after="0" w:line="294" w:lineRule="auto"/>
        <w:tabs>
          <w:tab w:leader="none" w:pos="1404"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highlight w:val="white"/>
        </w:rPr>
        <w:t>. The Board shall determine the effect on an Award of the disability, death, termination or other cessation of</w:t>
      </w:r>
      <w:r>
        <w:rPr>
          <w:rFonts w:ascii="Arial" w:cs="Arial" w:eastAsia="Arial" w:hAnsi="Arial"/>
          <w:sz w:val="16"/>
          <w:szCs w:val="16"/>
          <w:color w:val="auto"/>
        </w:rPr>
        <w:t xml:space="preserve">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33" w:lineRule="exact"/>
        <w:rPr>
          <w:rFonts w:ascii="Arial" w:cs="Arial" w:eastAsia="Arial" w:hAnsi="Arial"/>
          <w:sz w:val="16"/>
          <w:szCs w:val="16"/>
          <w:color w:val="auto"/>
        </w:rPr>
      </w:pPr>
    </w:p>
    <w:p>
      <w:pPr>
        <w:ind w:firstLine="757"/>
        <w:spacing w:after="0" w:line="267" w:lineRule="auto"/>
        <w:tabs>
          <w:tab w:leader="none" w:pos="1407"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highlight w:val="white"/>
        </w:rPr>
        <w:t>. The Participant must satisfy all applicable federal, state, and local or other income and employment tax withholding</w:t>
      </w:r>
      <w:r>
        <w:rPr>
          <w:rFonts w:ascii="Arial" w:cs="Arial" w:eastAsia="Arial" w:hAnsi="Arial"/>
          <w:sz w:val="16"/>
          <w:szCs w:val="16"/>
          <w:color w:val="auto"/>
        </w:rPr>
        <w:t xml:space="preserve">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except as otherwise provided by the Committee,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65" w:lineRule="exact"/>
        <w:rPr>
          <w:rFonts w:ascii="Arial" w:cs="Arial" w:eastAsia="Arial" w:hAnsi="Arial"/>
          <w:sz w:val="16"/>
          <w:szCs w:val="16"/>
          <w:color w:val="auto"/>
        </w:rPr>
      </w:pPr>
    </w:p>
    <w:p>
      <w:pPr>
        <w:ind w:right="160" w:firstLine="757"/>
        <w:spacing w:after="0" w:line="262" w:lineRule="auto"/>
        <w:tabs>
          <w:tab w:leader="none" w:pos="140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Amendment of Award</w:t>
      </w:r>
      <w:r>
        <w:rPr>
          <w:rFonts w:ascii="Arial" w:cs="Arial" w:eastAsia="Arial" w:hAnsi="Arial"/>
          <w:sz w:val="17"/>
          <w:szCs w:val="17"/>
          <w:color w:val="auto"/>
          <w:highlight w:val="white"/>
        </w:rPr>
        <w:t>. Except as otherwise provided in Sections 5(g) and 6(e) with respect to repricings, the Board may amend,</w:t>
      </w:r>
      <w:r>
        <w:rPr>
          <w:rFonts w:ascii="Arial" w:cs="Arial" w:eastAsia="Arial" w:hAnsi="Arial"/>
          <w:sz w:val="17"/>
          <w:szCs w:val="17"/>
          <w:color w:val="auto"/>
        </w:rPr>
        <w:t xml:space="preserve"> modify or terminate any outstanding Award, including but not limited to, substituting therefor another Award of the same or a different type and changing the date of exercise or realization provided that no amendment that would require stockholder approval under the rules of the Exchange may be made effective unless and until the Company’s stockholders approve such amendment. The Participant’s consent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9" w:name="page160"/>
    <w:bookmarkEnd w:id="159"/>
    <w:p>
      <w:pPr>
        <w:ind w:right="180"/>
        <w:spacing w:after="0" w:line="261" w:lineRule="auto"/>
        <w:rPr>
          <w:sz w:val="20"/>
          <w:szCs w:val="20"/>
          <w:color w:val="auto"/>
        </w:rPr>
      </w:pPr>
      <w:r>
        <w:rPr>
          <w:rFonts w:ascii="Arial" w:cs="Arial" w:eastAsia="Arial" w:hAnsi="Arial"/>
          <w:sz w:val="18"/>
          <w:szCs w:val="18"/>
          <w:color w:val="auto"/>
        </w:rPr>
        <w:t>action shall be required unless (i) the Board determines that the action, taking into account any related action, does not materially and adversely affect the Participant’s rights under the Plan or (ii) the change is permitted under Section 9.</w:t>
      </w:r>
    </w:p>
    <w:p>
      <w:pPr>
        <w:spacing w:after="0" w:line="157" w:lineRule="exact"/>
        <w:rPr>
          <w:sz w:val="20"/>
          <w:szCs w:val="20"/>
          <w:color w:val="auto"/>
        </w:rPr>
      </w:pPr>
    </w:p>
    <w:p>
      <w:pPr>
        <w:ind w:right="20" w:firstLine="757"/>
        <w:spacing w:after="0"/>
        <w:tabs>
          <w:tab w:leader="none" w:pos="1417"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highlight w:val="white"/>
        </w:rPr>
        <w:t>. The Company will not be obligated to deliver any shares of Common Stock pursuant to the Plan or to</w:t>
      </w:r>
      <w:r>
        <w:rPr>
          <w:rFonts w:ascii="Arial" w:cs="Arial" w:eastAsia="Arial" w:hAnsi="Arial"/>
          <w:sz w:val="18"/>
          <w:szCs w:val="18"/>
          <w:color w:val="auto"/>
        </w:rPr>
        <w:t xml:space="preserve">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75" w:lineRule="exact"/>
        <w:rPr>
          <w:rFonts w:ascii="Arial" w:cs="Arial" w:eastAsia="Arial" w:hAnsi="Arial"/>
          <w:sz w:val="18"/>
          <w:szCs w:val="18"/>
          <w:color w:val="auto"/>
        </w:rPr>
      </w:pPr>
    </w:p>
    <w:p>
      <w:pPr>
        <w:ind w:right="160" w:firstLine="757"/>
        <w:spacing w:after="0" w:line="261" w:lineRule="auto"/>
        <w:tabs>
          <w:tab w:leader="none" w:pos="140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highlight w:val="white"/>
        </w:rPr>
        <w:t>. The Board may at any time provide that any Award shall become immediately exercisable in whole or in part, free from</w:t>
      </w:r>
      <w:r>
        <w:rPr>
          <w:rFonts w:ascii="Arial" w:cs="Arial" w:eastAsia="Arial" w:hAnsi="Arial"/>
          <w:sz w:val="18"/>
          <w:szCs w:val="18"/>
          <w:color w:val="auto"/>
        </w:rPr>
        <w:t xml:space="preserve"> some or all restrictions or conditions, or otherwise realizable in whole or in part, as the case may be.</w:t>
      </w:r>
    </w:p>
    <w:p>
      <w:pPr>
        <w:spacing w:after="0" w:line="157" w:lineRule="exact"/>
        <w:rPr>
          <w:rFonts w:ascii="Arial" w:cs="Arial" w:eastAsia="Arial" w:hAnsi="Arial"/>
          <w:sz w:val="18"/>
          <w:szCs w:val="18"/>
          <w:color w:val="auto"/>
        </w:rPr>
      </w:pPr>
    </w:p>
    <w:p>
      <w:pPr>
        <w:ind w:left="640" w:hanging="63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98" w:lineRule="exact"/>
        <w:rPr>
          <w:rFonts w:ascii="Arial" w:cs="Arial" w:eastAsia="Arial" w:hAnsi="Arial"/>
          <w:sz w:val="18"/>
          <w:szCs w:val="18"/>
          <w:color w:val="auto"/>
        </w:rPr>
      </w:pPr>
    </w:p>
    <w:p>
      <w:pPr>
        <w:ind w:right="40" w:firstLine="757"/>
        <w:spacing w:after="0" w:line="243" w:lineRule="auto"/>
        <w:tabs>
          <w:tab w:leader="none" w:pos="1394"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4" w:lineRule="exact"/>
        <w:rPr>
          <w:rFonts w:ascii="Arial" w:cs="Arial" w:eastAsia="Arial" w:hAnsi="Arial"/>
          <w:sz w:val="18"/>
          <w:szCs w:val="18"/>
          <w:color w:val="auto"/>
        </w:rPr>
      </w:pPr>
    </w:p>
    <w:p>
      <w:pPr>
        <w:ind w:right="100" w:firstLine="757"/>
        <w:spacing w:after="0" w:line="243" w:lineRule="auto"/>
        <w:tabs>
          <w:tab w:leader="none" w:pos="1404"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Clawback Policy</w:t>
      </w:r>
      <w:r>
        <w:rPr>
          <w:rFonts w:ascii="Arial" w:cs="Arial" w:eastAsia="Arial" w:hAnsi="Arial"/>
          <w:sz w:val="18"/>
          <w:szCs w:val="18"/>
          <w:color w:val="auto"/>
          <w:highlight w:val="white"/>
        </w:rPr>
        <w:t>. Subject to the provisions of the applicable Award, no Participant or Designated</w:t>
      </w:r>
      <w:r>
        <w:rPr>
          <w:rFonts w:ascii="Arial" w:cs="Arial" w:eastAsia="Arial" w:hAnsi="Arial"/>
          <w:sz w:val="18"/>
          <w:szCs w:val="18"/>
          <w:color w:val="auto"/>
        </w:rPr>
        <w:t xml:space="preserve"> Beneficiary shall have any rights as a stockholder with respect to any shares of Common Stock to be issued with respect to an Award until becoming the record holder of such shares. In accepting an Award under the Plan, a Participant agrees to be bound by any clawback policy the Company has in effect or may adopt in the future.</w:t>
      </w:r>
    </w:p>
    <w:p>
      <w:pPr>
        <w:spacing w:after="0" w:line="174" w:lineRule="exact"/>
        <w:rPr>
          <w:rFonts w:ascii="Arial" w:cs="Arial" w:eastAsia="Arial" w:hAnsi="Arial"/>
          <w:sz w:val="18"/>
          <w:szCs w:val="18"/>
          <w:color w:val="auto"/>
        </w:rPr>
      </w:pPr>
    </w:p>
    <w:p>
      <w:pPr>
        <w:ind w:right="120" w:firstLine="757"/>
        <w:spacing w:after="0" w:line="248" w:lineRule="auto"/>
        <w:tabs>
          <w:tab w:leader="none" w:pos="1407"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highlight w:val="white"/>
        </w:rPr>
        <w:t>. The Plan shall become effective on the date on which it is adopted by the Board (the “</w:t>
      </w:r>
      <w:r>
        <w:rPr>
          <w:rFonts w:ascii="Arial" w:cs="Arial" w:eastAsia="Arial" w:hAnsi="Arial"/>
          <w:sz w:val="18"/>
          <w:szCs w:val="18"/>
          <w:b w:val="1"/>
          <w:bCs w:val="1"/>
          <w:i w:val="1"/>
          <w:iCs w:val="1"/>
          <w:color w:val="auto"/>
          <w:highlight w:val="white"/>
        </w:rPr>
        <w:t>Effective Date</w:t>
      </w:r>
      <w:r>
        <w:rPr>
          <w:rFonts w:ascii="Arial" w:cs="Arial" w:eastAsia="Arial" w:hAnsi="Arial"/>
          <w:sz w:val="18"/>
          <w:szCs w:val="18"/>
          <w:color w:val="auto"/>
          <w:highlight w:val="white"/>
        </w:rPr>
        <w:t>”). It is expressly</w:t>
      </w:r>
      <w:r>
        <w:rPr>
          <w:rFonts w:ascii="Arial" w:cs="Arial" w:eastAsia="Arial" w:hAnsi="Arial"/>
          <w:sz w:val="18"/>
          <w:szCs w:val="18"/>
          <w:color w:val="auto"/>
        </w:rPr>
        <w:t xml:space="preserve"> intended that approval of the Company’s stockholders not be required as a condition to the effectiveness of the Plan, and the Plan’s provisions shall be interpreted in a manner consistent with such intent for all purposes.</w:t>
      </w:r>
    </w:p>
    <w:p>
      <w:pPr>
        <w:spacing w:after="0" w:line="168" w:lineRule="exact"/>
        <w:rPr>
          <w:rFonts w:ascii="Arial" w:cs="Arial" w:eastAsia="Arial" w:hAnsi="Arial"/>
          <w:sz w:val="18"/>
          <w:szCs w:val="18"/>
          <w:color w:val="auto"/>
        </w:rPr>
      </w:pPr>
    </w:p>
    <w:p>
      <w:pPr>
        <w:ind w:right="40" w:firstLine="757"/>
        <w:spacing w:after="0" w:line="279" w:lineRule="auto"/>
        <w:tabs>
          <w:tab w:leader="none" w:pos="1404"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highlight w:val="white"/>
        </w:rPr>
        <w:t>. The Board may amend, suspend or terminate the Plan or any portion thereof at any time provided that no</w:t>
      </w:r>
      <w:r>
        <w:rPr>
          <w:rFonts w:ascii="Arial" w:cs="Arial" w:eastAsia="Arial" w:hAnsi="Arial"/>
          <w:sz w:val="16"/>
          <w:szCs w:val="16"/>
          <w:color w:val="auto"/>
        </w:rPr>
        <w:t xml:space="preserve"> amendment that would require stockholder approval under the rules of the Exchange may be made effective unless and until the Company’s stockholders approve such amendment.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145" w:lineRule="exact"/>
        <w:rPr>
          <w:rFonts w:ascii="Arial" w:cs="Arial" w:eastAsia="Arial" w:hAnsi="Arial"/>
          <w:sz w:val="16"/>
          <w:szCs w:val="16"/>
          <w:color w:val="auto"/>
        </w:rPr>
      </w:pPr>
    </w:p>
    <w:p>
      <w:pPr>
        <w:ind w:firstLine="757"/>
        <w:spacing w:after="0" w:line="276" w:lineRule="auto"/>
        <w:tabs>
          <w:tab w:leader="none" w:pos="1407"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 (including for Grants to non-U.S. Employees)</w:t>
      </w:r>
      <w:r>
        <w:rPr>
          <w:rFonts w:ascii="Arial" w:cs="Arial" w:eastAsia="Arial" w:hAnsi="Arial"/>
          <w:sz w:val="16"/>
          <w:szCs w:val="16"/>
          <w:color w:val="auto"/>
          <w:highlight w:val="white"/>
        </w:rPr>
        <w:t>. The Board may from time to time establish one or more sub-</w:t>
      </w:r>
      <w:r>
        <w:rPr>
          <w:rFonts w:ascii="Arial" w:cs="Arial" w:eastAsia="Arial" w:hAnsi="Arial"/>
          <w:sz w:val="16"/>
          <w:szCs w:val="16"/>
          <w:color w:val="auto"/>
        </w:rPr>
        <w:t>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47" w:lineRule="exact"/>
        <w:rPr>
          <w:rFonts w:ascii="Arial" w:cs="Arial" w:eastAsia="Arial" w:hAnsi="Arial"/>
          <w:sz w:val="16"/>
          <w:szCs w:val="16"/>
          <w:color w:val="auto"/>
        </w:rPr>
      </w:pPr>
    </w:p>
    <w:p>
      <w:pPr>
        <w:ind w:right="20" w:firstLine="757"/>
        <w:spacing w:after="0" w:line="248" w:lineRule="auto"/>
        <w:tabs>
          <w:tab w:leader="none" w:pos="1401"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ind w:right="80"/>
        <w:spacing w:after="0" w:line="276" w:lineRule="auto"/>
        <w:rPr>
          <w:sz w:val="20"/>
          <w:szCs w:val="20"/>
          <w:color w:val="auto"/>
        </w:rPr>
      </w:pPr>
      <w:r>
        <w:rPr>
          <w:rFonts w:ascii="Arial" w:cs="Arial" w:eastAsia="Arial" w:hAnsi="Arial"/>
          <w:sz w:val="16"/>
          <w:szCs w:val="16"/>
          <w:color w:val="auto"/>
        </w:rPr>
        <w:t>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Arial" w:cs="Arial" w:eastAsia="Arial" w:hAnsi="Arial"/>
          <w:sz w:val="16"/>
          <w:szCs w:val="16"/>
          <w:b w:val="1"/>
          <w:bCs w:val="1"/>
          <w:i w:val="1"/>
          <w:iCs w:val="1"/>
          <w:color w:val="auto"/>
        </w:rPr>
        <w:t>New Payment Date</w:t>
      </w:r>
      <w:r>
        <w:rPr>
          <w:rFonts w:ascii="Arial" w:cs="Arial" w:eastAsia="Arial" w:hAnsi="Arial"/>
          <w:sz w:val="16"/>
          <w:szCs w:val="16"/>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4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68" w:lineRule="exact"/>
        <w:rPr>
          <w:sz w:val="20"/>
          <w:szCs w:val="20"/>
          <w:color w:val="auto"/>
        </w:rPr>
      </w:pPr>
    </w:p>
    <w:p>
      <w:pPr>
        <w:ind w:right="40" w:firstLine="757"/>
        <w:spacing w:after="0" w:line="255" w:lineRule="auto"/>
        <w:tabs>
          <w:tab w:leader="none" w:pos="1417"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Limitations on Liability</w:t>
      </w:r>
      <w:r>
        <w:rPr>
          <w:rFonts w:ascii="Arial" w:cs="Arial" w:eastAsia="Arial" w:hAnsi="Arial"/>
          <w:sz w:val="17"/>
          <w:szCs w:val="17"/>
          <w:color w:val="auto"/>
          <w:highlight w:val="white"/>
        </w:rPr>
        <w:t>. Notwithstanding any other provisions of the Plan, no individual acting as a director, officer, employee or</w:t>
      </w:r>
      <w:r>
        <w:rPr>
          <w:rFonts w:ascii="Arial" w:cs="Arial" w:eastAsia="Arial" w:hAnsi="Arial"/>
          <w:sz w:val="17"/>
          <w:szCs w:val="17"/>
          <w:color w:val="auto"/>
        </w:rPr>
        <w:t xml:space="preserve">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66" w:lineRule="exact"/>
        <w:rPr>
          <w:rFonts w:ascii="Arial" w:cs="Arial" w:eastAsia="Arial" w:hAnsi="Arial"/>
          <w:sz w:val="17"/>
          <w:szCs w:val="17"/>
          <w:color w:val="auto"/>
        </w:rPr>
      </w:pPr>
    </w:p>
    <w:p>
      <w:pPr>
        <w:ind w:firstLine="757"/>
        <w:spacing w:after="0" w:line="248" w:lineRule="auto"/>
        <w:tabs>
          <w:tab w:leader="none" w:pos="140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highlight w:val="white"/>
        </w:rPr>
        <w:t>. The provisions of the Plan and all Awards made hereunder shall be governed by and interpreted in accordance with the</w:t>
      </w:r>
      <w:r>
        <w:rPr>
          <w:rFonts w:ascii="Arial" w:cs="Arial" w:eastAsia="Arial" w:hAnsi="Arial"/>
          <w:sz w:val="18"/>
          <w:szCs w:val="18"/>
          <w:color w:val="auto"/>
        </w:rPr>
        <w:t xml:space="preserve"> laws of the State of Delaware, excluding choice-of-law principles of the law of such state that would require the application of the laws of a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10.13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FULCRUM THERAPEUTICS, INC.</w:t>
      </w:r>
    </w:p>
    <w:p>
      <w:pPr>
        <w:jc w:val="center"/>
        <w:spacing w:after="0"/>
        <w:rPr>
          <w:sz w:val="20"/>
          <w:szCs w:val="20"/>
          <w:color w:val="auto"/>
        </w:rPr>
      </w:pPr>
      <w:r>
        <w:rPr>
          <w:rFonts w:ascii="Arial" w:cs="Arial" w:eastAsia="Arial" w:hAnsi="Arial"/>
          <w:sz w:val="18"/>
          <w:szCs w:val="18"/>
          <w:u w:val="single" w:color="auto"/>
          <w:color w:val="auto"/>
        </w:rPr>
        <w:t>NONSTATUTORY STOCK OPTION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Granted Under 2022 Inducement Stock Incentive Plan</w:t>
      </w:r>
    </w:p>
    <w:p>
      <w:pPr>
        <w:spacing w:after="0" w:line="198"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 xml:space="preserve">Fulcrum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the following stock option pursuant to its 2022 Inducement Stock Incentive Plan (the “Plan”). The terms and conditions attached hereto are also a part hereof.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Grant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Name of optionee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771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Number of shares of the Company’s Common Stock subject to this option</w:t>
      </w:r>
    </w:p>
    <w:p>
      <w:pPr>
        <w:ind w:left="20"/>
        <w:spacing w:after="0"/>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 exercise price per Share (1):</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 if any, of Shares that vest immediately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Shares that are subject to vesting schedule:</w:t>
      </w:r>
    </w:p>
    <w:p>
      <w:pPr>
        <w:ind w:left="20"/>
        <w:spacing w:after="0" w:line="235" w:lineRule="auto"/>
        <w:rPr>
          <w:sz w:val="20"/>
          <w:szCs w:val="20"/>
          <w:color w:val="auto"/>
        </w:rPr>
      </w:pPr>
      <w:r>
        <w:rPr>
          <w:rFonts w:ascii="Arial" w:cs="Arial" w:eastAsia="Arial" w:hAnsi="Arial"/>
          <w:sz w:val="18"/>
          <w:szCs w:val="18"/>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Final Exercise Date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03"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2"/>
          <w:szCs w:val="12"/>
          <w:b w:val="1"/>
          <w:bCs w:val="1"/>
          <w:color w:val="auto"/>
        </w:rPr>
        <w:t>Number of Options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All vesting is dependent on the Participant remaining an Eligible Participant, as provided herein.</w:t>
      </w:r>
    </w:p>
    <w:p>
      <w:pPr>
        <w:spacing w:after="0" w:line="198"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This option satisfies in full all commitments that the Company has to the Participant with respect to the issuance of stock, stock options or other equity securities.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5220" w:type="dxa"/>
            <w:vAlign w:val="bottom"/>
            <w:gridSpan w:val="2"/>
          </w:tcPr>
          <w:p>
            <w:pPr>
              <w:ind w:left="340"/>
              <w:spacing w:after="0"/>
              <w:rPr>
                <w:sz w:val="20"/>
                <w:szCs w:val="20"/>
                <w:color w:val="auto"/>
              </w:rPr>
            </w:pPr>
            <w:r>
              <w:rPr>
                <w:rFonts w:ascii="Arial" w:cs="Arial" w:eastAsia="Arial" w:hAnsi="Arial"/>
                <w:sz w:val="18"/>
                <w:szCs w:val="18"/>
                <w:color w:val="auto"/>
              </w:rPr>
              <w:t>Fulcrum Therapeutics, Inc.</w:t>
            </w:r>
          </w:p>
        </w:tc>
        <w:tc>
          <w:tcPr>
            <w:tcW w:w="0" w:type="dxa"/>
            <w:vAlign w:val="bottom"/>
          </w:tcPr>
          <w:p>
            <w:pPr>
              <w:spacing w:after="0"/>
              <w:rPr>
                <w:sz w:val="1"/>
                <w:szCs w:val="1"/>
                <w:color w:val="auto"/>
              </w:rPr>
            </w:pPr>
          </w:p>
        </w:tc>
      </w:tr>
      <w:tr>
        <w:trPr>
          <w:trHeight w:val="189"/>
        </w:trPr>
        <w:tc>
          <w:tcPr>
            <w:tcW w:w="5340" w:type="dxa"/>
            <w:vAlign w:val="bottom"/>
            <w:tcBorders>
              <w:bottom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Signature of Participant</w:t>
            </w:r>
          </w:p>
        </w:tc>
        <w:tc>
          <w:tcPr>
            <w:tcW w:w="7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40" w:type="dxa"/>
            <w:vAlign w:val="bottom"/>
            <w:tcBorders>
              <w:bottom w:val="single" w:sz="8" w:color="auto"/>
            </w:tcBorders>
          </w:tcPr>
          <w:p>
            <w:pPr>
              <w:spacing w:after="0"/>
              <w:rPr>
                <w:sz w:val="15"/>
                <w:szCs w:val="15"/>
                <w:color w:val="auto"/>
              </w:rPr>
            </w:pPr>
          </w:p>
        </w:tc>
        <w:tc>
          <w:tcPr>
            <w:tcW w:w="5220" w:type="dxa"/>
            <w:vAlign w:val="bottom"/>
            <w:gridSpan w:val="2"/>
            <w:vMerge w:val="restart"/>
          </w:tcPr>
          <w:p>
            <w:pPr>
              <w:ind w:left="3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83"/>
        </w:trPr>
        <w:tc>
          <w:tcPr>
            <w:tcW w:w="5340" w:type="dxa"/>
            <w:vAlign w:val="bottom"/>
          </w:tcPr>
          <w:p>
            <w:pPr>
              <w:ind w:left="20"/>
              <w:spacing w:after="0" w:line="182" w:lineRule="exact"/>
              <w:rPr>
                <w:sz w:val="20"/>
                <w:szCs w:val="20"/>
                <w:color w:val="auto"/>
              </w:rPr>
            </w:pPr>
            <w:r>
              <w:rPr>
                <w:rFonts w:ascii="Arial" w:cs="Arial" w:eastAsia="Arial" w:hAnsi="Arial"/>
                <w:sz w:val="18"/>
                <w:szCs w:val="18"/>
                <w:color w:val="auto"/>
              </w:rPr>
              <w:t>Street Address</w:t>
            </w:r>
          </w:p>
        </w:tc>
        <w:tc>
          <w:tcPr>
            <w:tcW w:w="5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tcBorders>
              <w:bottom w:val="single" w:sz="8" w:color="auto"/>
            </w:tcBorders>
          </w:tcPr>
          <w:p>
            <w:pPr>
              <w:spacing w:after="0"/>
              <w:rPr>
                <w:sz w:val="15"/>
                <w:szCs w:val="15"/>
                <w:color w:val="auto"/>
              </w:rPr>
            </w:pPr>
          </w:p>
        </w:tc>
        <w:tc>
          <w:tcPr>
            <w:tcW w:w="760" w:type="dxa"/>
            <w:vAlign w:val="bottom"/>
          </w:tcPr>
          <w:p>
            <w:pPr>
              <w:ind w:left="340"/>
              <w:spacing w:after="0" w:line="182" w:lineRule="exact"/>
              <w:rPr>
                <w:sz w:val="20"/>
                <w:szCs w:val="20"/>
                <w:color w:val="auto"/>
              </w:rPr>
            </w:pPr>
            <w:r>
              <w:rPr>
                <w:rFonts w:ascii="Arial" w:cs="Arial" w:eastAsia="Arial" w:hAnsi="Arial"/>
                <w:sz w:val="18"/>
                <w:szCs w:val="18"/>
                <w:color w:val="auto"/>
                <w:w w:val="83"/>
              </w:rPr>
              <w:t>Name</w:t>
            </w:r>
          </w:p>
        </w:tc>
        <w:tc>
          <w:tcPr>
            <w:tcW w:w="44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of Officer</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rPr>
                <w:sz w:val="20"/>
                <w:szCs w:val="20"/>
                <w:color w:val="auto"/>
              </w:rPr>
            </w:pPr>
            <w:r>
              <w:rPr>
                <w:rFonts w:ascii="Arial" w:cs="Arial" w:eastAsia="Arial" w:hAnsi="Arial"/>
                <w:sz w:val="18"/>
                <w:szCs w:val="18"/>
                <w:color w:val="auto"/>
              </w:rPr>
              <w:t>City/State/Zip Code</w:t>
            </w:r>
          </w:p>
        </w:tc>
        <w:tc>
          <w:tcPr>
            <w:tcW w:w="5220" w:type="dxa"/>
            <w:vAlign w:val="bottom"/>
            <w:gridSpan w:val="2"/>
          </w:tcPr>
          <w:p>
            <w:pPr>
              <w:ind w:left="3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p>
      <w:pPr>
        <w:ind w:left="620" w:hanging="252"/>
        <w:spacing w:after="0"/>
        <w:tabs>
          <w:tab w:leader="none" w:pos="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must be at least 100% of the Grant Date Fair Market Value (as defined in the Plan) of the Common Stock on the date of grant.</w:t>
      </w:r>
    </w:p>
    <w:p>
      <w:pPr>
        <w:spacing w:after="0" w:line="198" w:lineRule="exact"/>
        <w:rPr>
          <w:rFonts w:ascii="Arial" w:cs="Arial" w:eastAsia="Arial" w:hAnsi="Arial"/>
          <w:sz w:val="18"/>
          <w:szCs w:val="18"/>
          <w:color w:val="auto"/>
        </w:rPr>
      </w:pPr>
    </w:p>
    <w:p>
      <w:pPr>
        <w:ind w:right="20" w:firstLine="8"/>
        <w:spacing w:after="0" w:line="261"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Final Exercise Date must be no more than 10 years from the date of grant. The correct approach to calculate the final exercise date is to use the day immediately prior to the date ten years out from the date of the stock option award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Fulcrum Therapeutics,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Granted Under 2022 Inducement Stock Incentive Plan</w:t>
      </w:r>
    </w:p>
    <w:p>
      <w:pPr>
        <w:jc w:val="center"/>
        <w:ind w:right="-19"/>
        <w:spacing w:after="0"/>
        <w:rPr>
          <w:sz w:val="20"/>
          <w:szCs w:val="20"/>
          <w:color w:val="auto"/>
        </w:rPr>
      </w:pPr>
      <w:r>
        <w:rPr>
          <w:rFonts w:ascii="Arial" w:cs="Arial" w:eastAsia="Arial" w:hAnsi="Arial"/>
          <w:sz w:val="18"/>
          <w:szCs w:val="18"/>
          <w:u w:val="single" w:color="auto"/>
          <w:color w:val="auto"/>
        </w:rPr>
        <w:t>Incorporated Terms and Conditions</w:t>
      </w:r>
    </w:p>
    <w:p>
      <w:pPr>
        <w:spacing w:after="0" w:line="182"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highlight w:val="white"/>
        </w:rPr>
        <w:t>.</w:t>
      </w:r>
    </w:p>
    <w:p>
      <w:pPr>
        <w:spacing w:after="0" w:line="198"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 xml:space="preserve">This agreement evidences the grant by the Company, on the grant date (the </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 xml:space="preserve">) set forth in the Notice of Grant that forms part of this agreement (the </w:t>
      </w:r>
      <w:r>
        <w:rPr>
          <w:rFonts w:ascii="Arial" w:cs="Arial" w:eastAsia="Arial" w:hAnsi="Arial"/>
          <w:sz w:val="17"/>
          <w:szCs w:val="17"/>
          <w:b w:val="1"/>
          <w:bCs w:val="1"/>
          <w:i w:val="1"/>
          <w:iCs w:val="1"/>
          <w:color w:val="auto"/>
        </w:rPr>
        <w:t>“Notice of Grant”</w:t>
      </w:r>
      <w:r>
        <w:rPr>
          <w:rFonts w:ascii="Arial" w:cs="Arial" w:eastAsia="Arial" w:hAnsi="Arial"/>
          <w:sz w:val="17"/>
          <w:szCs w:val="17"/>
          <w:color w:val="auto"/>
        </w:rPr>
        <w:t xml:space="preserve">), to the Participant of an option to purchase, in whole or in part, on the terms provided herein and in the Company’s 2022 Inducement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the number of Shares set forth in the Notice of Grant of common stock, $0.001 par value per share, of the Company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xml:space="preserve">), at the exercise price per Share set forth in the Notice of Grant. Unless earlier terminated, this option shall expire at 5:00 p.m., Eastern time, on the Final Exercise Date set forth in the Notice of Grant (the </w:t>
      </w:r>
      <w:r>
        <w:rPr>
          <w:rFonts w:ascii="Arial" w:cs="Arial" w:eastAsia="Arial" w:hAnsi="Arial"/>
          <w:sz w:val="17"/>
          <w:szCs w:val="17"/>
          <w:b w:val="1"/>
          <w:bCs w:val="1"/>
          <w:i w:val="1"/>
          <w:iCs w:val="1"/>
          <w:color w:val="auto"/>
        </w:rPr>
        <w:t>“Final Exercise Date”</w:t>
      </w:r>
      <w:r>
        <w:rPr>
          <w:rFonts w:ascii="Arial" w:cs="Arial" w:eastAsia="Arial" w:hAnsi="Arial"/>
          <w:sz w:val="17"/>
          <w:szCs w:val="17"/>
          <w:color w:val="auto"/>
        </w:rPr>
        <w:t>).</w:t>
      </w:r>
    </w:p>
    <w:p>
      <w:pPr>
        <w:spacing w:after="0" w:line="160"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The option evidenced by this agreement was granted to the Participant pursuant to the inducement grant exception under Nasdaq Stock Market Rule 5635(c)(4) as an inducement that is material to the Participant’s employment with the Company.</w:t>
      </w:r>
    </w:p>
    <w:p>
      <w:pPr>
        <w:spacing w:after="0" w:line="157"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color w:val="auto"/>
        </w:rPr>
        <w:t xml:space="preserve">It is intended that the option evidenced by this agreement shall not be an incentive stock option as defined in Section 422 of the Internal Revenue Code of 1986, as amended, and any regulations promulgated thereunder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Except as otherwise indicated by the context, the term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as used in this option, shall be deemed to include any person who acquires the right to exercise this option validly under its terms.</w:t>
      </w:r>
    </w:p>
    <w:p>
      <w:pPr>
        <w:spacing w:after="0" w:line="134"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highlight w:val="white"/>
        </w:rPr>
        <w: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option will become exercisable (</w:t>
      </w:r>
      <w:r>
        <w:rPr>
          <w:rFonts w:ascii="Arial" w:cs="Arial" w:eastAsia="Arial" w:hAnsi="Arial"/>
          <w:sz w:val="18"/>
          <w:szCs w:val="18"/>
          <w:b w:val="1"/>
          <w:bCs w:val="1"/>
          <w:i w:val="1"/>
          <w:iCs w:val="1"/>
          <w:color w:val="auto"/>
        </w:rPr>
        <w:t>“vest”</w:t>
      </w:r>
      <w:r>
        <w:rPr>
          <w:rFonts w:ascii="Arial" w:cs="Arial" w:eastAsia="Arial" w:hAnsi="Arial"/>
          <w:sz w:val="18"/>
          <w:szCs w:val="18"/>
          <w:color w:val="auto"/>
        </w:rPr>
        <w:t>) in accordance with the vesting schedule set forth in the Notice of Grant.</w:t>
      </w:r>
    </w:p>
    <w:p>
      <w:pPr>
        <w:spacing w:after="0" w:line="198"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68"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20" w:firstLine="757"/>
        <w:spacing w:after="0" w:line="262" w:lineRule="auto"/>
        <w:tabs>
          <w:tab w:leader="none" w:pos="1394"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xml:space="preserve">. Each election to exercise this option shall be in writing, in the form of the Stock Option Exercise Notice attached as </w:t>
      </w:r>
      <w:r>
        <w:rPr>
          <w:rFonts w:ascii="Arial" w:cs="Arial" w:eastAsia="Arial" w:hAnsi="Arial"/>
          <w:sz w:val="17"/>
          <w:szCs w:val="17"/>
          <w:u w:val="single" w:color="auto"/>
          <w:color w:val="auto"/>
        </w:rPr>
        <w:t>Annex A</w:t>
      </w:r>
      <w:r>
        <w:rPr>
          <w:rFonts w:ascii="Arial" w:cs="Arial" w:eastAsia="Arial" w:hAnsi="Arial"/>
          <w:sz w:val="17"/>
          <w:szCs w:val="17"/>
          <w:color w:val="auto"/>
          <w:highlight w:val="white"/>
        </w:rPr>
        <w:t>, signed by the Participant, and received by the Company at its principal office, accompanied by this agreement, or in such other form (which may</w:t>
      </w:r>
      <w:r>
        <w:rPr>
          <w:rFonts w:ascii="Arial" w:cs="Arial" w:eastAsia="Arial" w:hAnsi="Arial"/>
          <w:sz w:val="17"/>
          <w:szCs w:val="17"/>
          <w:color w:val="auto"/>
        </w:rPr>
        <w:t xml:space="preserve"> be electronic) as is approved by the Company, together with payment in full in the manner provided in the Plan. The Participant may purchase less than the number of shares covered hereby, provided that no partial exercise of this option may be for any fractional share.</w:t>
      </w:r>
    </w:p>
    <w:p>
      <w:pPr>
        <w:spacing w:after="0" w:line="158" w:lineRule="exact"/>
        <w:rPr>
          <w:rFonts w:ascii="Arial" w:cs="Arial" w:eastAsia="Arial" w:hAnsi="Arial"/>
          <w:sz w:val="17"/>
          <w:szCs w:val="17"/>
          <w:color w:val="auto"/>
        </w:rPr>
      </w:pPr>
    </w:p>
    <w:p>
      <w:pPr>
        <w:ind w:right="80" w:firstLine="757"/>
        <w:spacing w:after="0" w:line="243" w:lineRule="auto"/>
        <w:tabs>
          <w:tab w:leader="none" w:pos="1404"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highlight w:val="white"/>
        </w:rPr>
        <w:t>. Except as otherwise provided in this Section 3, this option may not be exercised</w:t>
      </w:r>
      <w:r>
        <w:rPr>
          <w:rFonts w:ascii="Arial" w:cs="Arial" w:eastAsia="Arial" w:hAnsi="Arial"/>
          <w:sz w:val="18"/>
          <w:szCs w:val="18"/>
          <w:color w:val="auto"/>
        </w:rPr>
        <w:t xml:space="preserve"> unless the Participant, at the time he or she exercises this option, is, and has been at all times since the Grant Date, an employee, director or officer of, or consultant or advisor to, the Company or any other entity the employees, officers, directors, consultants, or advisors of which are eligible to receive option grants under the Plan (an </w:t>
      </w:r>
      <w:r>
        <w:rPr>
          <w:rFonts w:ascii="Arial" w:cs="Arial" w:eastAsia="Arial" w:hAnsi="Arial"/>
          <w:sz w:val="18"/>
          <w:szCs w:val="18"/>
          <w:b w:val="1"/>
          <w:bCs w:val="1"/>
          <w:i w:val="1"/>
          <w:iCs w:val="1"/>
          <w:color w:val="auto"/>
        </w:rPr>
        <w:t>“Eligible Participant”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ind w:right="200" w:firstLine="757"/>
        <w:spacing w:after="0" w:line="255" w:lineRule="auto"/>
        <w:tabs>
          <w:tab w:leader="none" w:pos="1407"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with the Company</w:t>
      </w:r>
      <w:r>
        <w:rPr>
          <w:rFonts w:ascii="Arial" w:cs="Arial" w:eastAsia="Arial" w:hAnsi="Arial"/>
          <w:sz w:val="17"/>
          <w:szCs w:val="17"/>
          <w:color w:val="auto"/>
          <w:highlight w:val="white"/>
        </w:rPr>
        <w:t>. If the Participant ceases to be an Eligible Participant for any reason, then, except as</w:t>
      </w:r>
      <w:r>
        <w:rPr>
          <w:rFonts w:ascii="Arial" w:cs="Arial" w:eastAsia="Arial" w:hAnsi="Arial"/>
          <w:sz w:val="17"/>
          <w:szCs w:val="17"/>
          <w:color w:val="auto"/>
        </w:rPr>
        <w:t xml:space="preserve"> provided in paragraphs (d) and (e) below, the right to exercise this option shall terminate 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any non-competition, non-solicitation, confidentiality or assignment agreement to which the Participant is a party, or any other agreement between the Participant and the Company, the right to exercise this option shall terminate immediately upon such violation.</w:t>
      </w:r>
    </w:p>
    <w:p>
      <w:pPr>
        <w:spacing w:after="0" w:line="166" w:lineRule="exact"/>
        <w:rPr>
          <w:rFonts w:ascii="Arial" w:cs="Arial" w:eastAsia="Arial" w:hAnsi="Arial"/>
          <w:sz w:val="17"/>
          <w:szCs w:val="17"/>
          <w:color w:val="auto"/>
        </w:rPr>
      </w:pPr>
    </w:p>
    <w:p>
      <w:pPr>
        <w:ind w:right="160" w:firstLine="757"/>
        <w:spacing w:after="0"/>
        <w:tabs>
          <w:tab w:leader="none" w:pos="1404"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Exercise Period Upon Death or Disability</w:t>
      </w:r>
      <w:r>
        <w:rPr>
          <w:rFonts w:ascii="Arial" w:cs="Arial" w:eastAsia="Arial" w:hAnsi="Arial"/>
          <w:sz w:val="18"/>
          <w:szCs w:val="18"/>
          <w:color w:val="auto"/>
          <w:highlight w:val="white"/>
        </w:rPr>
        <w:t>. If the Participant dies or becomes disabled (within the meaning of Section 22(e)(3) of the</w:t>
      </w:r>
      <w:r>
        <w:rPr>
          <w:rFonts w:ascii="Arial" w:cs="Arial" w:eastAsia="Arial" w:hAnsi="Arial"/>
          <w:sz w:val="18"/>
          <w:szCs w:val="18"/>
          <w:color w:val="auto"/>
        </w:rPr>
        <w:t xml:space="preserv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75" w:lineRule="exact"/>
        <w:rPr>
          <w:rFonts w:ascii="Arial" w:cs="Arial" w:eastAsia="Arial" w:hAnsi="Arial"/>
          <w:sz w:val="18"/>
          <w:szCs w:val="18"/>
          <w:color w:val="auto"/>
        </w:rPr>
      </w:pPr>
    </w:p>
    <w:p>
      <w:pPr>
        <w:ind w:firstLine="757"/>
        <w:spacing w:after="0" w:line="251" w:lineRule="auto"/>
        <w:tabs>
          <w:tab w:leader="none" w:pos="1407"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xml:space="preserve">. If, prior to the Final Exercise Date, the Participant’s employment is terminated by the Company for Cause (as defined in below), the right to exercise this option shall terminate immediately upon the effective date of such termination of employment.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If the Participant is subject to an individual employment agreement with the Company or eligible to participate in a Company severance plan or arrangement, in any case which agreement, plan or arrangement contains a definition of “cause” for termination of employment,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have the meaning ascribed to such term in such agreement, plan or arrangement. Otherwise,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shall be considered to have been terminated for Cause if the Company determines, within 30 days after the Participant’s resignation, that termination for Cause was warranted.</w:t>
      </w:r>
    </w:p>
    <w:p>
      <w:pPr>
        <w:spacing w:after="0" w:line="175" w:lineRule="exact"/>
        <w:rPr>
          <w:rFonts w:ascii="Arial" w:cs="Arial" w:eastAsia="Arial" w:hAnsi="Arial"/>
          <w:sz w:val="17"/>
          <w:szCs w:val="17"/>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-3722370</wp:posOffset>
            </wp:positionV>
            <wp:extent cx="5683250" cy="1289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5683250" cy="128905"/>
                    </a:xfrm>
                    <a:prstGeom prst="rect">
                      <a:avLst/>
                    </a:prstGeom>
                    <a:noFill/>
                  </pic:spPr>
                </pic:pic>
              </a:graphicData>
            </a:graphic>
          </wp:anchor>
        </w:drawing>
      </w:r>
    </w:p>
    <w:p>
      <w:pPr>
        <w:spacing w:after="0" w:line="178" w:lineRule="exact"/>
        <w:rPr>
          <w:sz w:val="20"/>
          <w:szCs w:val="20"/>
          <w:color w:val="auto"/>
        </w:rPr>
      </w:pPr>
    </w:p>
    <w:p>
      <w:pPr>
        <w:ind w:right="660" w:firstLine="749"/>
        <w:spacing w:after="0" w:line="324" w:lineRule="auto"/>
        <w:rPr>
          <w:sz w:val="20"/>
          <w:szCs w:val="20"/>
          <w:color w:val="auto"/>
        </w:rPr>
      </w:pPr>
      <w:r>
        <w:rPr>
          <w:rFonts w:ascii="Arial" w:cs="Arial" w:eastAsia="Arial" w:hAnsi="Arial"/>
          <w:sz w:val="16"/>
          <w:szCs w:val="16"/>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11"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Transfer Restrictions; Clawback.</w:t>
      </w:r>
    </w:p>
    <w:p>
      <w:pPr>
        <w:spacing w:after="0" w:line="198" w:lineRule="exact"/>
        <w:rPr>
          <w:rFonts w:ascii="Arial" w:cs="Arial" w:eastAsia="Arial" w:hAnsi="Arial"/>
          <w:sz w:val="18"/>
          <w:szCs w:val="18"/>
          <w:color w:val="auto"/>
        </w:rPr>
      </w:pPr>
    </w:p>
    <w:p>
      <w:pPr>
        <w:ind w:right="200" w:firstLine="757"/>
        <w:spacing w:after="0" w:line="248" w:lineRule="auto"/>
        <w:tabs>
          <w:tab w:leader="none" w:pos="139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68" w:lineRule="exact"/>
        <w:rPr>
          <w:rFonts w:ascii="Arial" w:cs="Arial" w:eastAsia="Arial" w:hAnsi="Arial"/>
          <w:sz w:val="18"/>
          <w:szCs w:val="18"/>
          <w:color w:val="auto"/>
        </w:rPr>
      </w:pPr>
    </w:p>
    <w:p>
      <w:pPr>
        <w:ind w:left="1420" w:hanging="663"/>
        <w:spacing w:after="0"/>
        <w:tabs>
          <w:tab w:leader="none" w:pos="14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accepting this option, the Participant agrees to be bound by any clawback policy that the Company has in place or may adopt in the</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future.</w:t>
      </w:r>
    </w:p>
    <w:p>
      <w:pPr>
        <w:spacing w:after="0" w:line="182" w:lineRule="exact"/>
        <w:rPr>
          <w:rFonts w:ascii="Arial" w:cs="Arial" w:eastAsia="Arial" w:hAnsi="Arial"/>
          <w:sz w:val="16"/>
          <w:szCs w:val="16"/>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4" w:name="page165"/>
    <w:bookmarkEnd w:id="164"/>
    <w:p>
      <w:pPr>
        <w:ind w:firstLine="749"/>
        <w:spacing w:after="0" w:line="261"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u w:val="single" w:color="auto"/>
          <w:color w:val="auto"/>
        </w:rPr>
        <w:t>ANNEX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Fulcrum Therapeutics,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 Option Exercise Notice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rPr>
          <w:sz w:val="20"/>
          <w:szCs w:val="20"/>
          <w:color w:val="auto"/>
        </w:rPr>
      </w:pPr>
      <w:r>
        <w:rPr>
          <w:rFonts w:ascii="Arial" w:cs="Arial" w:eastAsia="Arial" w:hAnsi="Arial"/>
          <w:sz w:val="18"/>
          <w:szCs w:val="18"/>
          <w:color w:val="auto"/>
        </w:rPr>
        <w:t>Cambridge, MA 02139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98" w:lineRule="exact"/>
        <w:rPr>
          <w:sz w:val="20"/>
          <w:szCs w:val="20"/>
          <w:color w:val="auto"/>
        </w:rPr>
      </w:pPr>
    </w:p>
    <w:p>
      <w:pPr>
        <w:spacing w:after="0"/>
        <w:tabs>
          <w:tab w:leader="none" w:pos="1900" w:val="left"/>
          <w:tab w:leader="none" w:pos="75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hereby irrevocably exercise the right to purchase</w:t>
      </w:r>
      <w:r>
        <w:rPr>
          <w:sz w:val="20"/>
          <w:szCs w:val="20"/>
          <w:color w:val="auto"/>
        </w:rPr>
        <w:tab/>
      </w:r>
      <w:r>
        <w:rPr>
          <w:rFonts w:ascii="Arial" w:cs="Arial" w:eastAsia="Arial" w:hAnsi="Arial"/>
          <w:sz w:val="16"/>
          <w:szCs w:val="16"/>
          <w:color w:val="auto"/>
        </w:rPr>
        <w:t>shares of the Common Stock, $0.001 par value per</w:t>
      </w:r>
    </w:p>
    <w:p>
      <w:pPr>
        <w:spacing w:after="0" w:line="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 xml:space="preserve">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of Fulcrum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per share pursuant to the Company’s 2022 Inducement Stock Incentive</w:t>
      </w:r>
    </w:p>
    <w:p>
      <w:pPr>
        <w:spacing w:after="0"/>
        <w:tabs>
          <w:tab w:leader="none" w:pos="5300" w:val="left"/>
          <w:tab w:leader="none" w:pos="10980" w:val="left"/>
        </w:tabs>
        <w:rPr>
          <w:sz w:val="20"/>
          <w:szCs w:val="20"/>
          <w:color w:val="auto"/>
        </w:rPr>
      </w:pPr>
      <w:r>
        <w:rPr>
          <w:rFonts w:ascii="Arial" w:cs="Arial" w:eastAsia="Arial" w:hAnsi="Arial"/>
          <w:sz w:val="18"/>
          <w:szCs w:val="18"/>
          <w:color w:val="auto"/>
        </w:rPr>
        <w:t>Plan and a stock option agreement with the Company dated</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Enclosed herewith is a payment of $</w:t>
      </w:r>
      <w:r>
        <w:rPr>
          <w:sz w:val="20"/>
          <w:szCs w:val="20"/>
          <w:color w:val="auto"/>
        </w:rPr>
        <w:tab/>
      </w:r>
      <w:r>
        <w:rPr>
          <w:rFonts w:ascii="Arial" w:cs="Arial" w:eastAsia="Arial" w:hAnsi="Arial"/>
          <w:sz w:val="13"/>
          <w:szCs w:val="13"/>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purchase price for the Shares. The certificate for the Shares should be registered in my name as it appears below or, if so indicated below,</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jointly in my name and the name of the person designated below, with right of survivorship.</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-1905</wp:posOffset>
            </wp:positionV>
            <wp:extent cx="31375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744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Print Name:</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and address of persons in whose name the Shares are to be jointly registered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Fulcrum Therapeutics,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RESTRICTED STOCK UNIT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Granted under 2022 Inducement Stock Incentive Plan</w:t>
      </w:r>
    </w:p>
    <w:p>
      <w:pPr>
        <w:spacing w:after="0" w:line="206" w:lineRule="exact"/>
        <w:rPr>
          <w:sz w:val="20"/>
          <w:szCs w:val="20"/>
          <w:color w:val="auto"/>
        </w:rPr>
      </w:pPr>
    </w:p>
    <w:p>
      <w:pPr>
        <w:ind w:right="560" w:firstLine="749"/>
        <w:spacing w:after="0" w:line="274" w:lineRule="auto"/>
        <w:rPr>
          <w:sz w:val="20"/>
          <w:szCs w:val="20"/>
          <w:color w:val="auto"/>
        </w:rPr>
      </w:pPr>
      <w:r>
        <w:rPr>
          <w:rFonts w:ascii="Arial" w:cs="Arial" w:eastAsia="Arial" w:hAnsi="Arial"/>
          <w:sz w:val="21"/>
          <w:szCs w:val="21"/>
          <w:color w:val="auto"/>
        </w:rPr>
        <w:t>Fulcrum Therapeutics, Inc. (the “</w:t>
      </w:r>
      <w:r>
        <w:rPr>
          <w:rFonts w:ascii="Arial" w:cs="Arial" w:eastAsia="Arial" w:hAnsi="Arial"/>
          <w:sz w:val="21"/>
          <w:szCs w:val="21"/>
          <w:u w:val="single" w:color="auto"/>
          <w:color w:val="auto"/>
        </w:rPr>
        <w:t>Company</w:t>
      </w:r>
      <w:r>
        <w:rPr>
          <w:rFonts w:ascii="Arial" w:cs="Arial" w:eastAsia="Arial" w:hAnsi="Arial"/>
          <w:sz w:val="21"/>
          <w:szCs w:val="21"/>
          <w:color w:val="auto"/>
        </w:rPr>
        <w:t>”) hereby grants the following restricted stock units pursuant to its 2022 Inducement Stock Incentive Plan. The terms and conditions attached hereto are also a part hereof.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20" w:type="dxa"/>
            <w:vAlign w:val="bottom"/>
            <w:gridSpan w:val="6"/>
          </w:tcPr>
          <w:p>
            <w:pPr>
              <w:ind w:left="640"/>
              <w:spacing w:after="0"/>
              <w:rPr>
                <w:sz w:val="20"/>
                <w:szCs w:val="20"/>
                <w:color w:val="auto"/>
              </w:rPr>
            </w:pPr>
            <w:r>
              <w:rPr>
                <w:rFonts w:ascii="Arial" w:cs="Arial" w:eastAsia="Arial" w:hAnsi="Arial"/>
                <w:sz w:val="22"/>
                <w:szCs w:val="22"/>
                <w:color w:val="auto"/>
              </w:rPr>
              <w:t>Notice of Grant</w:t>
            </w:r>
          </w:p>
        </w:tc>
      </w:tr>
      <w:tr>
        <w:trPr>
          <w:trHeight w:val="233"/>
        </w:trPr>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r>
      <w:tr>
        <w:trPr>
          <w:trHeight w:val="199"/>
        </w:trPr>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right w:val="single" w:sz="8" w:color="auto"/>
            </w:tcBorders>
            <w:gridSpan w:val="6"/>
          </w:tcPr>
          <w:p>
            <w:pPr>
              <w:spacing w:after="0" w:line="200" w:lineRule="exact"/>
              <w:rPr>
                <w:sz w:val="20"/>
                <w:szCs w:val="20"/>
                <w:color w:val="auto"/>
              </w:rPr>
            </w:pPr>
            <w:r>
              <w:rPr>
                <w:rFonts w:ascii="Arial" w:cs="Arial" w:eastAsia="Arial" w:hAnsi="Arial"/>
                <w:sz w:val="22"/>
                <w:szCs w:val="22"/>
                <w:color w:val="auto"/>
              </w:rPr>
              <w:t>Name of recipient (the “Participant”):</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00" w:type="dxa"/>
            <w:vAlign w:val="bottom"/>
            <w:tcBorders>
              <w:right w:val="single" w:sz="8" w:color="auto"/>
            </w:tcBorders>
          </w:tcPr>
          <w:p>
            <w:pPr>
              <w:spacing w:after="0"/>
              <w:rPr>
                <w:sz w:val="17"/>
                <w:szCs w:val="17"/>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80" w:type="dxa"/>
            <w:vAlign w:val="bottom"/>
            <w:tcBorders>
              <w:bottom w:val="single" w:sz="8" w:color="auto"/>
              <w:right w:val="single" w:sz="8" w:color="auto"/>
            </w:tcBorders>
            <w:gridSpan w:val="6"/>
          </w:tcPr>
          <w:p>
            <w:pPr>
              <w:spacing w:after="0" w:line="224" w:lineRule="exact"/>
              <w:rPr>
                <w:sz w:val="20"/>
                <w:szCs w:val="20"/>
                <w:color w:val="auto"/>
              </w:rPr>
            </w:pPr>
            <w:r>
              <w:rPr>
                <w:rFonts w:ascii="Arial" w:cs="Arial" w:eastAsia="Arial" w:hAnsi="Arial"/>
                <w:sz w:val="22"/>
                <w:szCs w:val="22"/>
                <w:color w:val="auto"/>
              </w:rPr>
              <w:t>Grant Date:</w:t>
            </w: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r>
      <w:tr>
        <w:trPr>
          <w:trHeight w:val="196"/>
        </w:trPr>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right w:val="single" w:sz="8" w:color="auto"/>
            </w:tcBorders>
            <w:gridSpan w:val="6"/>
          </w:tcPr>
          <w:p>
            <w:pPr>
              <w:spacing w:after="0" w:line="195" w:lineRule="exact"/>
              <w:rPr>
                <w:sz w:val="20"/>
                <w:szCs w:val="20"/>
                <w:color w:val="auto"/>
              </w:rPr>
            </w:pPr>
            <w:r>
              <w:rPr>
                <w:rFonts w:ascii="Arial" w:cs="Arial" w:eastAsia="Arial" w:hAnsi="Arial"/>
                <w:sz w:val="22"/>
                <w:szCs w:val="22"/>
                <w:color w:val="auto"/>
              </w:rPr>
              <w:t>Number of restricted stock units (“RSUs”)</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00" w:type="dxa"/>
            <w:vAlign w:val="bottom"/>
            <w:tcBorders>
              <w:right w:val="single" w:sz="8" w:color="auto"/>
            </w:tcBorders>
          </w:tcPr>
          <w:p>
            <w:pPr>
              <w:spacing w:after="0"/>
              <w:rPr>
                <w:sz w:val="17"/>
                <w:szCs w:val="17"/>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spacing w:after="0" w:line="237" w:lineRule="exact"/>
              <w:rPr>
                <w:sz w:val="20"/>
                <w:szCs w:val="20"/>
                <w:color w:val="auto"/>
              </w:rPr>
            </w:pPr>
            <w:r>
              <w:rPr>
                <w:rFonts w:ascii="Arial" w:cs="Arial" w:eastAsia="Arial" w:hAnsi="Arial"/>
                <w:sz w:val="22"/>
                <w:szCs w:val="22"/>
                <w:color w:val="auto"/>
              </w:rPr>
              <w:t>granted:</w:t>
            </w:r>
          </w:p>
        </w:tc>
        <w:tc>
          <w:tcPr>
            <w:tcW w:w="500" w:type="dxa"/>
            <w:vAlign w:val="bottom"/>
            <w:tcBorders>
              <w:top w:val="single" w:sz="8" w:color="auto"/>
              <w:bottom w:val="single" w:sz="8" w:color="auto"/>
            </w:tcBorders>
            <w:gridSpan w:val="2"/>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188"/>
        </w:trPr>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Borders>
              <w:right w:val="single" w:sz="8" w:color="auto"/>
            </w:tcBorders>
            <w:gridSpan w:val="6"/>
          </w:tcPr>
          <w:p>
            <w:pPr>
              <w:spacing w:after="0" w:line="188" w:lineRule="exact"/>
              <w:rPr>
                <w:sz w:val="20"/>
                <w:szCs w:val="20"/>
                <w:color w:val="auto"/>
              </w:rPr>
            </w:pPr>
            <w:r>
              <w:rPr>
                <w:rFonts w:ascii="Arial" w:cs="Arial" w:eastAsia="Arial" w:hAnsi="Arial"/>
                <w:sz w:val="21"/>
                <w:szCs w:val="21"/>
                <w:color w:val="auto"/>
              </w:rPr>
              <w:t>Number, if any, of RSUs that vest</w:t>
            </w: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100" w:type="dxa"/>
            <w:vAlign w:val="bottom"/>
            <w:tcBorders>
              <w:right w:val="single" w:sz="8" w:color="auto"/>
            </w:tcBorders>
          </w:tcPr>
          <w:p>
            <w:pPr>
              <w:spacing w:after="0"/>
              <w:rPr>
                <w:sz w:val="16"/>
                <w:szCs w:val="16"/>
                <w:color w:val="auto"/>
              </w:rPr>
            </w:pPr>
          </w:p>
        </w:tc>
      </w:tr>
      <w:tr>
        <w:trPr>
          <w:trHeight w:val="264"/>
        </w:trPr>
        <w:tc>
          <w:tcPr>
            <w:tcW w:w="140" w:type="dxa"/>
            <w:vAlign w:val="bottom"/>
            <w:tcBorders>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8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22"/>
                <w:szCs w:val="22"/>
                <w:color w:val="auto"/>
              </w:rPr>
              <w:t>immediately on the grant date:</w:t>
            </w: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3100" w:type="dxa"/>
            <w:vAlign w:val="bottom"/>
            <w:tcBorders>
              <w:bottom w:val="single" w:sz="8" w:color="auto"/>
              <w:right w:val="single" w:sz="8" w:color="auto"/>
            </w:tcBorders>
          </w:tcPr>
          <w:p>
            <w:pPr>
              <w:spacing w:after="0"/>
              <w:rPr>
                <w:sz w:val="22"/>
                <w:szCs w:val="22"/>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gridSpan w:val="6"/>
          </w:tcPr>
          <w:p>
            <w:pPr>
              <w:spacing w:after="0" w:line="237" w:lineRule="exact"/>
              <w:rPr>
                <w:sz w:val="20"/>
                <w:szCs w:val="20"/>
                <w:color w:val="auto"/>
              </w:rPr>
            </w:pPr>
            <w:r>
              <w:rPr>
                <w:rFonts w:ascii="Arial" w:cs="Arial" w:eastAsia="Arial" w:hAnsi="Arial"/>
                <w:sz w:val="22"/>
                <w:szCs w:val="22"/>
                <w:color w:val="auto"/>
                <w:w w:val="97"/>
              </w:rPr>
              <w:t>RSUs that are subject to vesting schedule:</w:t>
            </w: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gridSpan w:val="6"/>
          </w:tcPr>
          <w:p>
            <w:pPr>
              <w:spacing w:after="0" w:line="237" w:lineRule="exact"/>
              <w:rPr>
                <w:sz w:val="20"/>
                <w:szCs w:val="20"/>
                <w:color w:val="auto"/>
              </w:rPr>
            </w:pPr>
            <w:r>
              <w:rPr>
                <w:rFonts w:ascii="Arial" w:cs="Arial" w:eastAsia="Arial" w:hAnsi="Arial"/>
                <w:sz w:val="22"/>
                <w:szCs w:val="22"/>
                <w:color w:val="auto"/>
              </w:rPr>
              <w:t>Vesting Start Date:</w:t>
            </w:r>
          </w:p>
        </w:tc>
        <w:tc>
          <w:tcPr>
            <w:tcW w:w="6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706"/>
        </w:trPr>
        <w:tc>
          <w:tcPr>
            <w:tcW w:w="4300" w:type="dxa"/>
            <w:vAlign w:val="bottom"/>
            <w:gridSpan w:val="8"/>
          </w:tcPr>
          <w:p>
            <w:pPr>
              <w:spacing w:after="0"/>
              <w:rPr>
                <w:sz w:val="20"/>
                <w:szCs w:val="20"/>
                <w:color w:val="auto"/>
              </w:rPr>
            </w:pPr>
            <w:r>
              <w:rPr>
                <w:rFonts w:ascii="Arial" w:cs="Arial" w:eastAsia="Arial" w:hAnsi="Arial"/>
                <w:sz w:val="22"/>
                <w:szCs w:val="22"/>
                <w:color w:val="auto"/>
              </w:rPr>
              <w:t>Vesting Schedule:</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5"/>
        </w:trPr>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r>
      <w:tr>
        <w:trPr>
          <w:trHeight w:val="159"/>
        </w:trPr>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gridSpan w:val="6"/>
          </w:tcPr>
          <w:p>
            <w:pPr>
              <w:spacing w:after="0" w:line="159" w:lineRule="exact"/>
              <w:rPr>
                <w:sz w:val="20"/>
                <w:szCs w:val="20"/>
                <w:color w:val="auto"/>
              </w:rPr>
            </w:pPr>
            <w:r>
              <w:rPr>
                <w:rFonts w:ascii="Arial" w:cs="Arial" w:eastAsia="Arial" w:hAnsi="Arial"/>
                <w:sz w:val="18"/>
                <w:szCs w:val="18"/>
                <w:color w:val="auto"/>
              </w:rPr>
              <w:t>Vesting Date:</w:t>
            </w:r>
          </w:p>
        </w:tc>
        <w:tc>
          <w:tcPr>
            <w:tcW w:w="6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5560" w:type="dxa"/>
            <w:vAlign w:val="bottom"/>
            <w:gridSpan w:val="4"/>
          </w:tcPr>
          <w:p>
            <w:pPr>
              <w:ind w:left="100"/>
              <w:spacing w:after="0" w:line="159" w:lineRule="exact"/>
              <w:rPr>
                <w:sz w:val="20"/>
                <w:szCs w:val="20"/>
                <w:color w:val="auto"/>
              </w:rPr>
            </w:pPr>
            <w:r>
              <w:rPr>
                <w:rFonts w:ascii="Arial" w:cs="Arial" w:eastAsia="Arial" w:hAnsi="Arial"/>
                <w:sz w:val="18"/>
                <w:szCs w:val="18"/>
                <w:color w:val="auto"/>
              </w:rPr>
              <w:t>Number of RSUs that Vest:</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-164465</wp:posOffset>
            </wp:positionV>
            <wp:extent cx="7054850" cy="8058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7054850" cy="8058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All vesting is dependent on the Participant remaining an Eligible Participant, as provided herein.</w:t>
      </w:r>
    </w:p>
    <w:p>
      <w:pPr>
        <w:spacing w:after="0" w:line="200" w:lineRule="exact"/>
        <w:rPr>
          <w:sz w:val="20"/>
          <w:szCs w:val="20"/>
          <w:color w:val="auto"/>
        </w:rPr>
      </w:pPr>
    </w:p>
    <w:p>
      <w:pPr>
        <w:spacing w:after="0" w:line="290" w:lineRule="exact"/>
        <w:rPr>
          <w:sz w:val="20"/>
          <w:szCs w:val="20"/>
          <w:color w:val="auto"/>
        </w:rPr>
      </w:pPr>
    </w:p>
    <w:p>
      <w:pPr>
        <w:ind w:right="100" w:firstLine="749"/>
        <w:spacing w:after="0" w:line="250" w:lineRule="auto"/>
        <w:rPr>
          <w:sz w:val="20"/>
          <w:szCs w:val="20"/>
          <w:color w:val="auto"/>
        </w:rPr>
      </w:pPr>
      <w:r>
        <w:rPr>
          <w:rFonts w:ascii="Arial" w:cs="Arial" w:eastAsia="Arial" w:hAnsi="Arial"/>
          <w:sz w:val="22"/>
          <w:szCs w:val="22"/>
          <w:color w:val="auto"/>
        </w:rPr>
        <w:t>This grant of RSUs satisfies in full all commitments that the Company has to the Participant with respect to the issuance of stock, stock options or other equity securities.</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Fulcrum Therapeutics, Inc.</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-154940</wp:posOffset>
            </wp:positionV>
            <wp:extent cx="13716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jc w:val="center"/>
        <w:ind w:left="500"/>
        <w:spacing w:after="0" w:line="212" w:lineRule="auto"/>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-5080</wp:posOffset>
            </wp:positionV>
            <wp:extent cx="13716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100"/>
        <w:spacing w:after="0" w:line="237" w:lineRule="auto"/>
        <w:tabs>
          <w:tab w:leader="none" w:pos="6000" w:val="left"/>
        </w:tabs>
        <w:rPr>
          <w:sz w:val="20"/>
          <w:szCs w:val="20"/>
          <w:color w:val="auto"/>
        </w:rPr>
      </w:pPr>
      <w:r>
        <w:rPr>
          <w:rFonts w:ascii="Arial" w:cs="Arial" w:eastAsia="Arial" w:hAnsi="Arial"/>
          <w:sz w:val="22"/>
          <w:szCs w:val="22"/>
          <w:color w:val="auto"/>
        </w:rPr>
        <w:t>Street Address</w:t>
      </w:r>
      <w:r>
        <w:rPr>
          <w:sz w:val="20"/>
          <w:szCs w:val="20"/>
          <w:color w:val="auto"/>
        </w:rPr>
        <w:tab/>
      </w:r>
      <w:r>
        <w:rPr>
          <w:rFonts w:ascii="Arial" w:cs="Arial" w:eastAsia="Arial" w:hAnsi="Arial"/>
          <w:sz w:val="19"/>
          <w:szCs w:val="19"/>
          <w:color w:val="auto"/>
        </w:rPr>
        <w:t>Name of Officer</w:t>
      </w:r>
    </w:p>
    <w:p>
      <w:pPr>
        <w:ind w:left="6020"/>
        <w:spacing w:after="0" w:line="231" w:lineRule="auto"/>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-5715</wp:posOffset>
            </wp:positionV>
            <wp:extent cx="13716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22"/>
          <w:szCs w:val="22"/>
          <w:color w:val="auto"/>
        </w:rPr>
        <w:t>City/State/Zip Code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ACTIVEUS 191963247v.3" "" ACTIVEUS 191963247v.3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22"/>
          <w:szCs w:val="22"/>
          <w:color w:val="auto"/>
        </w:rPr>
        <w:t>Fulcrum Therapeutics, Inc.</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Restricted Stock Unit Agreement</w:t>
      </w:r>
    </w:p>
    <w:p>
      <w:pPr>
        <w:jc w:val="center"/>
        <w:ind w:right="-39"/>
        <w:spacing w:after="0" w:line="238" w:lineRule="auto"/>
        <w:rPr>
          <w:sz w:val="20"/>
          <w:szCs w:val="20"/>
          <w:color w:val="auto"/>
        </w:rPr>
      </w:pPr>
      <w:r>
        <w:rPr>
          <w:rFonts w:ascii="Arial" w:cs="Arial" w:eastAsia="Arial" w:hAnsi="Arial"/>
          <w:sz w:val="22"/>
          <w:szCs w:val="22"/>
          <w:u w:val="single" w:color="auto"/>
          <w:color w:val="auto"/>
        </w:rPr>
        <w:t>Granted under 2022 Inducement Stock Incentive Plan</w:t>
      </w:r>
    </w:p>
    <w:p>
      <w:pPr>
        <w:jc w:val="center"/>
        <w:ind w:right="-39"/>
        <w:spacing w:after="0"/>
        <w:rPr>
          <w:sz w:val="20"/>
          <w:szCs w:val="20"/>
          <w:color w:val="auto"/>
        </w:rPr>
      </w:pPr>
      <w:r>
        <w:rPr>
          <w:rFonts w:ascii="Arial" w:cs="Arial" w:eastAsia="Arial" w:hAnsi="Arial"/>
          <w:sz w:val="22"/>
          <w:szCs w:val="22"/>
          <w:u w:val="single" w:color="auto"/>
          <w:color w:val="auto"/>
        </w:rPr>
        <w:t>Incorporated Terms and Conditions</w:t>
      </w:r>
    </w:p>
    <w:p>
      <w:pPr>
        <w:spacing w:after="0" w:line="215" w:lineRule="exact"/>
        <w:rPr>
          <w:sz w:val="20"/>
          <w:szCs w:val="20"/>
          <w:color w:val="auto"/>
        </w:rPr>
      </w:pPr>
    </w:p>
    <w:p>
      <w:pPr>
        <w:ind w:firstLine="757"/>
        <w:spacing w:after="0" w:line="279" w:lineRule="auto"/>
        <w:tabs>
          <w:tab w:leader="none" w:pos="149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Award of Restricted Stock Units</w:t>
      </w:r>
      <w:r>
        <w:rPr>
          <w:rFonts w:ascii="Arial" w:cs="Arial" w:eastAsia="Arial" w:hAnsi="Arial"/>
          <w:sz w:val="19"/>
          <w:szCs w:val="19"/>
          <w:color w:val="auto"/>
        </w:rPr>
        <w:t>. In consideration of services rendered and to be rendered to the Company, by the Participant, the Company has granted to the Participant, subject to the terms and conditions set forth in this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and in the Company’s 2022 Inducement Stock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 award with respect to the number of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set forth in the Notice of Grant that forms part of this Agreement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Each RSU represents the right to receive one share of common stock, $0.001 par value per share,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upon vesting of the RSU, subject to the terms and conditions set forth herein.</w:t>
      </w:r>
    </w:p>
    <w:p>
      <w:pPr>
        <w:spacing w:after="0" w:line="150" w:lineRule="exact"/>
        <w:rPr>
          <w:sz w:val="20"/>
          <w:szCs w:val="20"/>
          <w:color w:val="auto"/>
        </w:rPr>
      </w:pPr>
    </w:p>
    <w:p>
      <w:pPr>
        <w:ind w:right="480" w:firstLine="749"/>
        <w:spacing w:after="0"/>
        <w:rPr>
          <w:sz w:val="20"/>
          <w:szCs w:val="20"/>
          <w:color w:val="auto"/>
        </w:rPr>
      </w:pPr>
      <w:r>
        <w:rPr>
          <w:rFonts w:ascii="Arial" w:cs="Arial" w:eastAsia="Arial" w:hAnsi="Arial"/>
          <w:sz w:val="22"/>
          <w:szCs w:val="22"/>
          <w:color w:val="auto"/>
        </w:rPr>
        <w:t>The RSUs evidenced by this Agreement were granted to the Participant pursuant to the inducement grant exception under Nasdaq Stock Market Rule 5635(c)(4), as an inducement that is material to the Participant’s employment with the Company.</w:t>
      </w:r>
    </w:p>
    <w:p>
      <w:pPr>
        <w:spacing w:after="0" w:line="213" w:lineRule="exact"/>
        <w:rPr>
          <w:sz w:val="20"/>
          <w:szCs w:val="20"/>
          <w:color w:val="auto"/>
        </w:rPr>
      </w:pPr>
    </w:p>
    <w:p>
      <w:pPr>
        <w:ind w:left="1500" w:hanging="743"/>
        <w:spacing w:after="0"/>
        <w:tabs>
          <w:tab w:leader="none" w:pos="150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RSUs shall vest in accordance with the Vesting Schedule set forth in the Notice of Grant (the</w:t>
      </w:r>
    </w:p>
    <w:p>
      <w:pPr>
        <w:spacing w:after="0" w:line="4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Schedule</w:t>
      </w:r>
      <w:r>
        <w:rPr>
          <w:rFonts w:ascii="Arial" w:cs="Arial" w:eastAsia="Arial" w:hAnsi="Arial"/>
          <w:sz w:val="22"/>
          <w:szCs w:val="22"/>
          <w:color w:val="auto"/>
        </w:rPr>
        <w:t>”). Any fractional shares resulting from the application of any percentages used in the Vesting Schedule shall be rounded down to the nearest whole number of RSUs. As soon as practicable after the vesting of the RSU, the Company will deliver to the Participant, for each RSU that becomes vested, one share of Common Stock, subject to the payment of any taxes pursuant to Section 7. The Common Stock will be delivered to the Participant as soon as practicable following each vesting date, but in any event within 30 days of such date.</w:t>
      </w:r>
    </w:p>
    <w:p>
      <w:pPr>
        <w:spacing w:after="0" w:line="185" w:lineRule="exact"/>
        <w:rPr>
          <w:sz w:val="20"/>
          <w:szCs w:val="20"/>
          <w:color w:val="auto"/>
        </w:rPr>
      </w:pPr>
    </w:p>
    <w:p>
      <w:pPr>
        <w:ind w:right="60" w:firstLine="757"/>
        <w:spacing w:after="0" w:line="277" w:lineRule="auto"/>
        <w:tabs>
          <w:tab w:leader="none" w:pos="1498"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Forfeiture of Unvested RSUs Upon Cessation of Service</w:t>
      </w:r>
      <w:r>
        <w:rPr>
          <w:rFonts w:ascii="Arial" w:cs="Arial" w:eastAsia="Arial" w:hAnsi="Arial"/>
          <w:sz w:val="19"/>
          <w:szCs w:val="19"/>
          <w:color w:val="auto"/>
        </w:rPr>
        <w:t>. In the event that the Participant ceases to be an Eligible Participant (as defined below) for any reason or no reason, with or without cause, all of the RSUs that are unvested as of the time of such cessation shall be forfeited immediately and automatically to the Company, without the payment of any consideration to the Participant, effective as of such cessation. The Participant shall have no further rights with respect to the unvested RSUs or any Common Stock that may have been issuable with respect thereto. The Participant shall be an “</w:t>
      </w:r>
      <w:r>
        <w:rPr>
          <w:rFonts w:ascii="Arial" w:cs="Arial" w:eastAsia="Arial" w:hAnsi="Arial"/>
          <w:sz w:val="19"/>
          <w:szCs w:val="19"/>
          <w:u w:val="single" w:color="auto"/>
          <w:color w:val="auto"/>
        </w:rPr>
        <w:t>Eligible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Participant</w:t>
      </w:r>
      <w:r>
        <w:rPr>
          <w:rFonts w:ascii="Arial" w:cs="Arial" w:eastAsia="Arial" w:hAnsi="Arial"/>
          <w:sz w:val="19"/>
          <w:szCs w:val="19"/>
          <w:color w:val="auto"/>
        </w:rPr>
        <w:t>” if the individual is an employee, director or officer of, or consultant or advisor to, the Company or any other entity the employees, officers, directors, consultants or advisors of which are eligible to receive awards of RSUs under the Plan.</w:t>
      </w:r>
    </w:p>
    <w:p>
      <w:pPr>
        <w:spacing w:after="0" w:line="151" w:lineRule="exact"/>
        <w:rPr>
          <w:rFonts w:ascii="Arial" w:cs="Arial" w:eastAsia="Arial" w:hAnsi="Arial"/>
          <w:sz w:val="19"/>
          <w:szCs w:val="19"/>
          <w:color w:val="auto"/>
        </w:rPr>
      </w:pPr>
    </w:p>
    <w:p>
      <w:pPr>
        <w:ind w:right="120" w:firstLine="757"/>
        <w:spacing w:after="0" w:line="252" w:lineRule="auto"/>
        <w:tabs>
          <w:tab w:leader="none" w:pos="1498"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Restrictions on Transfer</w:t>
      </w:r>
      <w:r>
        <w:rPr>
          <w:rFonts w:ascii="Arial" w:cs="Arial" w:eastAsia="Arial" w:hAnsi="Arial"/>
          <w:sz w:val="21"/>
          <w:szCs w:val="21"/>
          <w:color w:val="auto"/>
        </w:rPr>
        <w:t>. The Participant shall not sell, assign, transfer, pledge, hypothecate, encumber or otherwise dispose of, by operation of law or otherwise (collectively “transfer”) any RSUs, or any interest therein. The Company shall not be required to treat as the owner of any RSUs or issue any Common Stock to any transferee to whom such RSUs have been transferred in violation of any of the provisions of this Agreement.</w:t>
      </w:r>
    </w:p>
    <w:p>
      <w:pPr>
        <w:spacing w:after="0" w:line="173" w:lineRule="exact"/>
        <w:rPr>
          <w:rFonts w:ascii="Arial" w:cs="Arial" w:eastAsia="Arial" w:hAnsi="Arial"/>
          <w:sz w:val="21"/>
          <w:szCs w:val="21"/>
          <w:color w:val="auto"/>
        </w:rPr>
      </w:pPr>
    </w:p>
    <w:p>
      <w:pPr>
        <w:ind w:right="200" w:firstLine="757"/>
        <w:spacing w:after="0" w:line="250" w:lineRule="auto"/>
        <w:tabs>
          <w:tab w:leader="none" w:pos="1498"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The Participant shall have no rights as a stockholder of the Company with respect to any shares of Common Stock that may be issuable with respect to the</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ACTIVEUS 191963247v.3" "" ACTIVEUS 191963247v.3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RSUs until the issuance of the shares of Common Stock to the Participant following the vesting of the RSUs.</w:t>
      </w:r>
    </w:p>
    <w:p>
      <w:pPr>
        <w:spacing w:after="0" w:line="207" w:lineRule="exact"/>
        <w:rPr>
          <w:sz w:val="20"/>
          <w:szCs w:val="20"/>
          <w:color w:val="auto"/>
        </w:rPr>
      </w:pPr>
    </w:p>
    <w:p>
      <w:pPr>
        <w:ind w:right="100" w:firstLine="757"/>
        <w:spacing w:after="0" w:line="250" w:lineRule="auto"/>
        <w:tabs>
          <w:tab w:leader="none" w:pos="1498"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Agreement is subject to the provisions of the Plan, a copy of which is furnished to the Participant with this Agreement.</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3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Acknowledgments; No Section 83(b) Election</w:t>
      </w:r>
      <w:r>
        <w:rPr>
          <w:rFonts w:ascii="Arial" w:cs="Arial" w:eastAsia="Arial" w:hAnsi="Arial"/>
          <w:sz w:val="22"/>
          <w:szCs w:val="22"/>
          <w:color w:val="auto"/>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 Participant (and not the Company) shall be responsible for the Participant’s tax liability that may arise in connection with the acquisition, vesting and/or disposition of the RSUs. The Participant acknowledges that no election under Section 83(b) of the Internal Revenue Code of 1986, as amended, (the “Code”) is available with respect to RSUs.</w:t>
      </w:r>
    </w:p>
    <w:p>
      <w:pPr>
        <w:spacing w:after="0" w:line="191"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The Participant acknowledges and agrees that the Company has the right to deduct from payments of any kind otherwise due to the Participant any federal, state, local or other taxes of any kind required by law to be withheld with respect to the vesting of the RSUs. At such time as the Participant is not aware of any material nonpublic information about the Company or the Common Stock and the Participant is not subject to any restriction on trading activities with respect to the Common Stock pursuant to any Company insider trading or other policy, the Participant shall execute the instructions set forth in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Automatic Sale Instructions</w:t>
      </w:r>
      <w:r>
        <w:rPr>
          <w:rFonts w:ascii="Arial" w:cs="Arial" w:eastAsia="Arial" w:hAnsi="Arial"/>
          <w:sz w:val="21"/>
          <w:szCs w:val="21"/>
          <w:color w:val="auto"/>
        </w:rPr>
        <w:t>”) as the means of satisfying such tax obligation. If the Participant does not execute the Automatic Sale Instructions prior to an applicable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200" w:lineRule="exact"/>
        <w:rPr>
          <w:sz w:val="20"/>
          <w:szCs w:val="20"/>
          <w:color w:val="auto"/>
        </w:rPr>
      </w:pPr>
    </w:p>
    <w:p>
      <w:pPr>
        <w:spacing w:after="0" w:line="231" w:lineRule="exact"/>
        <w:rPr>
          <w:sz w:val="20"/>
          <w:szCs w:val="20"/>
          <w:color w:val="auto"/>
        </w:rPr>
      </w:pPr>
    </w:p>
    <w:p>
      <w:pPr>
        <w:ind w:left="1500" w:hanging="743"/>
        <w:spacing w:after="0"/>
        <w:tabs>
          <w:tab w:leader="none" w:pos="15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right="20" w:firstLine="1497"/>
        <w:spacing w:after="0" w:line="238"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Section 409A</w:t>
      </w:r>
      <w:r>
        <w:rPr>
          <w:rFonts w:ascii="Arial" w:cs="Arial" w:eastAsia="Arial" w:hAnsi="Arial"/>
          <w:sz w:val="22"/>
          <w:szCs w:val="22"/>
          <w:color w:val="auto"/>
        </w:rPr>
        <w:t>. The RSUs awarded pursuant to this Agreement are intended to be exempt from or comply with the requirements of Section 409A of the Code and the Treasury Regulations issued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The delivery of shares of Common Stock on the vesting of the RSUs may not be accelerated or deferred unless permitted or required by Section 409A.</w:t>
      </w:r>
    </w:p>
    <w:p>
      <w:pPr>
        <w:spacing w:after="0" w:line="185" w:lineRule="exact"/>
        <w:rPr>
          <w:sz w:val="20"/>
          <w:szCs w:val="20"/>
          <w:color w:val="auto"/>
        </w:rPr>
      </w:pPr>
    </w:p>
    <w:p>
      <w:pPr>
        <w:ind w:right="100" w:firstLine="1497"/>
        <w:spacing w:after="0" w:line="287"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Participant’s Acknowledgements</w:t>
      </w:r>
      <w:r>
        <w:rPr>
          <w:rFonts w:ascii="Arial" w:cs="Arial" w:eastAsia="Arial" w:hAnsi="Arial"/>
          <w:sz w:val="19"/>
          <w:szCs w:val="19"/>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ACTIVEUS 191963247v.3" "" ACTIVEUS 191963247v.3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color w:val="auto"/>
        </w:rPr>
        <w:t>accepting this award, the Participant will be bound by any clawback policy that the Company may adopt in the future.</w:t>
      </w:r>
    </w:p>
    <w:p>
      <w:pPr>
        <w:sectPr>
          <w:pgSz w:w="11900" w:h="16838" w:orient="portrait"/>
          <w:cols w:equalWidth="0" w:num="1">
            <w:col w:w="10200"/>
          </w:cols>
          <w:pgMar w:left="320" w:top="118"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IF " DOCVARIABLE "SWDocIDLocation" 1" = "1" " DOCPROPERTY "SWDocID" ACTIVEUS 191963247v.3" "" ACTIVEUS 191963247v.3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18" w:right="1379" w:bottom="144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Schedule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Automatic Sale Instructions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undersigned hereby consents and agrees that any taxes due on a vesting date as a result of the vesting of RSUs on such date shall be paid through an automatic sale of shares as follows:</w:t>
      </w:r>
    </w:p>
    <w:p>
      <w:pPr>
        <w:spacing w:after="0" w:line="202" w:lineRule="exact"/>
        <w:rPr>
          <w:sz w:val="20"/>
          <w:szCs w:val="20"/>
          <w:color w:val="auto"/>
        </w:rPr>
      </w:pPr>
    </w:p>
    <w:p>
      <w:pPr>
        <w:ind w:right="180" w:firstLine="757"/>
        <w:spacing w:after="0" w:line="248" w:lineRule="auto"/>
        <w:tabs>
          <w:tab w:leader="none" w:pos="1181" w:val="left"/>
        </w:tabs>
        <w:numPr>
          <w:ilvl w:val="0"/>
          <w:numId w:val="107"/>
        </w:numPr>
        <w:rPr>
          <w:rFonts w:ascii="Arial" w:cs="Arial" w:eastAsia="Arial" w:hAnsi="Arial"/>
          <w:sz w:val="21"/>
          <w:szCs w:val="21"/>
          <w:color w:val="auto"/>
        </w:rPr>
      </w:pPr>
      <w:r>
        <w:rPr>
          <w:rFonts w:ascii="Arial" w:cs="Arial" w:eastAsia="Arial" w:hAnsi="Arial"/>
          <w:sz w:val="21"/>
          <w:szCs w:val="21"/>
          <w:color w:val="auto"/>
        </w:rPr>
        <w:t>Upon any vesting of RSUs pursuant to Section 2 hereof, the Company shall arrange for the sale of such number of shares of Common Stock issuable with respect to the RSUs that vest pursuant to Section 2 as is sufficient to generate net proceeds in the amount necessary to satisfy the Company’s minimum statutory withholding obligations with respect to the income recognized by the Participant upon the vesting of the RSUs (based on minimum statutory withholding rates for all tax purposes, including payroll and social security taxes, that are applicable to such income), and the net proceeds of such sale shall be delivered to the Company in satisfaction of such tax withholding obligations.</w:t>
      </w:r>
    </w:p>
    <w:p>
      <w:pPr>
        <w:spacing w:after="0" w:line="176" w:lineRule="exact"/>
        <w:rPr>
          <w:rFonts w:ascii="Arial" w:cs="Arial" w:eastAsia="Arial" w:hAnsi="Arial"/>
          <w:sz w:val="21"/>
          <w:szCs w:val="21"/>
          <w:color w:val="auto"/>
        </w:rPr>
      </w:pPr>
    </w:p>
    <w:p>
      <w:pPr>
        <w:ind w:firstLine="757"/>
        <w:spacing w:after="0" w:line="236" w:lineRule="auto"/>
        <w:tabs>
          <w:tab w:leader="none" w:pos="118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Participant hereby appoints the Chief Executive Officer, the Chief Financial Officer and the Chief Legal Officer (or a person holding a similar title), and any of them acting alone and with full power of substitution, to serve as his or her attorneys in fact to arrange for the sale of the Participant’s Common Stock in accordance with this Schedule A. The Participant agrees to execute and deliver such documents, instruments and certificates as may reasonably be required in connection with the sale of the shares pursuant to this Schedule A.</w:t>
      </w:r>
    </w:p>
    <w:p>
      <w:pPr>
        <w:spacing w:after="0" w:line="187" w:lineRule="exact"/>
        <w:rPr>
          <w:rFonts w:ascii="Arial" w:cs="Arial" w:eastAsia="Arial" w:hAnsi="Arial"/>
          <w:sz w:val="22"/>
          <w:szCs w:val="22"/>
          <w:color w:val="auto"/>
        </w:rPr>
      </w:pPr>
    </w:p>
    <w:p>
      <w:pPr>
        <w:ind w:right="120" w:firstLine="757"/>
        <w:spacing w:after="0" w:line="235" w:lineRule="auto"/>
        <w:tabs>
          <w:tab w:leader="none" w:pos="118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Participant represents to the Company that, as of the date hereof, he or she is not aware of any material nonpublic information about the Company or the Common Stock and is not subject to any restriction on trading activities with respect to the Common Stock pursuant to any Company insider trading policy or other policy. The Participant and the Company have structured this Agreement, including this Schedule A, to constitute a “binding contract” relating to the sale of Common Stock, consistent with the affirmative defense to liability under Section 10(b) of the Securities Exchange Act of 1934 under Rule 10b5-1(c) promulgated under such Act.</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Company shall not deliver any shares of Common Stock to the Participant until it is satisfied that all required withholdings have been made.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Participant Name: ________________</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Date: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 DOCVARIABLE "SWDocIDLocation" 1" = "1" " DOCPROPERTY "SWDocID" ACTIVEUS 191963247v.3" "" ACTIVEUS 191963247v.3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1" w:name="page172"/>
    <w:bookmarkEnd w:id="171"/>
    <w:p>
      <w:pPr>
        <w:ind w:left="10180"/>
        <w:spacing w:after="0"/>
        <w:rPr>
          <w:sz w:val="20"/>
          <w:szCs w:val="20"/>
          <w:color w:val="auto"/>
        </w:rPr>
      </w:pPr>
      <w:r>
        <w:rPr>
          <w:rFonts w:ascii="Arial" w:cs="Arial" w:eastAsia="Arial" w:hAnsi="Arial"/>
          <w:sz w:val="17"/>
          <w:szCs w:val="17"/>
          <w:b w:val="1"/>
          <w:bCs w:val="1"/>
          <w:color w:val="auto"/>
        </w:rPr>
        <w:t>Exhibit 10.15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January 19, 2022</w:t>
      </w:r>
    </w:p>
    <w:p>
      <w:pPr>
        <w:spacing w:after="0" w:line="198" w:lineRule="exact"/>
        <w:rPr>
          <w:sz w:val="20"/>
          <w:szCs w:val="20"/>
          <w:color w:val="auto"/>
        </w:rPr>
      </w:pPr>
    </w:p>
    <w:p>
      <w:pPr>
        <w:ind w:right="320" w:firstLine="749"/>
        <w:spacing w:after="0" w:line="261" w:lineRule="auto"/>
        <w:rPr>
          <w:sz w:val="20"/>
          <w:szCs w:val="20"/>
          <w:color w:val="auto"/>
        </w:rPr>
      </w:pPr>
      <w:r>
        <w:rPr>
          <w:rFonts w:ascii="Arial" w:cs="Arial" w:eastAsia="Arial" w:hAnsi="Arial"/>
          <w:sz w:val="18"/>
          <w:szCs w:val="18"/>
          <w:color w:val="auto"/>
        </w:rPr>
        <w:t>The Company’s non-employee directors shall receive the following compensation for their service as members of the Board of Directors (the “Board”) of the Company.</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Compensation</w:t>
      </w:r>
    </w:p>
    <w:p>
      <w:pPr>
        <w:spacing w:after="0" w:line="202" w:lineRule="exact"/>
        <w:rPr>
          <w:sz w:val="20"/>
          <w:szCs w:val="20"/>
          <w:color w:val="auto"/>
        </w:rPr>
      </w:pPr>
    </w:p>
    <w:p>
      <w:pPr>
        <w:ind w:right="20" w:firstLine="749"/>
        <w:spacing w:after="0" w:line="294" w:lineRule="auto"/>
        <w:rPr>
          <w:sz w:val="20"/>
          <w:szCs w:val="20"/>
          <w:color w:val="auto"/>
        </w:rPr>
      </w:pPr>
      <w:r>
        <w:rPr>
          <w:rFonts w:ascii="Arial" w:cs="Arial" w:eastAsia="Arial" w:hAnsi="Arial"/>
          <w:sz w:val="16"/>
          <w:szCs w:val="16"/>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98" w:lineRule="exact"/>
        <w:rPr>
          <w:sz w:val="20"/>
          <w:szCs w:val="20"/>
          <w:color w:val="auto"/>
        </w:rPr>
      </w:pPr>
    </w:p>
    <w:p>
      <w:pPr>
        <w:jc w:val="both"/>
        <w:ind w:right="120" w:firstLine="749"/>
        <w:spacing w:after="0" w:line="248" w:lineRule="auto"/>
        <w:rPr>
          <w:sz w:val="20"/>
          <w:szCs w:val="20"/>
          <w:color w:val="auto"/>
        </w:rPr>
      </w:pPr>
      <w:r>
        <w:rPr>
          <w:rFonts w:ascii="Arial" w:cs="Arial" w:eastAsia="Arial" w:hAnsi="Arial"/>
          <w:sz w:val="18"/>
          <w:szCs w:val="18"/>
          <w:color w:val="auto"/>
        </w:rPr>
        <w:t>The fees that will be paid to our non-employee directors for service on the Board, and for service on each committee of the Board on which the director is then a member, and the fees that will be paid to the chairperson of the Board, if one is then appointed, and the chairperson of each committee of the Board will be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Arial" w:cs="Arial" w:eastAsia="Arial" w:hAnsi="Arial"/>
                <w:sz w:val="14"/>
                <w:szCs w:val="14"/>
                <w:b w:val="1"/>
                <w:bCs w:val="1"/>
                <w:color w:val="auto"/>
              </w:rPr>
              <w:t>Member Annual Fee</w:t>
            </w:r>
          </w:p>
        </w:tc>
        <w:tc>
          <w:tcPr>
            <w:tcW w:w="2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Chairman Incremental Annual Fee</w:t>
            </w:r>
          </w:p>
        </w:tc>
      </w:tr>
      <w:tr>
        <w:trPr>
          <w:trHeight w:val="181"/>
        </w:trPr>
        <w:tc>
          <w:tcPr>
            <w:tcW w:w="5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Board of Directors</w:t>
            </w:r>
          </w:p>
        </w:tc>
        <w:tc>
          <w:tcPr>
            <w:tcW w:w="15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3"/>
              <w:spacing w:after="0" w:line="182" w:lineRule="exact"/>
              <w:rPr>
                <w:sz w:val="20"/>
                <w:szCs w:val="20"/>
                <w:color w:val="auto"/>
              </w:rPr>
            </w:pPr>
            <w:r>
              <w:rPr>
                <w:rFonts w:ascii="Arial" w:cs="Arial" w:eastAsia="Arial" w:hAnsi="Arial"/>
                <w:sz w:val="18"/>
                <w:szCs w:val="18"/>
                <w:color w:val="auto"/>
              </w:rPr>
              <w:t>40,000</w:t>
            </w:r>
          </w:p>
        </w:tc>
        <w:tc>
          <w:tcPr>
            <w:tcW w:w="1240" w:type="dxa"/>
            <w:vAlign w:val="bottom"/>
            <w:shd w:val="clear" w:color="auto" w:fill="CCEEFF"/>
          </w:tcPr>
          <w:p>
            <w:pPr>
              <w:jc w:val="right"/>
              <w:ind w:right="773"/>
              <w:spacing w:after="0" w:line="18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30,000</w:t>
            </w: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Audit Committee</w:t>
            </w:r>
          </w:p>
        </w:tc>
        <w:tc>
          <w:tcPr>
            <w:tcW w:w="15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173"/>
              <w:spacing w:after="0" w:line="176" w:lineRule="exact"/>
              <w:rPr>
                <w:sz w:val="20"/>
                <w:szCs w:val="20"/>
                <w:color w:val="auto"/>
              </w:rPr>
            </w:pPr>
            <w:r>
              <w:rPr>
                <w:rFonts w:ascii="Arial" w:cs="Arial" w:eastAsia="Arial" w:hAnsi="Arial"/>
                <w:sz w:val="18"/>
                <w:szCs w:val="18"/>
                <w:color w:val="auto"/>
              </w:rPr>
              <w:t>7,500</w:t>
            </w:r>
          </w:p>
        </w:tc>
        <w:tc>
          <w:tcPr>
            <w:tcW w:w="1240" w:type="dxa"/>
            <w:vAlign w:val="bottom"/>
          </w:tcPr>
          <w:p>
            <w:pPr>
              <w:jc w:val="right"/>
              <w:ind w:right="773"/>
              <w:spacing w:after="0" w:line="176"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176" w:lineRule="exact"/>
              <w:rPr>
                <w:sz w:val="20"/>
                <w:szCs w:val="20"/>
                <w:color w:val="auto"/>
              </w:rPr>
            </w:pPr>
            <w:r>
              <w:rPr>
                <w:rFonts w:ascii="Arial" w:cs="Arial" w:eastAsia="Arial" w:hAnsi="Arial"/>
                <w:sz w:val="18"/>
                <w:szCs w:val="18"/>
                <w:color w:val="auto"/>
              </w:rPr>
              <w:t>7,500</w:t>
            </w:r>
          </w:p>
        </w:tc>
      </w:tr>
      <w:tr>
        <w:trPr>
          <w:trHeight w:val="175"/>
        </w:trPr>
        <w:tc>
          <w:tcPr>
            <w:tcW w:w="5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Compensation Committee</w:t>
            </w:r>
          </w:p>
        </w:tc>
        <w:tc>
          <w:tcPr>
            <w:tcW w:w="15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3"/>
              <w:spacing w:after="0" w:line="176" w:lineRule="exact"/>
              <w:rPr>
                <w:sz w:val="20"/>
                <w:szCs w:val="20"/>
                <w:color w:val="auto"/>
              </w:rPr>
            </w:pPr>
            <w:r>
              <w:rPr>
                <w:rFonts w:ascii="Arial" w:cs="Arial" w:eastAsia="Arial" w:hAnsi="Arial"/>
                <w:sz w:val="18"/>
                <w:szCs w:val="18"/>
                <w:color w:val="auto"/>
              </w:rPr>
              <w:t>5,000</w:t>
            </w:r>
          </w:p>
        </w:tc>
        <w:tc>
          <w:tcPr>
            <w:tcW w:w="1240" w:type="dxa"/>
            <w:vAlign w:val="bottom"/>
            <w:shd w:val="clear" w:color="auto" w:fill="CCEEFF"/>
          </w:tcPr>
          <w:p>
            <w:pPr>
              <w:jc w:val="right"/>
              <w:ind w:right="773"/>
              <w:spacing w:after="0" w:line="17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5,000</w:t>
            </w: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Nominating and Corporate Governance Committee</w:t>
            </w:r>
          </w:p>
        </w:tc>
        <w:tc>
          <w:tcPr>
            <w:tcW w:w="1520" w:type="dxa"/>
            <w:vAlign w:val="bottom"/>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173"/>
              <w:spacing w:after="0" w:line="176" w:lineRule="exact"/>
              <w:rPr>
                <w:sz w:val="20"/>
                <w:szCs w:val="20"/>
                <w:color w:val="auto"/>
              </w:rPr>
            </w:pPr>
            <w:r>
              <w:rPr>
                <w:rFonts w:ascii="Arial" w:cs="Arial" w:eastAsia="Arial" w:hAnsi="Arial"/>
                <w:sz w:val="18"/>
                <w:szCs w:val="18"/>
                <w:color w:val="auto"/>
              </w:rPr>
              <w:t>4,000</w:t>
            </w:r>
          </w:p>
        </w:tc>
        <w:tc>
          <w:tcPr>
            <w:tcW w:w="1240" w:type="dxa"/>
            <w:vAlign w:val="bottom"/>
          </w:tcPr>
          <w:p>
            <w:pPr>
              <w:jc w:val="right"/>
              <w:ind w:right="773"/>
              <w:spacing w:after="0" w:line="176"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176" w:lineRule="exact"/>
              <w:rPr>
                <w:sz w:val="20"/>
                <w:szCs w:val="20"/>
                <w:color w:val="auto"/>
              </w:rPr>
            </w:pPr>
            <w:r>
              <w:rPr>
                <w:rFonts w:ascii="Arial" w:cs="Arial" w:eastAsia="Arial" w:hAnsi="Arial"/>
                <w:sz w:val="18"/>
                <w:szCs w:val="18"/>
                <w:color w:val="auto"/>
              </w:rPr>
              <w:t>4,000</w:t>
            </w:r>
          </w:p>
        </w:tc>
      </w:tr>
      <w:tr>
        <w:trPr>
          <w:trHeight w:val="176"/>
        </w:trPr>
        <w:tc>
          <w:tcPr>
            <w:tcW w:w="5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Science and Technology Committee</w:t>
            </w:r>
          </w:p>
        </w:tc>
        <w:tc>
          <w:tcPr>
            <w:tcW w:w="15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3"/>
              <w:spacing w:after="0" w:line="176" w:lineRule="exact"/>
              <w:rPr>
                <w:sz w:val="20"/>
                <w:szCs w:val="20"/>
                <w:color w:val="auto"/>
              </w:rPr>
            </w:pPr>
            <w:r>
              <w:rPr>
                <w:rFonts w:ascii="Arial" w:cs="Arial" w:eastAsia="Arial" w:hAnsi="Arial"/>
                <w:sz w:val="18"/>
                <w:szCs w:val="18"/>
                <w:color w:val="auto"/>
              </w:rPr>
              <w:t>5,000</w:t>
            </w:r>
          </w:p>
        </w:tc>
        <w:tc>
          <w:tcPr>
            <w:tcW w:w="1240" w:type="dxa"/>
            <w:vAlign w:val="bottom"/>
            <w:shd w:val="clear" w:color="auto" w:fill="CCEEFF"/>
          </w:tcPr>
          <w:p>
            <w:pPr>
              <w:jc w:val="right"/>
              <w:ind w:right="773"/>
              <w:spacing w:after="0" w:line="17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5,000</w:t>
            </w:r>
          </w:p>
        </w:tc>
      </w:tr>
    </w:tbl>
    <w:p>
      <w:pPr>
        <w:spacing w:after="0" w:line="256" w:lineRule="exact"/>
        <w:rPr>
          <w:sz w:val="20"/>
          <w:szCs w:val="20"/>
          <w:color w:val="auto"/>
        </w:rPr>
      </w:pPr>
    </w:p>
    <w:p>
      <w:pPr>
        <w:jc w:val="both"/>
        <w:ind w:right="20" w:firstLine="749"/>
        <w:spacing w:after="0" w:line="291" w:lineRule="auto"/>
        <w:rPr>
          <w:sz w:val="20"/>
          <w:szCs w:val="20"/>
          <w:color w:val="auto"/>
        </w:rPr>
      </w:pPr>
      <w:r>
        <w:rPr>
          <w:rFonts w:ascii="Arial" w:cs="Arial" w:eastAsia="Arial" w:hAnsi="Arial"/>
          <w:sz w:val="17"/>
          <w:szCs w:val="17"/>
          <w:color w:val="auto"/>
        </w:rPr>
        <w:t>The foregoing fees will be payable in arrears in four equal quarterly installments on the last day of each quarter, provided that the amount of such payment will be prorated for any portion of such quarter that the director is not serving on the Board, on such committee or in such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8" w:lineRule="exact"/>
        <w:rPr>
          <w:sz w:val="20"/>
          <w:szCs w:val="20"/>
          <w:color w:val="auto"/>
        </w:rPr>
      </w:pPr>
    </w:p>
    <w:p>
      <w:pPr>
        <w:ind w:firstLine="749"/>
        <w:spacing w:after="0"/>
        <w:rPr>
          <w:sz w:val="20"/>
          <w:szCs w:val="20"/>
          <w:color w:val="auto"/>
        </w:rPr>
      </w:pPr>
      <w:r>
        <w:rPr>
          <w:rFonts w:ascii="Arial" w:cs="Arial" w:eastAsia="Arial" w:hAnsi="Arial"/>
          <w:sz w:val="18"/>
          <w:szCs w:val="18"/>
          <w:u w:val="single" w:color="auto"/>
          <w:color w:val="auto"/>
        </w:rPr>
        <w:t>Initial Grants</w:t>
      </w:r>
      <w:r>
        <w:rPr>
          <w:rFonts w:ascii="Arial" w:cs="Arial" w:eastAsia="Arial" w:hAnsi="Arial"/>
          <w:sz w:val="18"/>
          <w:szCs w:val="18"/>
          <w:color w:val="auto"/>
        </w:rPr>
        <w:t xml:space="preserve"> . Upon initial election to the Board, each non-employee director will be granted, automatically and without the need for any further action by the Board, an initial equity award of an option to purchase 30,000 shares of our common stock. The initial award shall have a term of ten years from the date of the award, and shall vest and become exercisable as to 1/36 of the shares underlying such award at the end of each successive one-month period following the grant date until the third anniversary of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76" w:lineRule="exact"/>
        <w:rPr>
          <w:sz w:val="20"/>
          <w:szCs w:val="20"/>
          <w:color w:val="auto"/>
        </w:rPr>
      </w:pPr>
    </w:p>
    <w:p>
      <w:pPr>
        <w:ind w:right="20" w:firstLine="749"/>
        <w:spacing w:after="0"/>
        <w:rPr>
          <w:sz w:val="20"/>
          <w:szCs w:val="20"/>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xml:space="preserve"> . Each non-employee director who has served as a member of the Board for at least six months prior to the date of our annual meeting of stockholders for a particular year will be granted, automatically and without the need for any further action by the Board, an equity award on the date of the first Board meeting held after our annual meeting of stockholders for such year of an option to purchase 19,000 shares of our common stock. The annual award shall have a term of ten years from the date of the award, and shall vest and become exercisable in full on the one-year anniversary of the grant date (or, if earlier, immediately prior to the first annual meeting of stockholders occurring after the grant date), subject to the director’s continued service to the Company through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2" w:name="page173"/>
    <w:bookmarkEnd w:id="172"/>
    <w:p>
      <w:pPr>
        <w:ind w:right="220"/>
        <w:spacing w:after="0" w:line="261" w:lineRule="auto"/>
        <w:rPr>
          <w:sz w:val="20"/>
          <w:szCs w:val="20"/>
          <w:color w:val="auto"/>
        </w:rPr>
      </w:pPr>
      <w:r>
        <w:rPr>
          <w:rFonts w:ascii="Arial" w:cs="Arial" w:eastAsia="Arial" w:hAnsi="Arial"/>
          <w:sz w:val="18"/>
          <w:szCs w:val="18"/>
          <w:color w:val="auto"/>
        </w:rPr>
        <w:t>applicable vesting date. The vesting shall accelerate as to 100% of the shares upon a change in control of the Company. The exercise price shall be the closing price of our common stock on the date of grant.</w:t>
      </w:r>
    </w:p>
    <w:p>
      <w:pPr>
        <w:spacing w:after="0" w:line="15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foregoing share amounts shall be automatically adjusted in the event of any stock split, reverse stock split, stock dividend, recapitalization, combination of shares, reclassification of shares, spin-off or other similar change in capitalization or event effecting our common stock, or any distribution to holders of our common stock other than an ordinary cash dividend.</w:t>
      </w:r>
    </w:p>
    <w:p>
      <w:pPr>
        <w:spacing w:after="0" w:line="168"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The initial awards and the annual awards shall be subject to the terms and conditions of our 2019 Stock Incentive Plan, or any successor plan, and the terms of the option agreements entered into with each director in connection with such awards.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Expenses</w:t>
      </w:r>
    </w:p>
    <w:p>
      <w:pPr>
        <w:spacing w:after="0" w:line="198" w:lineRule="exact"/>
        <w:rPr>
          <w:sz w:val="20"/>
          <w:szCs w:val="20"/>
          <w:color w:val="auto"/>
        </w:rPr>
      </w:pPr>
    </w:p>
    <w:p>
      <w:pPr>
        <w:ind w:right="20" w:firstLine="749"/>
        <w:spacing w:after="0" w:line="279" w:lineRule="auto"/>
        <w:rPr>
          <w:sz w:val="20"/>
          <w:szCs w:val="20"/>
          <w:color w:val="auto"/>
        </w:rPr>
      </w:pPr>
      <w:r>
        <w:rPr>
          <w:rFonts w:ascii="Arial" w:cs="Arial" w:eastAsia="Arial" w:hAnsi="Arial"/>
          <w:sz w:val="16"/>
          <w:szCs w:val="16"/>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10.23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right="60" w:firstLine="749"/>
        <w:spacing w:after="0"/>
        <w:rPr>
          <w:sz w:val="20"/>
          <w:szCs w:val="20"/>
          <w:color w:val="auto"/>
        </w:rPr>
      </w:pPr>
      <w:r>
        <w:rPr>
          <w:rFonts w:ascii="Arial" w:cs="Arial" w:eastAsia="Arial" w:hAnsi="Arial"/>
          <w:sz w:val="22"/>
          <w:szCs w:val="22"/>
          <w:color w:val="auto"/>
        </w:rPr>
        <w:t>THIS EMPLOYMENT AGREEMENT (the “Agreement”), is made as of January 3</w:t>
      </w:r>
      <w:r>
        <w:rPr>
          <w:rFonts w:ascii="Arial" w:cs="Arial" w:eastAsia="Arial" w:hAnsi="Arial"/>
          <w:sz w:val="14"/>
          <w:szCs w:val="14"/>
          <w:color w:val="auto"/>
        </w:rPr>
        <w:t>rd</w:t>
      </w:r>
      <w:r>
        <w:rPr>
          <w:rFonts w:ascii="Arial" w:cs="Arial" w:eastAsia="Arial" w:hAnsi="Arial"/>
          <w:sz w:val="22"/>
          <w:szCs w:val="22"/>
          <w:color w:val="auto"/>
        </w:rPr>
        <w:t>, 2022, ( Executive’s first day of employment, after all eligibility criteria have been met) by and between Fulcrum Therapeutics, Inc. (the “Company”), and Esther Rajavelu (the “Executive”) (together, the “Parties”).</w:t>
      </w:r>
    </w:p>
    <w:p>
      <w:pPr>
        <w:spacing w:after="0" w:line="18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Company desires to employ the Executive as its Chief Financial Officer; and</w:t>
      </w:r>
    </w:p>
    <w:p>
      <w:pPr>
        <w:spacing w:after="0" w:line="206" w:lineRule="exact"/>
        <w:rPr>
          <w:sz w:val="20"/>
          <w:szCs w:val="20"/>
          <w:color w:val="auto"/>
        </w:rPr>
      </w:pPr>
    </w:p>
    <w:p>
      <w:pPr>
        <w:ind w:right="960" w:firstLine="749"/>
        <w:spacing w:after="0" w:line="250" w:lineRule="auto"/>
        <w:rPr>
          <w:sz w:val="20"/>
          <w:szCs w:val="20"/>
          <w:color w:val="auto"/>
        </w:rPr>
      </w:pPr>
      <w:r>
        <w:rPr>
          <w:rFonts w:ascii="Arial" w:cs="Arial" w:eastAsia="Arial" w:hAnsi="Arial"/>
          <w:sz w:val="22"/>
          <w:szCs w:val="22"/>
          <w:color w:val="auto"/>
        </w:rPr>
        <w:t>WHEREAS, the Executive has agreed to accept such employment on the terms and conditions set forth in this Agreement;</w:t>
      </w:r>
    </w:p>
    <w:p>
      <w:pPr>
        <w:spacing w:after="0" w:line="175" w:lineRule="exact"/>
        <w:rPr>
          <w:sz w:val="20"/>
          <w:szCs w:val="20"/>
          <w:color w:val="auto"/>
        </w:rPr>
      </w:pPr>
    </w:p>
    <w:p>
      <w:pPr>
        <w:ind w:right="320" w:firstLine="749"/>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175" w:lineRule="exact"/>
        <w:rPr>
          <w:sz w:val="20"/>
          <w:szCs w:val="20"/>
          <w:color w:val="auto"/>
        </w:rPr>
      </w:pPr>
    </w:p>
    <w:p>
      <w:pPr>
        <w:ind w:right="60" w:firstLine="8"/>
        <w:spacing w:after="0"/>
        <w:tabs>
          <w:tab w:leader="none" w:pos="216"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Effective Date (“Date of Hire”). Following the Effective Date,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shall continue to be an employee of the Company until such employment relationship is terminated in accordance with Section 7 hereof (the “Term of Employment”).</w:t>
      </w:r>
    </w:p>
    <w:p>
      <w:pPr>
        <w:spacing w:after="0" w:line="186" w:lineRule="exact"/>
        <w:rPr>
          <w:rFonts w:ascii="Arial" w:cs="Arial" w:eastAsia="Arial" w:hAnsi="Arial"/>
          <w:sz w:val="22"/>
          <w:szCs w:val="22"/>
          <w:color w:val="auto"/>
        </w:rPr>
      </w:pPr>
    </w:p>
    <w:p>
      <w:pPr>
        <w:ind w:right="200" w:firstLine="8"/>
        <w:spacing w:after="0" w:line="328" w:lineRule="auto"/>
        <w:tabs>
          <w:tab w:leader="none" w:pos="216"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Position</w:t>
      </w:r>
      <w:r>
        <w:rPr>
          <w:rFonts w:ascii="Arial" w:cs="Arial" w:eastAsia="Arial" w:hAnsi="Arial"/>
          <w:sz w:val="19"/>
          <w:szCs w:val="19"/>
          <w:color w:val="auto"/>
        </w:rPr>
        <w:t>. During the Term of Employment, the Executive shall serve as the Chief Financial Officer of the Company, working</w:t>
      </w:r>
      <w:r>
        <w:rPr>
          <w:rFonts w:ascii="Arial" w:cs="Arial" w:eastAsia="Arial" w:hAnsi="Arial"/>
          <w:sz w:val="19"/>
          <w:szCs w:val="19"/>
          <w:i w:val="1"/>
          <w:iCs w:val="1"/>
          <w:color w:val="auto"/>
        </w:rPr>
        <w:t xml:space="preserve"> </w:t>
      </w:r>
      <w:r>
        <w:rPr>
          <w:rFonts w:ascii="Arial" w:cs="Arial" w:eastAsia="Arial" w:hAnsi="Arial"/>
          <w:sz w:val="19"/>
          <w:szCs w:val="19"/>
          <w:color w:val="auto"/>
        </w:rPr>
        <w:t>out of the Company’s office in Cambridge, Massachusetts, and travelling as reasonably required by the Executive’s job duties.</w:t>
      </w:r>
    </w:p>
    <w:p>
      <w:pPr>
        <w:spacing w:after="0" w:line="104" w:lineRule="exact"/>
        <w:rPr>
          <w:rFonts w:ascii="Arial" w:cs="Arial" w:eastAsia="Arial" w:hAnsi="Arial"/>
          <w:sz w:val="19"/>
          <w:szCs w:val="19"/>
          <w:color w:val="auto"/>
        </w:rPr>
      </w:pPr>
    </w:p>
    <w:p>
      <w:pPr>
        <w:ind w:right="40" w:firstLine="8"/>
        <w:spacing w:after="0" w:line="273" w:lineRule="auto"/>
        <w:tabs>
          <w:tab w:leader="none" w:pos="216"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Scope of Employment</w:t>
      </w:r>
      <w:r>
        <w:rPr>
          <w:rFonts w:ascii="Arial" w:cs="Arial" w:eastAsia="Arial" w:hAnsi="Arial"/>
          <w:sz w:val="19"/>
          <w:szCs w:val="19"/>
          <w:color w:val="auto"/>
        </w:rPr>
        <w:t>. During the Term of Employment, the Executive shall be responsible for the performance of those duties</w:t>
      </w:r>
      <w:r>
        <w:rPr>
          <w:rFonts w:ascii="Arial" w:cs="Arial" w:eastAsia="Arial" w:hAnsi="Arial"/>
          <w:sz w:val="19"/>
          <w:szCs w:val="19"/>
          <w:i w:val="1"/>
          <w:iCs w:val="1"/>
          <w:color w:val="auto"/>
        </w:rPr>
        <w:t xml:space="preserve"> </w:t>
      </w:r>
      <w:r>
        <w:rPr>
          <w:rFonts w:ascii="Arial" w:cs="Arial" w:eastAsia="Arial" w:hAnsi="Arial"/>
          <w:sz w:val="19"/>
          <w:szCs w:val="19"/>
          <w:color w:val="auto"/>
        </w:rPr>
        <w:t>consistent with the Executive’s position as Chief Financial Officer. The Executive shall report to the President, Chief Executive Officer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155" w:lineRule="exact"/>
        <w:rPr>
          <w:rFonts w:ascii="Arial" w:cs="Arial" w:eastAsia="Arial" w:hAnsi="Arial"/>
          <w:sz w:val="19"/>
          <w:szCs w:val="19"/>
          <w:color w:val="auto"/>
        </w:rPr>
      </w:pPr>
    </w:p>
    <w:p>
      <w:pPr>
        <w:ind w:right="560" w:firstLine="8"/>
        <w:spacing w:after="0" w:line="250" w:lineRule="auto"/>
        <w:tabs>
          <w:tab w:leader="none" w:pos="216"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Compensation</w:t>
      </w:r>
      <w:r>
        <w:rPr>
          <w:rFonts w:ascii="Arial" w:cs="Arial" w:eastAsia="Arial" w:hAnsi="Arial"/>
          <w:sz w:val="22"/>
          <w:szCs w:val="22"/>
          <w:color w:val="auto"/>
        </w:rPr>
        <w:t>. As full compensation for all services rendered by the Executive to the Company and any affiliate thereof,</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Term of Employment, the Company will provide to the Executive the following: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i w:val="1"/>
          <w:iCs w:val="1"/>
          <w:color w:val="auto"/>
        </w:rPr>
        <w:t>Base Salary</w:t>
      </w:r>
      <w:r>
        <w:rPr>
          <w:rFonts w:ascii="Arial" w:cs="Arial" w:eastAsia="Arial" w:hAnsi="Arial"/>
          <w:sz w:val="19"/>
          <w:szCs w:val="19"/>
          <w:color w:val="auto"/>
        </w:rPr>
        <w:t>. Effective as of the Effective Date, the Executive shall receive a base salary at the annualized rate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$435,000 (the “Base Salary). The Executive’s Base Salary shall be paid in equal installments in accordance with the Company’s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regularly established payroll procedures. The Executive’s Base Salary will be reviewed on an annual or more frequent basis by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Board and is subject to change in the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ind w:left="-8" w:right="60" w:firstLine="757"/>
        <w:spacing w:after="0" w:line="271" w:lineRule="auto"/>
        <w:tabs>
          <w:tab w:leader="none" w:pos="1047" w:val="left"/>
        </w:tabs>
        <w:numPr>
          <w:ilvl w:val="1"/>
          <w:numId w:val="109"/>
        </w:numPr>
        <w:rPr>
          <w:rFonts w:ascii="Arial" w:cs="Arial" w:eastAsia="Arial" w:hAnsi="Arial"/>
          <w:sz w:val="19"/>
          <w:szCs w:val="19"/>
          <w:color w:val="auto"/>
        </w:rPr>
      </w:pPr>
      <w:r>
        <w:rPr>
          <w:rFonts w:ascii="Arial" w:cs="Arial" w:eastAsia="Arial" w:hAnsi="Arial"/>
          <w:sz w:val="19"/>
          <w:szCs w:val="19"/>
          <w:i w:val="1"/>
          <w:iCs w:val="1"/>
          <w:color w:val="auto"/>
        </w:rPr>
        <w:t>Annual Discretionary Bonus</w:t>
      </w:r>
      <w:r>
        <w:rPr>
          <w:rFonts w:ascii="Arial" w:cs="Arial" w:eastAsia="Arial" w:hAnsi="Arial"/>
          <w:sz w:val="19"/>
          <w:szCs w:val="19"/>
          <w:color w:val="auto"/>
        </w:rPr>
        <w:t>. Effective as of the Effective Date, the Executive will be eligible to earn an annual</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bonus of up to 40%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8" w:firstLine="757"/>
        <w:spacing w:after="0" w:line="272" w:lineRule="auto"/>
        <w:tabs>
          <w:tab w:leader="none" w:pos="1034" w:val="left"/>
        </w:tabs>
        <w:numPr>
          <w:ilvl w:val="1"/>
          <w:numId w:val="109"/>
        </w:numPr>
        <w:rPr>
          <w:rFonts w:ascii="Arial" w:cs="Arial" w:eastAsia="Arial" w:hAnsi="Arial"/>
          <w:sz w:val="19"/>
          <w:szCs w:val="19"/>
          <w:color w:val="auto"/>
        </w:rPr>
      </w:pPr>
      <w:r>
        <w:rPr>
          <w:rFonts w:ascii="Arial" w:cs="Arial" w:eastAsia="Arial" w:hAnsi="Arial"/>
          <w:sz w:val="19"/>
          <w:szCs w:val="19"/>
          <w:i w:val="1"/>
          <w:iCs w:val="1"/>
          <w:color w:val="auto"/>
        </w:rPr>
        <w:t>Equity Award</w:t>
      </w:r>
      <w:r>
        <w:rPr>
          <w:rFonts w:ascii="Arial" w:cs="Arial" w:eastAsia="Arial" w:hAnsi="Arial"/>
          <w:sz w:val="19"/>
          <w:szCs w:val="19"/>
          <w:color w:val="auto"/>
        </w:rPr>
        <w:t>. The Executive will be eligible to receive equity awards, if any, at such times and on such terms and</w:t>
      </w:r>
      <w:r>
        <w:rPr>
          <w:rFonts w:ascii="Arial" w:cs="Arial" w:eastAsia="Arial" w:hAnsi="Arial"/>
          <w:sz w:val="19"/>
          <w:szCs w:val="19"/>
          <w:i w:val="1"/>
          <w:iCs w:val="1"/>
          <w:color w:val="auto"/>
        </w:rPr>
        <w:t xml:space="preserve"> </w:t>
      </w:r>
      <w:r>
        <w:rPr>
          <w:rFonts w:ascii="Arial" w:cs="Arial" w:eastAsia="Arial" w:hAnsi="Arial"/>
          <w:sz w:val="19"/>
          <w:szCs w:val="19"/>
          <w:color w:val="auto"/>
        </w:rPr>
        <w:t>conditions as the Board shall, in its sole discretion, determine. As part of your initial offer and subject to the approval of the Company’s Board of Directors, and as a material inducement to you entering into employment with the Company, you will receive a one- time grant of options to purchase 200,000 shares of the Company’s Common Stock (“Option”). The exercise price per share of the Option shall be equal to the closing price per share of the Common Stock on the Nasdaq Select Market on the effective date of the Option. The Option is subject to adjustment for stock splits, combinations or other recapitalizations. The Option shall be issued outside the Company’s 2019 Stock Incentive Plan, as an “inducement grant” within the meaning of Nasdaq Listing Rule 5635(c)(4), will be a non-qualified stock option for United States tax purposes and will be subject to all of the terms set forth in a written agreement covering the Option. Subject to the terms of the stock option agreement evidencing the Option and your continued employment, the Option shall vest over four years at the rate of 25% on the first anniversary of the Start Date and an additional 6.25% per quarter for the next twelve successive quarters of employment when, after four full years of employment, the Option will be fully vested.</w:t>
      </w:r>
    </w:p>
    <w:p>
      <w:pPr>
        <w:spacing w:after="0" w:line="160" w:lineRule="exact"/>
        <w:rPr>
          <w:rFonts w:ascii="Arial" w:cs="Arial" w:eastAsia="Arial" w:hAnsi="Arial"/>
          <w:sz w:val="19"/>
          <w:szCs w:val="19"/>
          <w:color w:val="auto"/>
        </w:rPr>
      </w:pPr>
    </w:p>
    <w:p>
      <w:pPr>
        <w:ind w:left="-8" w:right="540" w:firstLine="757"/>
        <w:spacing w:after="0" w:line="250" w:lineRule="auto"/>
        <w:tabs>
          <w:tab w:leader="none" w:pos="1047" w:val="left"/>
        </w:tabs>
        <w:numPr>
          <w:ilvl w:val="1"/>
          <w:numId w:val="109"/>
        </w:numPr>
        <w:rPr>
          <w:rFonts w:ascii="Arial" w:cs="Arial" w:eastAsia="Arial" w:hAnsi="Arial"/>
          <w:sz w:val="22"/>
          <w:szCs w:val="22"/>
          <w:color w:val="auto"/>
        </w:rPr>
      </w:pPr>
      <w:r>
        <w:rPr>
          <w:rFonts w:ascii="Arial" w:cs="Arial" w:eastAsia="Arial" w:hAnsi="Arial"/>
          <w:sz w:val="22"/>
          <w:szCs w:val="22"/>
          <w:i w:val="1"/>
          <w:iCs w:val="1"/>
          <w:color w:val="auto"/>
        </w:rPr>
        <w:t>Paid Time Off</w:t>
      </w:r>
      <w:r>
        <w:rPr>
          <w:rFonts w:ascii="Arial" w:cs="Arial" w:eastAsia="Arial" w:hAnsi="Arial"/>
          <w:sz w:val="22"/>
          <w:szCs w:val="22"/>
          <w:color w:val="auto"/>
        </w:rPr>
        <w:t>. The Executive shall be entitled to paid time off, vacation time plus sick time, consistent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policies.</w:t>
      </w:r>
    </w:p>
    <w:p>
      <w:pPr>
        <w:spacing w:after="0" w:line="174" w:lineRule="exact"/>
        <w:rPr>
          <w:rFonts w:ascii="Arial" w:cs="Arial" w:eastAsia="Arial" w:hAnsi="Arial"/>
          <w:sz w:val="22"/>
          <w:szCs w:val="22"/>
          <w:color w:val="auto"/>
        </w:rPr>
      </w:pPr>
    </w:p>
    <w:p>
      <w:pPr>
        <w:jc w:val="both"/>
        <w:ind w:left="-8" w:right="40" w:firstLine="757"/>
        <w:spacing w:after="0" w:line="236" w:lineRule="auto"/>
        <w:tabs>
          <w:tab w:leader="none" w:pos="1034" w:val="left"/>
        </w:tabs>
        <w:numPr>
          <w:ilvl w:val="1"/>
          <w:numId w:val="109"/>
        </w:numPr>
        <w:rPr>
          <w:rFonts w:ascii="Arial" w:cs="Arial" w:eastAsia="Arial" w:hAnsi="Arial"/>
          <w:sz w:val="22"/>
          <w:szCs w:val="22"/>
          <w:color w:val="auto"/>
        </w:rPr>
      </w:pPr>
      <w:r>
        <w:rPr>
          <w:rFonts w:ascii="Arial" w:cs="Arial" w:eastAsia="Arial" w:hAnsi="Arial"/>
          <w:sz w:val="22"/>
          <w:szCs w:val="22"/>
          <w:i w:val="1"/>
          <w:iCs w:val="1"/>
          <w:color w:val="auto"/>
        </w:rPr>
        <w:t>Benefits</w:t>
      </w:r>
      <w:r>
        <w:rPr>
          <w:rFonts w:ascii="Arial" w:cs="Arial" w:eastAsia="Arial" w:hAnsi="Arial"/>
          <w:sz w:val="22"/>
          <w:szCs w:val="22"/>
          <w:color w:val="auto"/>
        </w:rPr>
        <w:t>. Subject to eligibility requirements and the Company’s polices, you shall have the right, on the same basis as</w:t>
      </w:r>
      <w:r>
        <w:rPr>
          <w:rFonts w:ascii="Arial" w:cs="Arial" w:eastAsia="Arial" w:hAnsi="Arial"/>
          <w:sz w:val="22"/>
          <w:szCs w:val="22"/>
          <w:i w:val="1"/>
          <w:iCs w:val="1"/>
          <w:color w:val="auto"/>
        </w:rPr>
        <w:t xml:space="preserve"> </w:t>
      </w:r>
      <w:r>
        <w:rPr>
          <w:rFonts w:ascii="Arial" w:cs="Arial" w:eastAsia="Arial" w:hAnsi="Arial"/>
          <w:sz w:val="22"/>
          <w:szCs w:val="22"/>
          <w:color w:val="auto"/>
        </w:rPr>
        <w:t>other similarly 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you elect to participate in such plans.</w:t>
      </w:r>
    </w:p>
    <w:p>
      <w:pPr>
        <w:spacing w:after="0" w:line="187" w:lineRule="exact"/>
        <w:rPr>
          <w:rFonts w:ascii="Arial" w:cs="Arial" w:eastAsia="Arial" w:hAnsi="Arial"/>
          <w:sz w:val="22"/>
          <w:szCs w:val="22"/>
          <w:color w:val="auto"/>
        </w:rPr>
      </w:pPr>
    </w:p>
    <w:p>
      <w:pPr>
        <w:ind w:left="1012" w:hanging="263"/>
        <w:spacing w:after="0"/>
        <w:tabs>
          <w:tab w:leader="none" w:pos="1012" w:val="left"/>
        </w:tabs>
        <w:numPr>
          <w:ilvl w:val="1"/>
          <w:numId w:val="109"/>
        </w:numPr>
        <w:rPr>
          <w:rFonts w:ascii="Arial" w:cs="Arial" w:eastAsia="Arial" w:hAnsi="Arial"/>
          <w:sz w:val="19"/>
          <w:szCs w:val="19"/>
          <w:color w:val="auto"/>
        </w:rPr>
      </w:pPr>
      <w:r>
        <w:rPr>
          <w:rFonts w:ascii="Arial" w:cs="Arial" w:eastAsia="Arial" w:hAnsi="Arial"/>
          <w:sz w:val="19"/>
          <w:szCs w:val="19"/>
          <w:i w:val="1"/>
          <w:iCs w:val="1"/>
          <w:color w:val="auto"/>
        </w:rPr>
        <w:t>Withholdings</w:t>
      </w:r>
      <w:r>
        <w:rPr>
          <w:rFonts w:ascii="Arial" w:cs="Arial" w:eastAsia="Arial" w:hAnsi="Arial"/>
          <w:sz w:val="19"/>
          <w:szCs w:val="19"/>
          <w:color w:val="auto"/>
        </w:rPr>
        <w:t>. All compensation payable to the Executive shall be subject to applicable taxes and withholdings.</w:t>
      </w:r>
    </w:p>
    <w:p>
      <w:pPr>
        <w:spacing w:after="0" w:line="240" w:lineRule="exact"/>
        <w:rPr>
          <w:rFonts w:ascii="Arial" w:cs="Arial" w:eastAsia="Arial" w:hAnsi="Arial"/>
          <w:sz w:val="19"/>
          <w:szCs w:val="19"/>
          <w:color w:val="auto"/>
        </w:rPr>
      </w:pPr>
    </w:p>
    <w:p>
      <w:pPr>
        <w:ind w:left="-8" w:right="260" w:firstLine="8"/>
        <w:spacing w:after="0" w:line="250" w:lineRule="auto"/>
        <w:tabs>
          <w:tab w:leader="none" w:pos="208" w:val="left"/>
        </w:tabs>
        <w:numPr>
          <w:ilvl w:val="0"/>
          <w:numId w:val="110"/>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his actual, necessary and reasonable business expense pursuant to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175" w:name="page176"/>
    <w:bookmarkEnd w:id="175"/>
    <w:p>
      <w:pPr>
        <w:ind w:left="-8" w:right="240" w:firstLine="8"/>
        <w:spacing w:after="0" w:line="328" w:lineRule="auto"/>
        <w:tabs>
          <w:tab w:leader="none" w:pos="208" w:val="left"/>
        </w:tabs>
        <w:numPr>
          <w:ilvl w:val="0"/>
          <w:numId w:val="111"/>
        </w:numPr>
        <w:rPr>
          <w:rFonts w:ascii="Arial" w:cs="Arial" w:eastAsia="Arial" w:hAnsi="Arial"/>
          <w:sz w:val="19"/>
          <w:szCs w:val="19"/>
          <w:color w:val="auto"/>
        </w:rPr>
      </w:pPr>
      <w:r>
        <w:rPr>
          <w:rFonts w:ascii="Arial" w:cs="Arial" w:eastAsia="Arial" w:hAnsi="Arial"/>
          <w:sz w:val="19"/>
          <w:szCs w:val="19"/>
          <w:i w:val="1"/>
          <w:iCs w:val="1"/>
          <w:color w:val="auto"/>
        </w:rPr>
        <w:t>Restrictive Covenants Agreement</w:t>
      </w:r>
      <w:r>
        <w:rPr>
          <w:rFonts w:ascii="Arial" w:cs="Arial" w:eastAsia="Arial" w:hAnsi="Arial"/>
          <w:sz w:val="19"/>
          <w:szCs w:val="19"/>
          <w:color w:val="auto"/>
        </w:rPr>
        <w:t>. The Executive hereby acknowledges that in connection with entering into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Executive shall be required to enter into an Employee Confidentiality and Assignment Agreement with the Company.</w:t>
      </w:r>
    </w:p>
    <w:p>
      <w:pPr>
        <w:spacing w:after="0" w:line="104" w:lineRule="exact"/>
        <w:rPr>
          <w:rFonts w:ascii="Arial" w:cs="Arial" w:eastAsia="Arial" w:hAnsi="Arial"/>
          <w:sz w:val="19"/>
          <w:szCs w:val="19"/>
          <w:color w:val="auto"/>
        </w:rPr>
      </w:pPr>
    </w:p>
    <w:p>
      <w:pPr>
        <w:ind w:left="-8" w:right="60" w:firstLine="8"/>
        <w:spacing w:after="0" w:line="250" w:lineRule="auto"/>
        <w:tabs>
          <w:tab w:leader="none" w:pos="208" w:val="left"/>
        </w:tabs>
        <w:numPr>
          <w:ilvl w:val="0"/>
          <w:numId w:val="111"/>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 any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following:</w:t>
      </w:r>
    </w:p>
    <w:p>
      <w:pPr>
        <w:spacing w:after="0" w:line="174" w:lineRule="exact"/>
        <w:rPr>
          <w:rFonts w:ascii="Arial" w:cs="Arial" w:eastAsia="Arial" w:hAnsi="Arial"/>
          <w:sz w:val="22"/>
          <w:szCs w:val="22"/>
          <w:color w:val="auto"/>
        </w:rPr>
      </w:pPr>
    </w:p>
    <w:p>
      <w:pPr>
        <w:ind w:left="-8" w:right="320" w:firstLine="757"/>
        <w:spacing w:after="0" w:line="287" w:lineRule="auto"/>
        <w:tabs>
          <w:tab w:leader="none" w:pos="103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42" w:lineRule="exact"/>
        <w:rPr>
          <w:rFonts w:ascii="Arial" w:cs="Arial" w:eastAsia="Arial" w:hAnsi="Arial"/>
          <w:sz w:val="19"/>
          <w:szCs w:val="19"/>
          <w:color w:val="auto"/>
        </w:rPr>
      </w:pPr>
    </w:p>
    <w:p>
      <w:pPr>
        <w:ind w:left="-8" w:right="80" w:firstLine="757"/>
        <w:spacing w:after="0" w:line="250" w:lineRule="auto"/>
        <w:tabs>
          <w:tab w:leader="none" w:pos="1047" w:val="left"/>
        </w:tabs>
        <w:numPr>
          <w:ilvl w:val="1"/>
          <w:numId w:val="111"/>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w:t>
      </w:r>
    </w:p>
    <w:p>
      <w:pPr>
        <w:spacing w:after="0" w:line="175" w:lineRule="exact"/>
        <w:rPr>
          <w:sz w:val="20"/>
          <w:szCs w:val="20"/>
          <w:color w:val="auto"/>
        </w:rPr>
      </w:pPr>
    </w:p>
    <w:p>
      <w:pPr>
        <w:ind w:left="1492" w:right="160" w:hanging="743"/>
        <w:spacing w:after="0" w:line="257" w:lineRule="auto"/>
        <w:tabs>
          <w:tab w:leader="none" w:pos="149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69" w:lineRule="exact"/>
        <w:rPr>
          <w:rFonts w:ascii="Arial" w:cs="Arial" w:eastAsia="Arial" w:hAnsi="Arial"/>
          <w:sz w:val="21"/>
          <w:szCs w:val="21"/>
          <w:color w:val="auto"/>
        </w:rPr>
      </w:pPr>
    </w:p>
    <w:p>
      <w:pPr>
        <w:ind w:left="1492" w:right="100" w:hanging="743"/>
        <w:spacing w:after="0" w:line="250" w:lineRule="auto"/>
        <w:tabs>
          <w:tab w:leader="none" w:pos="14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Executive’s conviction of (A) a felony or (B) any misdemeanor involving moral turpitude, deceit, dishonesty or fraud;</w:t>
      </w:r>
    </w:p>
    <w:p>
      <w:pPr>
        <w:spacing w:after="0" w:line="174" w:lineRule="exact"/>
        <w:rPr>
          <w:rFonts w:ascii="Arial" w:cs="Arial" w:eastAsia="Arial" w:hAnsi="Arial"/>
          <w:sz w:val="22"/>
          <w:szCs w:val="22"/>
          <w:color w:val="auto"/>
        </w:rPr>
      </w:pPr>
    </w:p>
    <w:p>
      <w:pPr>
        <w:ind w:left="1492" w:right="100" w:hanging="743"/>
        <w:spacing w:after="0" w:line="236" w:lineRule="auto"/>
        <w:tabs>
          <w:tab w:leader="none" w:pos="14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ten(10) days to cure any curable act or omission constituting Cause described in this Section 7(b)(iii) following the Company’s delivery to the Executive of written notice of such act or omission; or</w:t>
      </w:r>
    </w:p>
    <w:p>
      <w:pPr>
        <w:spacing w:after="0" w:line="187" w:lineRule="exact"/>
        <w:rPr>
          <w:rFonts w:ascii="Arial" w:cs="Arial" w:eastAsia="Arial" w:hAnsi="Arial"/>
          <w:sz w:val="22"/>
          <w:szCs w:val="22"/>
          <w:color w:val="auto"/>
        </w:rPr>
      </w:pPr>
    </w:p>
    <w:p>
      <w:pPr>
        <w:ind w:left="1492" w:right="300" w:hanging="743"/>
        <w:spacing w:after="0" w:line="250" w:lineRule="auto"/>
        <w:tabs>
          <w:tab w:leader="none" w:pos="14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Executive’s material violation of any provision of any agreement(s) between the Executive and the Company relating to non-solicitation, nondisclosure and/or assignment of inventions.</w:t>
      </w:r>
    </w:p>
    <w:p>
      <w:pPr>
        <w:spacing w:after="0" w:line="175" w:lineRule="exact"/>
        <w:rPr>
          <w:sz w:val="20"/>
          <w:szCs w:val="20"/>
          <w:color w:val="auto"/>
        </w:rPr>
      </w:pPr>
    </w:p>
    <w:p>
      <w:pPr>
        <w:ind w:left="-8" w:firstLine="757"/>
        <w:spacing w:after="0" w:line="257" w:lineRule="auto"/>
        <w:tabs>
          <w:tab w:leader="none" w:pos="1035"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69" w:lineRule="exact"/>
        <w:rPr>
          <w:sz w:val="20"/>
          <w:szCs w:val="20"/>
          <w:color w:val="auto"/>
        </w:rPr>
      </w:pPr>
    </w:p>
    <w:p>
      <w:pPr>
        <w:ind w:left="1492" w:right="380" w:hanging="743"/>
        <w:spacing w:after="0"/>
        <w:tabs>
          <w:tab w:leader="none" w:pos="149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186" w:lineRule="exact"/>
        <w:rPr>
          <w:rFonts w:ascii="Arial" w:cs="Arial" w:eastAsia="Arial" w:hAnsi="Arial"/>
          <w:sz w:val="22"/>
          <w:szCs w:val="22"/>
          <w:color w:val="auto"/>
        </w:rPr>
      </w:pPr>
    </w:p>
    <w:p>
      <w:pPr>
        <w:ind w:left="1492" w:hanging="743"/>
        <w:spacing w:after="0"/>
        <w:tabs>
          <w:tab w:leader="none" w:pos="149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w:t>
      </w:r>
    </w:p>
    <w:p>
      <w:pPr>
        <w:spacing w:after="0" w:line="206" w:lineRule="exact"/>
        <w:rPr>
          <w:rFonts w:ascii="Arial" w:cs="Arial" w:eastAsia="Arial" w:hAnsi="Arial"/>
          <w:sz w:val="22"/>
          <w:szCs w:val="22"/>
          <w:color w:val="auto"/>
        </w:rPr>
      </w:pPr>
    </w:p>
    <w:p>
      <w:pPr>
        <w:ind w:left="1472" w:right="620" w:hanging="723"/>
        <w:spacing w:after="0" w:line="250" w:lineRule="auto"/>
        <w:tabs>
          <w:tab w:leader="none" w:pos="147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174" w:lineRule="exact"/>
        <w:rPr>
          <w:rFonts w:ascii="Arial" w:cs="Arial" w:eastAsia="Arial" w:hAnsi="Arial"/>
          <w:sz w:val="22"/>
          <w:szCs w:val="22"/>
          <w:color w:val="auto"/>
        </w:rPr>
      </w:pPr>
    </w:p>
    <w:p>
      <w:pPr>
        <w:ind w:left="1472" w:right="420" w:hanging="723"/>
        <w:spacing w:after="0" w:line="250" w:lineRule="auto"/>
        <w:tabs>
          <w:tab w:leader="none" w:pos="147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material breach of this Agreement, or any other agreement between the Company and the Executive, by the Company not otherwise covered by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176" w:name="page177"/>
    <w:bookmarkEnd w:id="176"/>
    <w:p>
      <w:pPr>
        <w:ind w:left="1480"/>
        <w:spacing w:after="0"/>
        <w:rPr>
          <w:sz w:val="20"/>
          <w:szCs w:val="20"/>
          <w:color w:val="auto"/>
        </w:rPr>
      </w:pPr>
      <w:r>
        <w:rPr>
          <w:rFonts w:ascii="Arial" w:cs="Arial" w:eastAsia="Arial" w:hAnsi="Arial"/>
          <w:sz w:val="22"/>
          <w:szCs w:val="22"/>
          <w:color w:val="auto"/>
        </w:rPr>
        <w:t>paragraph;</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5" w:lineRule="exact"/>
        <w:rPr>
          <w:sz w:val="20"/>
          <w:szCs w:val="20"/>
          <w:color w:val="auto"/>
        </w:rPr>
      </w:pPr>
    </w:p>
    <w:p>
      <w:pPr>
        <w:ind w:left="220" w:hanging="212"/>
        <w:spacing w:after="0"/>
        <w:tabs>
          <w:tab w:leader="none" w:pos="220"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757"/>
        <w:spacing w:after="0" w:line="272" w:lineRule="auto"/>
        <w:tabs>
          <w:tab w:leader="none" w:pos="1042" w:val="left"/>
        </w:tabs>
        <w:numPr>
          <w:ilvl w:val="1"/>
          <w:numId w:val="115"/>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60" w:lineRule="exact"/>
        <w:rPr>
          <w:rFonts w:ascii="Arial" w:cs="Arial" w:eastAsia="Arial" w:hAnsi="Arial"/>
          <w:sz w:val="19"/>
          <w:szCs w:val="19"/>
          <w:color w:val="auto"/>
        </w:rPr>
      </w:pPr>
    </w:p>
    <w:p>
      <w:pPr>
        <w:ind w:firstLine="757"/>
        <w:spacing w:after="0" w:line="244" w:lineRule="auto"/>
        <w:tabs>
          <w:tab w:leader="none" w:pos="1055" w:val="left"/>
        </w:tabs>
        <w:numPr>
          <w:ilvl w:val="1"/>
          <w:numId w:val="115"/>
        </w:numPr>
        <w:rPr>
          <w:rFonts w:ascii="Arial" w:cs="Arial" w:eastAsia="Arial" w:hAnsi="Arial"/>
          <w:sz w:val="21"/>
          <w:szCs w:val="21"/>
          <w:color w:val="auto"/>
        </w:rPr>
      </w:pPr>
      <w:r>
        <w:rPr>
          <w:rFonts w:ascii="Arial" w:cs="Arial" w:eastAsia="Arial" w:hAnsi="Arial"/>
          <w:sz w:val="21"/>
          <w:szCs w:val="21"/>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21"/>
          <w:szCs w:val="21"/>
          <w:color w:val="auto"/>
        </w:rPr>
        <w:t>If the Executive’s employment is terminated by the Company without Cause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Section 7(b) or by the Executive with Good Reason 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conditions of Section 8(d), the Company shall: (i) continue to pay to the Executive, in accordance with the Company’s regularly established payroll procedures, the Executive’s Base Salary for a period of nine (9) months and (ii) provided the Executive is eligible for and timely elects to continue receiving group medical insurance pursuant to the “COBRA” law, continue to pay (but in no event longer than nine (9)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85" w:lineRule="exact"/>
        <w:rPr>
          <w:rFonts w:ascii="Arial" w:cs="Arial" w:eastAsia="Arial" w:hAnsi="Arial"/>
          <w:sz w:val="21"/>
          <w:szCs w:val="21"/>
          <w:color w:val="auto"/>
        </w:rPr>
      </w:pPr>
    </w:p>
    <w:p>
      <w:pPr>
        <w:ind w:right="60" w:firstLine="757"/>
        <w:spacing w:after="0" w:line="277" w:lineRule="auto"/>
        <w:tabs>
          <w:tab w:leader="none" w:pos="1042" w:val="left"/>
        </w:tabs>
        <w:numPr>
          <w:ilvl w:val="1"/>
          <w:numId w:val="115"/>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 Within Twelve Months Following a Change in Control. </w:t>
      </w:r>
      <w:r>
        <w:rPr>
          <w:rFonts w:ascii="Arial" w:cs="Arial" w:eastAsia="Arial" w:hAnsi="Arial"/>
          <w:sz w:val="19"/>
          <w:szCs w:val="19"/>
          <w:color w:val="auto"/>
        </w:rPr>
        <w:t>If a Qualifying Termination occurs within twelve (12) months following a Change in Control, then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ind w:right="60"/>
        <w:spacing w:after="0" w:line="245" w:lineRule="auto"/>
        <w:rPr>
          <w:sz w:val="20"/>
          <w:szCs w:val="20"/>
          <w:color w:val="auto"/>
        </w:rPr>
      </w:pPr>
      <w:r>
        <w:rPr>
          <w:rFonts w:ascii="Arial" w:cs="Arial" w:eastAsia="Arial" w:hAnsi="Arial"/>
          <w:sz w:val="21"/>
          <w:szCs w:val="21"/>
          <w:color w:val="auto"/>
        </w:rPr>
        <w:t>higher, the Executive’s Target Bonus immediately prior to the Change in Control, (iii) provided the Executive is eligible for and timely elects to continue receiving group medical insurance pursuant to the “COBRA” law, continue to pay (but in no event longer than twelve(12)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 forfeitable as of the termination date (collectively, the “Change in Control Severance Benefits”).</w:t>
      </w:r>
    </w:p>
    <w:p>
      <w:pPr>
        <w:spacing w:after="0" w:line="184" w:lineRule="exact"/>
        <w:rPr>
          <w:sz w:val="20"/>
          <w:szCs w:val="20"/>
          <w:color w:val="auto"/>
        </w:rPr>
      </w:pPr>
    </w:p>
    <w:p>
      <w:pPr>
        <w:ind w:firstLine="757"/>
        <w:spacing w:after="0" w:line="272" w:lineRule="auto"/>
        <w:tabs>
          <w:tab w:leader="none" w:pos="1055" w:val="left"/>
        </w:tabs>
        <w:numPr>
          <w:ilvl w:val="1"/>
          <w:numId w:val="116"/>
        </w:numPr>
        <w:rPr>
          <w:rFonts w:ascii="Arial" w:cs="Arial" w:eastAsia="Arial" w:hAnsi="Arial"/>
          <w:sz w:val="19"/>
          <w:szCs w:val="19"/>
          <w:color w:val="auto"/>
        </w:rPr>
      </w:pPr>
      <w:r>
        <w:rPr>
          <w:rFonts w:ascii="Arial" w:cs="Arial" w:eastAsia="Arial" w:hAnsi="Arial"/>
          <w:sz w:val="19"/>
          <w:szCs w:val="19"/>
          <w:i w:val="1"/>
          <w:iCs w:val="1"/>
          <w:color w:val="auto"/>
        </w:rPr>
        <w:t>Release</w:t>
      </w:r>
      <w:r>
        <w:rPr>
          <w:rFonts w:ascii="Arial" w:cs="Arial" w:eastAsia="Arial" w:hAnsi="Arial"/>
          <w:sz w:val="19"/>
          <w:szCs w:val="19"/>
          <w:color w:val="auto"/>
        </w:rPr>
        <w:t>. As a condition of the Executive’s receipt of the Severance Benefits or the Change in Control Severance</w:t>
      </w:r>
      <w:r>
        <w:rPr>
          <w:rFonts w:ascii="Arial" w:cs="Arial" w:eastAsia="Arial" w:hAnsi="Arial"/>
          <w:sz w:val="19"/>
          <w:szCs w:val="19"/>
          <w:i w:val="1"/>
          <w:iCs w:val="1"/>
          <w:color w:val="auto"/>
        </w:rPr>
        <w:t xml:space="preserve"> </w:t>
      </w:r>
      <w:r>
        <w:rPr>
          <w:rFonts w:ascii="Arial" w:cs="Arial" w:eastAsia="Arial" w:hAnsi="Arial"/>
          <w:sz w:val="19"/>
          <w:szCs w:val="19"/>
          <w:color w:val="auto"/>
        </w:rPr>
        <w:t>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60" w:lineRule="exact"/>
        <w:rPr>
          <w:rFonts w:ascii="Arial" w:cs="Arial" w:eastAsia="Arial" w:hAnsi="Arial"/>
          <w:sz w:val="19"/>
          <w:szCs w:val="19"/>
          <w:color w:val="auto"/>
        </w:rPr>
      </w:pPr>
    </w:p>
    <w:p>
      <w:pPr>
        <w:ind w:firstLine="757"/>
        <w:spacing w:after="0" w:line="273" w:lineRule="auto"/>
        <w:tabs>
          <w:tab w:leader="none" w:pos="1042" w:val="left"/>
        </w:tabs>
        <w:numPr>
          <w:ilvl w:val="1"/>
          <w:numId w:val="116"/>
        </w:numPr>
        <w:rPr>
          <w:rFonts w:ascii="Arial" w:cs="Arial" w:eastAsia="Arial" w:hAnsi="Arial"/>
          <w:sz w:val="19"/>
          <w:szCs w:val="19"/>
          <w:color w:val="auto"/>
        </w:rPr>
      </w:pP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 occurrence of any</w:t>
      </w:r>
      <w:r>
        <w:rPr>
          <w:rFonts w:ascii="Arial" w:cs="Arial" w:eastAsia="Arial" w:hAnsi="Arial"/>
          <w:sz w:val="19"/>
          <w:szCs w:val="19"/>
          <w:i w:val="1"/>
          <w:iCs w:val="1"/>
          <w:color w:val="auto"/>
        </w:rPr>
        <w:t xml:space="preserve"> </w:t>
      </w:r>
      <w:r>
        <w:rPr>
          <w:rFonts w:ascii="Arial" w:cs="Arial" w:eastAsia="Arial" w:hAnsi="Arial"/>
          <w:sz w:val="19"/>
          <w:szCs w:val="19"/>
          <w:color w:val="auto"/>
        </w:rPr>
        <w:t>of the following events, provided that such event or occurrence constitutes a change in the ownership or effective control of the Company, or a change in the ownership of a substantial portion of the assets of the Company, as defined in Treasury Regulation</w:t>
      </w:r>
    </w:p>
    <w:p>
      <w:pPr>
        <w:spacing w:after="0" w:line="1" w:lineRule="exact"/>
        <w:rPr>
          <w:rFonts w:ascii="Arial" w:cs="Arial" w:eastAsia="Arial" w:hAnsi="Arial"/>
          <w:sz w:val="19"/>
          <w:szCs w:val="19"/>
          <w:color w:val="auto"/>
        </w:rPr>
      </w:pPr>
    </w:p>
    <w:p>
      <w:pPr>
        <w:ind w:right="100" w:firstLine="8"/>
        <w:spacing w:after="0" w:line="270" w:lineRule="auto"/>
        <w:tabs>
          <w:tab w:leader="none" w:pos="27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8" w:name="page179"/>
    <w:bookmarkEnd w:id="178"/>
    <w:p>
      <w:pPr>
        <w:spacing w:after="0" w:line="270" w:lineRule="auto"/>
        <w:rPr>
          <w:sz w:val="20"/>
          <w:szCs w:val="20"/>
          <w:color w:val="auto"/>
        </w:rPr>
      </w:pPr>
      <w:r>
        <w:rPr>
          <w:rFonts w:ascii="Arial" w:cs="Arial" w:eastAsia="Arial" w:hAnsi="Arial"/>
          <w:sz w:val="19"/>
          <w:szCs w:val="19"/>
          <w:color w:val="auto"/>
        </w:rPr>
        <w:t>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163" w:lineRule="exact"/>
        <w:rPr>
          <w:sz w:val="20"/>
          <w:szCs w:val="20"/>
          <w:color w:val="auto"/>
        </w:rPr>
      </w:pPr>
    </w:p>
    <w:p>
      <w:pPr>
        <w:ind w:right="120" w:firstLine="8"/>
        <w:spacing w:after="0" w:line="297" w:lineRule="auto"/>
        <w:tabs>
          <w:tab w:leader="none" w:pos="216" w:val="left"/>
        </w:tabs>
        <w:numPr>
          <w:ilvl w:val="0"/>
          <w:numId w:val="117"/>
        </w:numPr>
        <w:rPr>
          <w:rFonts w:ascii="Arial" w:cs="Arial" w:eastAsia="Arial" w:hAnsi="Arial"/>
          <w:sz w:val="19"/>
          <w:szCs w:val="19"/>
          <w:color w:val="auto"/>
        </w:rPr>
      </w:pPr>
      <w:r>
        <w:rPr>
          <w:rFonts w:ascii="Arial" w:cs="Arial" w:eastAsia="Arial" w:hAnsi="Arial"/>
          <w:sz w:val="19"/>
          <w:szCs w:val="19"/>
          <w:i w:val="1"/>
          <w:iCs w:val="1"/>
          <w:color w:val="auto"/>
        </w:rPr>
        <w:t>Absence of Restrictions</w:t>
      </w:r>
      <w:r>
        <w:rPr>
          <w:rFonts w:ascii="Arial" w:cs="Arial" w:eastAsia="Arial" w:hAnsi="Arial"/>
          <w:sz w:val="19"/>
          <w:szCs w:val="19"/>
          <w:color w:val="auto"/>
        </w:rPr>
        <w:t>. The Executive represents and warrants that the Executive is not bound by any employment contracts,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33" w:lineRule="exact"/>
        <w:rPr>
          <w:rFonts w:ascii="Arial" w:cs="Arial" w:eastAsia="Arial" w:hAnsi="Arial"/>
          <w:sz w:val="19"/>
          <w:szCs w:val="19"/>
          <w:color w:val="auto"/>
        </w:rPr>
      </w:pPr>
    </w:p>
    <w:p>
      <w:pPr>
        <w:ind w:right="200" w:firstLine="8"/>
        <w:spacing w:after="0" w:line="238" w:lineRule="auto"/>
        <w:tabs>
          <w:tab w:leader="none" w:pos="324"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 sent by</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To Executive: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To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Fulcrum Therapeutics, Inc.</w:t>
      </w:r>
    </w:p>
    <w:p>
      <w:pPr>
        <w:ind w:left="760"/>
        <w:spacing w:after="0" w:line="238" w:lineRule="auto"/>
        <w:rPr>
          <w:sz w:val="20"/>
          <w:szCs w:val="20"/>
          <w:color w:val="auto"/>
        </w:rPr>
      </w:pPr>
      <w:r>
        <w:rPr>
          <w:rFonts w:ascii="Arial" w:cs="Arial" w:eastAsia="Arial" w:hAnsi="Arial"/>
          <w:sz w:val="22"/>
          <w:szCs w:val="22"/>
          <w:color w:val="auto"/>
        </w:rPr>
        <w:t>26 Landsdowne Street, 5</w:t>
      </w:r>
      <w:r>
        <w:rPr>
          <w:rFonts w:ascii="Arial" w:cs="Arial" w:eastAsia="Arial" w:hAnsi="Arial"/>
          <w:sz w:val="14"/>
          <w:szCs w:val="14"/>
          <w:color w:val="auto"/>
        </w:rPr>
        <w:t>th</w:t>
      </w:r>
      <w:r>
        <w:rPr>
          <w:rFonts w:ascii="Arial" w:cs="Arial" w:eastAsia="Arial" w:hAnsi="Arial"/>
          <w:sz w:val="22"/>
          <w:szCs w:val="22"/>
          <w:color w:val="auto"/>
        </w:rPr>
        <w:t xml:space="preserve"> Floor</w:t>
      </w:r>
    </w:p>
    <w:p>
      <w:pPr>
        <w:ind w:left="760"/>
        <w:spacing w:after="0"/>
        <w:rPr>
          <w:sz w:val="20"/>
          <w:szCs w:val="20"/>
          <w:color w:val="auto"/>
        </w:rPr>
      </w:pPr>
      <w:r>
        <w:rPr>
          <w:rFonts w:ascii="Arial" w:cs="Arial" w:eastAsia="Arial" w:hAnsi="Arial"/>
          <w:sz w:val="22"/>
          <w:szCs w:val="22"/>
          <w:color w:val="auto"/>
        </w:rPr>
        <w:t>Cambridge, MA 02139</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79" w:name="page180"/>
    <w:bookmarkEnd w:id="179"/>
    <w:p>
      <w:pPr>
        <w:ind w:firstLine="8"/>
        <w:spacing w:after="0" w:line="234" w:lineRule="auto"/>
        <w:tabs>
          <w:tab w:leader="none" w:pos="316"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Applicable Law; Jury Trial Waiver</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90" w:lineRule="exact"/>
        <w:rPr>
          <w:rFonts w:ascii="Arial" w:cs="Arial" w:eastAsia="Arial" w:hAnsi="Arial"/>
          <w:sz w:val="22"/>
          <w:szCs w:val="22"/>
          <w:color w:val="auto"/>
        </w:rPr>
      </w:pPr>
    </w:p>
    <w:p>
      <w:pPr>
        <w:ind w:right="140" w:firstLine="8"/>
        <w:spacing w:after="0" w:line="238" w:lineRule="auto"/>
        <w:tabs>
          <w:tab w:leader="none" w:pos="324"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 respective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184" w:lineRule="exact"/>
        <w:rPr>
          <w:rFonts w:ascii="Arial" w:cs="Arial" w:eastAsia="Arial" w:hAnsi="Arial"/>
          <w:sz w:val="22"/>
          <w:szCs w:val="22"/>
          <w:color w:val="auto"/>
        </w:rPr>
      </w:pPr>
    </w:p>
    <w:p>
      <w:pPr>
        <w:ind w:firstLine="8"/>
        <w:spacing w:after="0"/>
        <w:tabs>
          <w:tab w:leader="none" w:pos="324"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At-Will Employment</w:t>
      </w:r>
      <w:r>
        <w:rPr>
          <w:rFonts w:ascii="Arial" w:cs="Arial" w:eastAsia="Arial" w:hAnsi="Arial"/>
          <w:sz w:val="22"/>
          <w:szCs w:val="22"/>
          <w:color w:val="auto"/>
        </w:rPr>
        <w:t>. During the Term of Employment, the Executive will continue to be an at-will employee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which means that, notwithstanding any other provision set forth herein, the employment relationship can be terminated by either Party for any reason, at any time, with or without prior notice and with or without Cause.</w:t>
      </w:r>
    </w:p>
    <w:p>
      <w:pPr>
        <w:spacing w:after="0" w:line="186" w:lineRule="exact"/>
        <w:rPr>
          <w:rFonts w:ascii="Arial" w:cs="Arial" w:eastAsia="Arial" w:hAnsi="Arial"/>
          <w:sz w:val="22"/>
          <w:szCs w:val="22"/>
          <w:color w:val="auto"/>
        </w:rPr>
      </w:pPr>
    </w:p>
    <w:p>
      <w:pPr>
        <w:ind w:right="20" w:firstLine="8"/>
        <w:spacing w:after="0" w:line="238" w:lineRule="auto"/>
        <w:tabs>
          <w:tab w:leader="none" w:pos="324"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 review</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84" w:lineRule="exact"/>
        <w:rPr>
          <w:rFonts w:ascii="Arial" w:cs="Arial" w:eastAsia="Arial" w:hAnsi="Arial"/>
          <w:sz w:val="22"/>
          <w:szCs w:val="22"/>
          <w:color w:val="auto"/>
        </w:rPr>
      </w:pPr>
    </w:p>
    <w:p>
      <w:pPr>
        <w:ind w:right="140" w:firstLine="8"/>
        <w:spacing w:after="0" w:line="236" w:lineRule="auto"/>
        <w:tabs>
          <w:tab w:leader="none" w:pos="324"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 written</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7" w:lineRule="exact"/>
        <w:rPr>
          <w:rFonts w:ascii="Arial" w:cs="Arial" w:eastAsia="Arial" w:hAnsi="Arial"/>
          <w:sz w:val="22"/>
          <w:szCs w:val="22"/>
          <w:color w:val="auto"/>
        </w:rPr>
      </w:pPr>
    </w:p>
    <w:p>
      <w:pPr>
        <w:jc w:val="both"/>
        <w:ind w:right="60" w:firstLine="8"/>
        <w:spacing w:after="0" w:line="238" w:lineRule="auto"/>
        <w:tabs>
          <w:tab w:leader="none" w:pos="324"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 way</w:t>
      </w:r>
      <w:r>
        <w:rPr>
          <w:rFonts w:ascii="Arial" w:cs="Arial" w:eastAsia="Arial" w:hAnsi="Arial"/>
          <w:sz w:val="22"/>
          <w:szCs w:val="22"/>
          <w:i w:val="1"/>
          <w:iCs w:val="1"/>
          <w:color w:val="auto"/>
        </w:rPr>
        <w:t xml:space="preserve"> </w:t>
      </w:r>
      <w:r>
        <w:rPr>
          <w:rFonts w:ascii="Arial" w:cs="Arial" w:eastAsia="Arial" w:hAnsi="Arial"/>
          <w:sz w:val="22"/>
          <w:szCs w:val="22"/>
          <w:color w:val="auto"/>
        </w:rPr>
        <w:t>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84" w:lineRule="exact"/>
        <w:rPr>
          <w:rFonts w:ascii="Arial" w:cs="Arial" w:eastAsia="Arial" w:hAnsi="Arial"/>
          <w:sz w:val="22"/>
          <w:szCs w:val="22"/>
          <w:color w:val="auto"/>
        </w:rPr>
      </w:pPr>
    </w:p>
    <w:p>
      <w:pPr>
        <w:ind w:right="120" w:firstLine="8"/>
        <w:spacing w:after="0" w:line="238" w:lineRule="auto"/>
        <w:tabs>
          <w:tab w:leader="none" w:pos="324" w:val="left"/>
        </w:tabs>
        <w:numPr>
          <w:ilvl w:val="0"/>
          <w:numId w:val="118"/>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 requiring</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i w:val="1"/>
          <w:iCs w:val="1"/>
          <w:color w:val="auto"/>
        </w:rPr>
        <w:t>S8verability</w:t>
      </w:r>
      <w:r>
        <w:rPr>
          <w:rFonts w:ascii="Arial" w:cs="Arial" w:eastAsia="Arial" w:hAnsi="Arial"/>
          <w:sz w:val="21"/>
          <w:szCs w:val="21"/>
          <w:color w:val="auto"/>
        </w:rPr>
        <w:t>. Each provision of this Agreement must be interpreted in such manner as to be effective and valid under applicable</w:t>
      </w:r>
      <w:r>
        <w:rPr>
          <w:rFonts w:ascii="Arial" w:cs="Arial" w:eastAsia="Arial" w:hAnsi="Arial"/>
          <w:sz w:val="21"/>
          <w:szCs w:val="21"/>
          <w:i w:val="1"/>
          <w:iCs w:val="1"/>
          <w:color w:val="auto"/>
        </w:rPr>
        <w:t xml:space="preserve"> </w:t>
      </w:r>
      <w:r>
        <w:rPr>
          <w:rFonts w:ascii="Arial" w:cs="Arial" w:eastAsia="Arial" w:hAnsi="Arial"/>
          <w:sz w:val="21"/>
          <w:szCs w:val="21"/>
          <w:color w:val="auto"/>
        </w:rPr>
        <w:t>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jc w:val="both"/>
        <w:spacing w:after="0"/>
        <w:rPr>
          <w:sz w:val="20"/>
          <w:szCs w:val="20"/>
          <w:color w:val="auto"/>
        </w:rPr>
      </w:pPr>
      <w:r>
        <w:rPr>
          <w:rFonts w:ascii="Arial" w:cs="Arial" w:eastAsia="Arial" w:hAnsi="Arial"/>
          <w:sz w:val="22"/>
          <w:szCs w:val="22"/>
          <w:color w:val="auto"/>
        </w:rPr>
        <w:t>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86" w:lineRule="exact"/>
        <w:rPr>
          <w:sz w:val="20"/>
          <w:szCs w:val="20"/>
          <w:color w:val="auto"/>
        </w:rPr>
      </w:pPr>
    </w:p>
    <w:p>
      <w:pPr>
        <w:ind w:right="140" w:firstLine="8"/>
        <w:spacing w:after="0"/>
        <w:tabs>
          <w:tab w:leader="none" w:pos="324" w:val="left"/>
        </w:tabs>
        <w:numPr>
          <w:ilvl w:val="0"/>
          <w:numId w:val="119"/>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and supersedes all prior agreements</w:t>
      </w:r>
      <w:r>
        <w:rPr>
          <w:rFonts w:ascii="Arial" w:cs="Arial" w:eastAsia="Arial" w:hAnsi="Arial"/>
          <w:sz w:val="22"/>
          <w:szCs w:val="22"/>
          <w:i w:val="1"/>
          <w:iCs w:val="1"/>
          <w:color w:val="auto"/>
        </w:rPr>
        <w:t xml:space="preserve"> </w:t>
      </w:r>
      <w:r>
        <w:rPr>
          <w:rFonts w:ascii="Arial" w:cs="Arial" w:eastAsia="Arial" w:hAnsi="Arial"/>
          <w:sz w:val="22"/>
          <w:szCs w:val="22"/>
          <w:color w:val="auto"/>
        </w:rPr>
        <w:t>and understandings, whether written or oral, relating to the subject matter of this Agreement, including, without limitation, the Existing Agreement.</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81" w:name="page182"/>
    <w:bookmarkEnd w:id="181"/>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2"/>
          <w:szCs w:val="22"/>
          <w:color w:val="auto"/>
        </w:rPr>
        <w:t>FULCRUM THERAPEUTICS, INC.</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Kim Hazen</w:t>
            </w:r>
          </w:p>
        </w:tc>
      </w:tr>
      <w:tr>
        <w:trPr>
          <w:trHeight w:val="34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Kim Hazen</w:t>
            </w:r>
          </w:p>
        </w:tc>
      </w:tr>
      <w:tr>
        <w:trPr>
          <w:trHeight w:val="345"/>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SVP, 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EXECUTIVE:</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2061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2061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Subject to Section 409A</w:t>
      </w:r>
    </w:p>
    <w:p>
      <w:pPr>
        <w:spacing w:after="0" w:line="212" w:lineRule="exact"/>
        <w:rPr>
          <w:sz w:val="20"/>
          <w:szCs w:val="20"/>
          <w:color w:val="auto"/>
        </w:rPr>
      </w:pPr>
    </w:p>
    <w:p>
      <w:pPr>
        <w:ind w:left="-40" w:right="140" w:firstLine="757"/>
        <w:spacing w:after="0" w:line="238" w:lineRule="auto"/>
        <w:tabs>
          <w:tab w:leader="none" w:pos="92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84" w:lineRule="exact"/>
        <w:rPr>
          <w:rFonts w:ascii="Arial" w:cs="Arial" w:eastAsia="Arial" w:hAnsi="Arial"/>
          <w:sz w:val="22"/>
          <w:szCs w:val="22"/>
          <w:color w:val="auto"/>
        </w:rPr>
      </w:pPr>
    </w:p>
    <w:p>
      <w:pPr>
        <w:ind w:left="720" w:right="200" w:firstLine="1494"/>
        <w:spacing w:after="0" w:line="252" w:lineRule="auto"/>
        <w:tabs>
          <w:tab w:leader="none" w:pos="2511" w:val="left"/>
        </w:tabs>
        <w:numPr>
          <w:ilvl w:val="2"/>
          <w:numId w:val="120"/>
        </w:numPr>
        <w:rPr>
          <w:rFonts w:ascii="Arial" w:cs="Arial" w:eastAsia="Arial" w:hAnsi="Arial"/>
          <w:sz w:val="21"/>
          <w:szCs w:val="21"/>
          <w:color w:val="auto"/>
        </w:rPr>
      </w:pPr>
      <w:r>
        <w:rPr>
          <w:rFonts w:ascii="Arial" w:cs="Arial" w:eastAsia="Arial" w:hAnsi="Arial"/>
          <w:sz w:val="21"/>
          <w:szCs w:val="21"/>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173" w:lineRule="exact"/>
        <w:rPr>
          <w:rFonts w:ascii="Arial" w:cs="Arial" w:eastAsia="Arial" w:hAnsi="Arial"/>
          <w:sz w:val="21"/>
          <w:szCs w:val="21"/>
          <w:color w:val="auto"/>
        </w:rPr>
      </w:pPr>
    </w:p>
    <w:p>
      <w:pPr>
        <w:ind w:left="720" w:right="40" w:firstLine="1494"/>
        <w:spacing w:after="0"/>
        <w:tabs>
          <w:tab w:leader="none" w:pos="2523" w:val="left"/>
        </w:tabs>
        <w:numPr>
          <w:ilvl w:val="2"/>
          <w:numId w:val="120"/>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6" w:lineRule="exact"/>
        <w:rPr>
          <w:rFonts w:ascii="Arial" w:cs="Arial" w:eastAsia="Arial" w:hAnsi="Arial"/>
          <w:sz w:val="22"/>
          <w:szCs w:val="22"/>
          <w:color w:val="auto"/>
        </w:rPr>
      </w:pPr>
    </w:p>
    <w:p>
      <w:pPr>
        <w:ind w:left="720" w:right="80" w:firstLine="1494"/>
        <w:spacing w:after="0" w:line="250" w:lineRule="auto"/>
        <w:tabs>
          <w:tab w:leader="none" w:pos="2511" w:val="left"/>
        </w:tabs>
        <w:numPr>
          <w:ilvl w:val="2"/>
          <w:numId w:val="120"/>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(within the meaning of Section 409A), then:</w:t>
      </w:r>
    </w:p>
    <w:p>
      <w:pPr>
        <w:spacing w:after="0" w:line="174" w:lineRule="exact"/>
        <w:rPr>
          <w:rFonts w:ascii="Arial" w:cs="Arial" w:eastAsia="Arial" w:hAnsi="Arial"/>
          <w:sz w:val="22"/>
          <w:szCs w:val="22"/>
          <w:color w:val="auto"/>
        </w:rPr>
      </w:pPr>
    </w:p>
    <w:p>
      <w:pPr>
        <w:ind w:left="2220" w:hanging="755"/>
        <w:spacing w:after="0" w:line="235" w:lineRule="auto"/>
        <w:tabs>
          <w:tab w:leader="none" w:pos="222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87" w:lineRule="exact"/>
        <w:rPr>
          <w:rFonts w:ascii="Arial" w:cs="Arial" w:eastAsia="Arial" w:hAnsi="Arial"/>
          <w:sz w:val="22"/>
          <w:szCs w:val="22"/>
          <w:color w:val="auto"/>
        </w:rPr>
      </w:pPr>
    </w:p>
    <w:p>
      <w:pPr>
        <w:ind w:left="2200" w:right="140" w:hanging="735"/>
        <w:spacing w:after="0" w:line="271" w:lineRule="auto"/>
        <w:tabs>
          <w:tab w:leader="none" w:pos="220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your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 1.409A- 1(b)(9)(iii) (relating to separation pay upon an involuntary separation from service). Any installments that qualify for the exception under Treasury Regulation Section 1.409A-1(b)(9)(iii) must be paid no later than the last day of the Executive’s second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193040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2" w:right="359" w:bottom="1440" w:gutter="0" w:footer="0" w:header="0"/>
        </w:sectPr>
      </w:pPr>
    </w:p>
    <w:bookmarkStart w:id="183" w:name="page184"/>
    <w:bookmarkEnd w:id="183"/>
    <w:p>
      <w:pPr>
        <w:ind w:left="2220"/>
        <w:spacing w:after="0"/>
        <w:rPr>
          <w:sz w:val="20"/>
          <w:szCs w:val="20"/>
          <w:color w:val="auto"/>
        </w:rPr>
      </w:pPr>
      <w:r>
        <w:rPr>
          <w:rFonts w:ascii="Arial" w:cs="Arial" w:eastAsia="Arial" w:hAnsi="Arial"/>
          <w:sz w:val="22"/>
          <w:szCs w:val="22"/>
          <w:color w:val="auto"/>
        </w:rPr>
        <w:t>following the taxable year in which the separation from service occurs.</w:t>
      </w:r>
    </w:p>
    <w:p>
      <w:pPr>
        <w:spacing w:after="0" w:line="206" w:lineRule="exact"/>
        <w:rPr>
          <w:sz w:val="20"/>
          <w:szCs w:val="20"/>
          <w:color w:val="auto"/>
        </w:rPr>
      </w:pPr>
    </w:p>
    <w:p>
      <w:pPr>
        <w:ind w:left="-20" w:right="40" w:firstLine="757"/>
        <w:spacing w:after="0" w:line="252" w:lineRule="auto"/>
        <w:tabs>
          <w:tab w:leader="none" w:pos="945"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73" w:lineRule="exact"/>
        <w:rPr>
          <w:rFonts w:ascii="Arial" w:cs="Arial" w:eastAsia="Arial" w:hAnsi="Arial"/>
          <w:sz w:val="21"/>
          <w:szCs w:val="21"/>
          <w:color w:val="auto"/>
        </w:rPr>
      </w:pPr>
    </w:p>
    <w:p>
      <w:pPr>
        <w:ind w:left="-20" w:right="100" w:firstLine="757"/>
        <w:spacing w:after="0" w:line="277" w:lineRule="auto"/>
        <w:tabs>
          <w:tab w:leader="none" w:pos="94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1" w:lineRule="exact"/>
        <w:rPr>
          <w:rFonts w:ascii="Arial" w:cs="Arial" w:eastAsia="Arial" w:hAnsi="Arial"/>
          <w:sz w:val="19"/>
          <w:szCs w:val="19"/>
          <w:color w:val="auto"/>
        </w:rPr>
      </w:pPr>
    </w:p>
    <w:p>
      <w:pPr>
        <w:ind w:left="-20" w:firstLine="757"/>
        <w:spacing w:after="0" w:line="257" w:lineRule="auto"/>
        <w:tabs>
          <w:tab w:leader="none" w:pos="945"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69" w:lineRule="exact"/>
        <w:rPr>
          <w:rFonts w:ascii="Arial" w:cs="Arial" w:eastAsia="Arial" w:hAnsi="Arial"/>
          <w:sz w:val="21"/>
          <w:szCs w:val="21"/>
          <w:color w:val="auto"/>
        </w:rPr>
      </w:pPr>
    </w:p>
    <w:p>
      <w:pPr>
        <w:ind w:left="960" w:hanging="223"/>
        <w:spacing w:after="0"/>
        <w:tabs>
          <w:tab w:leader="none" w:pos="9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Agreement is intended to comply with, or be exempt from, Section 409A and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Subsidiaries</w:t>
      </w:r>
    </w:p>
    <w:p>
      <w:pPr>
        <w:spacing w:after="0" w:line="248"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Fulcrum Therapeutics Securities Corp.</w:t>
      </w:r>
      <w:r>
        <w:rPr>
          <w:sz w:val="20"/>
          <w:szCs w:val="20"/>
          <w:color w:val="auto"/>
        </w:rPr>
        <w:tab/>
      </w:r>
      <w:r>
        <w:rPr>
          <w:rFonts w:ascii="Arial" w:cs="Arial" w:eastAsia="Arial" w:hAnsi="Arial"/>
          <w:sz w:val="15"/>
          <w:szCs w:val="15"/>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7132320" cy="1282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455295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23.1</w:t>
      </w:r>
    </w:p>
    <w:p>
      <w:pPr>
        <w:spacing w:after="0" w:line="23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33" w:lineRule="exact"/>
        <w:rPr>
          <w:sz w:val="20"/>
          <w:szCs w:val="20"/>
          <w:color w:val="auto"/>
        </w:rPr>
      </w:pPr>
    </w:p>
    <w:p>
      <w:pPr>
        <w:ind w:left="760" w:hanging="378"/>
        <w:spacing w:after="0" w:line="250" w:lineRule="auto"/>
        <w:tabs>
          <w:tab w:leader="none" w:pos="7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Registration Statement (Form S-8 No. 333-233452) pertaining to the 2016 Stock Incentive Plan, as amended, 2019 Stock Incentive Plan, and 2019 Employee Stock Purchase Plan of Fulcrum Therapeutics, Inc.;</w:t>
      </w:r>
    </w:p>
    <w:p>
      <w:pPr>
        <w:ind w:left="760" w:hanging="378"/>
        <w:spacing w:after="0" w:line="230" w:lineRule="auto"/>
        <w:tabs>
          <w:tab w:leader="none" w:pos="7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Registration Statement (Form S-8 No. 333-236910) pertaining to the 2019 Stock Incentive Plan and 2019 Employee Stock Purchase Plan of Fulcrum Therapeutics, Inc.,</w:t>
      </w:r>
    </w:p>
    <w:p>
      <w:pPr>
        <w:spacing w:after="0" w:line="1" w:lineRule="exact"/>
        <w:rPr>
          <w:rFonts w:ascii="Arial" w:cs="Arial" w:eastAsia="Arial" w:hAnsi="Arial"/>
          <w:sz w:val="22"/>
          <w:szCs w:val="22"/>
          <w:color w:val="auto"/>
        </w:rPr>
      </w:pPr>
    </w:p>
    <w:p>
      <w:pPr>
        <w:ind w:left="760" w:right="260" w:hanging="378"/>
        <w:spacing w:after="0" w:line="230" w:lineRule="auto"/>
        <w:tabs>
          <w:tab w:leader="none" w:pos="7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Registration Statement (Form S-1 No. 333-239353) and related Prospectus of Fulcrum Therapeutics, Inc. (as amended by Form S-3/A No. 333-239353);</w:t>
      </w:r>
    </w:p>
    <w:p>
      <w:pPr>
        <w:spacing w:after="0" w:line="1" w:lineRule="exact"/>
        <w:rPr>
          <w:rFonts w:ascii="Arial" w:cs="Arial" w:eastAsia="Arial" w:hAnsi="Arial"/>
          <w:sz w:val="22"/>
          <w:szCs w:val="22"/>
          <w:color w:val="auto"/>
        </w:rPr>
      </w:pPr>
    </w:p>
    <w:p>
      <w:pPr>
        <w:ind w:left="760" w:hanging="378"/>
        <w:spacing w:after="0" w:line="230" w:lineRule="auto"/>
        <w:tabs>
          <w:tab w:leader="none" w:pos="7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Registration Statement (Form S-8 No. 333-253862) pertaining to the 2019 Stock Incentive Plan and 2019 Employee Stock Purchase Plan of Fulcrum Therapeutics, Inc.,</w:t>
      </w:r>
    </w:p>
    <w:p>
      <w:pPr>
        <w:spacing w:after="0" w:line="1" w:lineRule="exact"/>
        <w:rPr>
          <w:rFonts w:ascii="Arial" w:cs="Arial" w:eastAsia="Arial" w:hAnsi="Arial"/>
          <w:sz w:val="22"/>
          <w:szCs w:val="22"/>
          <w:color w:val="auto"/>
        </w:rPr>
      </w:pPr>
    </w:p>
    <w:p>
      <w:pPr>
        <w:ind w:left="760" w:right="260" w:hanging="378"/>
        <w:spacing w:after="0" w:line="230" w:lineRule="auto"/>
        <w:tabs>
          <w:tab w:leader="none" w:pos="7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Registration Statement (Form S-3 No. 333-260754) and related Prospectus of Fulcrum Therapeutics, Inc. </w:t>
      </w:r>
      <w:r>
        <w:rPr>
          <w:rFonts w:ascii="Arial" w:cs="Arial" w:eastAsia="Arial" w:hAnsi="Arial"/>
          <w:sz w:val="22"/>
          <w:szCs w:val="22"/>
          <w:u w:val="single" w:color="auto"/>
          <w:color w:val="auto"/>
        </w:rPr>
        <w:t>(</w:t>
      </w:r>
      <w:r>
        <w:rPr>
          <w:rFonts w:ascii="Arial" w:cs="Arial" w:eastAsia="Arial" w:hAnsi="Arial"/>
          <w:sz w:val="22"/>
          <w:szCs w:val="22"/>
          <w:color w:val="auto"/>
        </w:rPr>
        <w:t>as amended by Form S-3/A No. 333-260754</w:t>
      </w:r>
      <w:r>
        <w:rPr>
          <w:rFonts w:ascii="Arial" w:cs="Arial" w:eastAsia="Arial" w:hAnsi="Arial"/>
          <w:sz w:val="22"/>
          <w:szCs w:val="22"/>
          <w:u w:val="single" w:color="auto"/>
          <w:color w:val="auto"/>
        </w:rPr>
        <w:t>)</w:t>
      </w:r>
      <w:r>
        <w:rPr>
          <w:rFonts w:ascii="Arial" w:cs="Arial" w:eastAsia="Arial" w:hAnsi="Arial"/>
          <w:sz w:val="22"/>
          <w:szCs w:val="22"/>
          <w:color w:val="auto"/>
        </w:rPr>
        <w:t>; and</w:t>
      </w:r>
    </w:p>
    <w:p>
      <w:pPr>
        <w:spacing w:after="0" w:line="1" w:lineRule="exact"/>
        <w:rPr>
          <w:rFonts w:ascii="Arial" w:cs="Arial" w:eastAsia="Arial" w:hAnsi="Arial"/>
          <w:sz w:val="22"/>
          <w:szCs w:val="22"/>
          <w:color w:val="auto"/>
        </w:rPr>
      </w:pPr>
    </w:p>
    <w:p>
      <w:pPr>
        <w:ind w:left="760" w:hanging="378"/>
        <w:spacing w:after="0" w:line="308" w:lineRule="auto"/>
        <w:tabs>
          <w:tab w:leader="none" w:pos="7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Registration Statement (Form S-8 No. 333-262356) pertaining to the 2019 Stock Incentive Plan, 2019 Employee Stock Purchase Plan, and Inducement Stock Option Awards (September 2021 – January 2022) of Fulcrum Therapeutics, Inc.,</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of our report dated March 3, 2022, with respect to the consolidated financial statements of Fulcrum Therapeutics, Inc. included in this Annual Report (Form 10-K) of Fulcrum Therapeutics, Inc. for the year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6" w:name="page187"/>
    <w:bookmarkEnd w:id="186"/>
    <w:p>
      <w:pPr>
        <w:ind w:left="10260"/>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ind w:left="360" w:right="1740"/>
        <w:spacing w:after="0" w:line="250"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04" w:lineRule="exact"/>
        <w:rPr>
          <w:sz w:val="20"/>
          <w:szCs w:val="20"/>
          <w:color w:val="auto"/>
        </w:rPr>
      </w:pPr>
    </w:p>
    <w:p>
      <w:pPr>
        <w:ind w:left="700" w:hanging="183"/>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Fulcrum Therapeutics, Inc.;</w:t>
      </w:r>
    </w:p>
    <w:p>
      <w:pPr>
        <w:spacing w:after="0" w:line="103"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517"/>
        <w:spacing w:after="0" w:line="261" w:lineRule="auto"/>
        <w:tabs>
          <w:tab w:leader="none" w:pos="68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40" w:firstLine="517"/>
        <w:spacing w:after="0" w:line="261" w:lineRule="auto"/>
        <w:tabs>
          <w:tab w:leader="none" w:pos="68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380" w:firstLine="506"/>
        <w:spacing w:after="0" w:line="248" w:lineRule="auto"/>
        <w:tabs>
          <w:tab w:leader="none" w:pos="127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hanging="254"/>
        <w:spacing w:after="0"/>
        <w:tabs>
          <w:tab w:leader="none" w:pos="12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03" w:lineRule="exact"/>
        <w:rPr>
          <w:rFonts w:ascii="Arial" w:cs="Arial" w:eastAsia="Arial" w:hAnsi="Arial"/>
          <w:sz w:val="18"/>
          <w:szCs w:val="18"/>
          <w:color w:val="auto"/>
        </w:rPr>
      </w:pPr>
    </w:p>
    <w:p>
      <w:pPr>
        <w:ind w:left="520" w:right="220" w:firstLine="506"/>
        <w:spacing w:after="0" w:line="324" w:lineRule="auto"/>
        <w:tabs>
          <w:tab w:leader="none" w:pos="127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00" w:firstLine="506"/>
        <w:spacing w:after="0" w:line="248" w:lineRule="auto"/>
        <w:tabs>
          <w:tab w:leader="none" w:pos="128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517"/>
        <w:spacing w:after="0" w:line="291" w:lineRule="auto"/>
        <w:tabs>
          <w:tab w:leader="none" w:pos="68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291" w:lineRule="auto"/>
        <w:tabs>
          <w:tab w:leader="none" w:pos="1274"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61" w:lineRule="auto"/>
        <w:tabs>
          <w:tab w:leader="none" w:pos="128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By: /s/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6350</wp:posOffset>
            </wp:positionV>
            <wp:extent cx="262318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Bryan Stuart</w:t>
      </w:r>
    </w:p>
    <w:p>
      <w:pPr>
        <w:ind w:left="7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Esther Rajavelu, certify that:</w:t>
      </w:r>
    </w:p>
    <w:p>
      <w:pPr>
        <w:spacing w:after="0" w:line="104" w:lineRule="exact"/>
        <w:rPr>
          <w:sz w:val="20"/>
          <w:szCs w:val="20"/>
          <w:color w:val="auto"/>
        </w:rPr>
      </w:pPr>
    </w:p>
    <w:p>
      <w:pPr>
        <w:ind w:left="700" w:hanging="183"/>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Fulcrum Therapeutics, Inc.;</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517"/>
        <w:spacing w:after="0" w:line="261" w:lineRule="auto"/>
        <w:tabs>
          <w:tab w:leader="none" w:pos="6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420" w:firstLine="506"/>
        <w:spacing w:after="0" w:line="248" w:lineRule="auto"/>
        <w:tabs>
          <w:tab w:leader="none" w:pos="127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80" w:hanging="254"/>
        <w:spacing w:after="0"/>
        <w:tabs>
          <w:tab w:leader="none" w:pos="12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03" w:lineRule="exact"/>
        <w:rPr>
          <w:rFonts w:ascii="Arial" w:cs="Arial" w:eastAsia="Arial" w:hAnsi="Arial"/>
          <w:sz w:val="18"/>
          <w:szCs w:val="18"/>
          <w:color w:val="auto"/>
        </w:rPr>
      </w:pPr>
    </w:p>
    <w:p>
      <w:pPr>
        <w:ind w:left="520" w:right="260" w:firstLine="506"/>
        <w:spacing w:after="0" w:line="324" w:lineRule="auto"/>
        <w:tabs>
          <w:tab w:leader="none" w:pos="127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40" w:firstLine="506"/>
        <w:spacing w:after="0" w:line="248" w:lineRule="auto"/>
        <w:tabs>
          <w:tab w:leader="none" w:pos="128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0" w:firstLine="517"/>
        <w:spacing w:after="0" w:line="291" w:lineRule="auto"/>
        <w:tabs>
          <w:tab w:leader="none" w:pos="68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80" w:firstLine="506"/>
        <w:spacing w:after="0" w:line="291" w:lineRule="auto"/>
        <w:tabs>
          <w:tab w:leader="none" w:pos="1274"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60" w:firstLine="506"/>
        <w:spacing w:after="0" w:line="261" w:lineRule="auto"/>
        <w:tabs>
          <w:tab w:leader="none" w:pos="1284"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6"/>
          <w:szCs w:val="16"/>
          <w:color w:val="auto"/>
        </w:rPr>
        <w:t>By: /s/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6350</wp:posOffset>
            </wp:positionV>
            <wp:extent cx="26231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Esther Rajavelu</w:t>
      </w:r>
    </w:p>
    <w:p>
      <w:pP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connection with the Annual Report on Form 10-K of Fulcrum Therapeutics, Inc. (the “Company”) for the year ended December 31, 2021,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88" w:lineRule="exact"/>
        <w:rPr>
          <w:sz w:val="20"/>
          <w:szCs w:val="20"/>
          <w:color w:val="auto"/>
        </w:rPr>
      </w:pPr>
    </w:p>
    <w:p>
      <w:pPr>
        <w:ind w:left="780" w:hanging="263"/>
        <w:spacing w:after="0"/>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780" w:hanging="263"/>
        <w:spacing w:after="0"/>
        <w:tabs>
          <w:tab w:leader="none" w:pos="7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tabs>
          <w:tab w:leader="none" w:pos="5560" w:val="left"/>
          <w:tab w:leader="none" w:pos="598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438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Bryan Stuart</w:t>
      </w:r>
    </w:p>
    <w:p>
      <w:pPr>
        <w:spacing w:after="0" w:line="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connection with the Annual Report on Form 10-K of Fulcrum Therapeutics, Inc. (the “Company”) for the year ended December 31, 2021, as filed with the Securities and Exchange Commission on the date hereof (the “Report”), the undersigned, Esther Rajavelu, Chief Financial Officer of the Company, hereby certifies, pursuant to 18 U.S.C. Section 1350, as adopted pursuant to Section 906 of the Sarbanes-Oxley Act of 2002, that to his knowledge:</w:t>
      </w:r>
    </w:p>
    <w:p>
      <w:pPr>
        <w:spacing w:after="0" w:line="188" w:lineRule="exact"/>
        <w:rPr>
          <w:sz w:val="20"/>
          <w:szCs w:val="20"/>
          <w:color w:val="auto"/>
        </w:rPr>
      </w:pPr>
    </w:p>
    <w:p>
      <w:pPr>
        <w:ind w:left="780" w:hanging="263"/>
        <w:spacing w:after="0"/>
        <w:tabs>
          <w:tab w:leader="none" w:pos="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780" w:hanging="263"/>
        <w:spacing w:after="0"/>
        <w:tabs>
          <w:tab w:leader="none" w:pos="7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tabs>
          <w:tab w:leader="none" w:pos="5560" w:val="left"/>
          <w:tab w:leader="none" w:pos="598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438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Esther Rajavelu</w:t>
      </w:r>
    </w:p>
    <w:p>
      <w:pPr>
        <w:spacing w:after="0" w:line="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ind w:left="60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0" w:name="page191"/>
    <w:bookmarkEnd w:id="1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1)"/>
      <w:numFmt w:val="decimal"/>
      <w:start w:val="2"/>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1)"/>
      <w:numFmt w:val="lowerLetter"/>
      <w:start w:val="2"/>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1."/>
      <w:numFmt w:val="decimal"/>
      <w:start w:val="2"/>
    </w:lvl>
  </w:abstractNum>
  <w:abstractNum w:abstractNumId="62">
    <w:nsid w:val="26F324BA"/>
    <w:multiLevelType w:val="hybridMultilevel"/>
    <w:lvl w:ilvl="0">
      <w:lvlJc w:val="left"/>
      <w:lvlText w:val="%1."/>
      <w:numFmt w:val="decimal"/>
      <w:start w:val="9"/>
    </w:lvl>
  </w:abstractNum>
  <w:abstractNum w:abstractNumId="63">
    <w:nsid w:val="7F01579B"/>
    <w:multiLevelType w:val="hybridMultilevel"/>
    <w:lvl w:ilvl="0">
      <w:lvlJc w:val="left"/>
      <w:lvlText w:val="%1."/>
      <w:numFmt w:val="decimal"/>
      <w:start w:val="10"/>
    </w:lvl>
  </w:abstractNum>
  <w:abstractNum w:abstractNumId="64">
    <w:nsid w:val="49DA307D"/>
    <w:multiLevelType w:val="hybridMultilevel"/>
    <w:lvl w:ilvl="0">
      <w:lvlJc w:val="left"/>
      <w:lvlText w:val="%1."/>
      <w:numFmt w:val="decimal"/>
      <w:start w:val="12"/>
    </w:lvl>
  </w:abstractNum>
  <w:abstractNum w:abstractNumId="65">
    <w:nsid w:val="7055A5F5"/>
    <w:multiLevelType w:val="hybridMultilevel"/>
    <w:lvl w:ilvl="0">
      <w:lvlJc w:val="left"/>
      <w:lvlText w:val="#"/>
      <w:numFmt w:val="bullet"/>
      <w:start w:val="1"/>
    </w:lvl>
    <w:lvl w:ilvl="1">
      <w:lvlJc w:val="left"/>
      <w:lvlText w:val="%2"/>
      <w:numFmt w:val="decimal"/>
      <w:start w:val="104"/>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1."/>
      <w:numFmt w:val="decimal"/>
      <w:start w:val="1"/>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decimal"/>
      <w:start w:val="2"/>
    </w:lvl>
  </w:abstractNum>
  <w:abstractNum w:abstractNumId="70">
    <w:nsid w:val="6AA78F7F"/>
    <w:multiLevelType w:val="hybridMultilevel"/>
    <w:lvl w:ilvl="0">
      <w:lvlJc w:val="left"/>
      <w:lvlText w:val="%1."/>
      <w:numFmt w:val="decimal"/>
      <w:start w:val="6"/>
    </w:lvl>
  </w:abstractNum>
  <w:abstractNum w:abstractNumId="71">
    <w:nsid w:val="7672BD23"/>
    <w:multiLevelType w:val="hybridMultilevel"/>
    <w:lvl w:ilvl="0">
      <w:lvlJc w:val="left"/>
      <w:lvlText w:val="%1."/>
      <w:numFmt w:val="decimal"/>
      <w:start w:val="7"/>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1."/>
      <w:numFmt w:val="decimal"/>
      <w:start w:val="2"/>
    </w:lvl>
  </w:abstractNum>
  <w:abstractNum w:abstractNumId="75">
    <w:nsid w:val="5F3534A4"/>
    <w:multiLevelType w:val="hybridMultilevel"/>
    <w:lvl w:ilvl="0">
      <w:lvlJc w:val="left"/>
      <w:lvlText w:val="%1."/>
      <w:numFmt w:val="decimal"/>
      <w:start w:val="3"/>
    </w:lvl>
    <w:lvl w:ilvl="1">
      <w:lvlJc w:val="left"/>
      <w:lvlText w:val="(%2)"/>
      <w:numFmt w:val="lowerLetter"/>
      <w:start w:val="1"/>
    </w:lvl>
  </w:abstractNum>
  <w:abstractNum w:abstractNumId="76">
    <w:nsid w:val="73A1821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77">
    <w:nsid w:val="7DE67713"/>
    <w:multiLevelType w:val="hybridMultilevel"/>
    <w:lvl w:ilvl="0">
      <w:lvlJc w:val="left"/>
      <w:lvlText w:val="(%1)"/>
      <w:numFmt w:val="decimal"/>
      <w:start w:val="1"/>
    </w:lvl>
  </w:abstractNum>
  <w:abstractNum w:abstractNumId="78">
    <w:nsid w:val="555C55B5"/>
    <w:multiLevelType w:val="hybridMultilevel"/>
    <w:lvl w:ilvl="0">
      <w:lvlJc w:val="left"/>
      <w:lvlText w:val="(%1)"/>
      <w:numFmt w:val="decimal"/>
      <w:start w:val="2"/>
    </w:lvl>
  </w:abstractNum>
  <w:abstractNum w:abstractNumId="79">
    <w:nsid w:val="3FA62ACA"/>
    <w:multiLevelType w:val="hybridMultilevel"/>
    <w:lvl w:ilvl="0">
      <w:lvlJc w:val="left"/>
      <w:lvlText w:val="(%1)"/>
      <w:numFmt w:val="lowerLetter"/>
      <w:start w:val="4"/>
    </w:lvl>
    <w:lvl w:ilvl="1">
      <w:lvlJc w:val="left"/>
      <w:lvlText w:val="(%2)"/>
      <w:numFmt w:val="decimal"/>
      <w:start w:val="1"/>
    </w:lvl>
  </w:abstractNum>
  <w:abstractNum w:abstractNumId="80">
    <w:nsid w:val="14FCE74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81">
    <w:nsid w:val="6A3DD3E8"/>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82">
    <w:nsid w:val="71C91298"/>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83">
    <w:nsid w:val="9DAF632"/>
    <w:multiLevelType w:val="hybridMultilevel"/>
    <w:lvl w:ilvl="0">
      <w:lvlJc w:val="left"/>
      <w:lvlText w:val="%1."/>
      <w:numFmt w:val="decimal"/>
      <w:start w:val="6"/>
    </w:lvl>
    <w:lvl w:ilvl="1">
      <w:lvlJc w:val="left"/>
      <w:lvlText w:val="(%2)"/>
      <w:numFmt w:val="lowerLetter"/>
      <w:start w:val="1"/>
    </w:lvl>
  </w:abstractNum>
  <w:abstractNum w:abstractNumId="84">
    <w:nsid w:val="53299938"/>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85">
    <w:nsid w:val="1FBFE8E0"/>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86">
    <w:nsid w:val="5092CA7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87">
    <w:nsid w:val="1D545C4D"/>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88">
    <w:nsid w:val="59ADEA3D"/>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89">
    <w:nsid w:val="288F1A34"/>
    <w:multiLevelType w:val="hybridMultilevel"/>
    <w:lvl w:ilvl="0">
      <w:lvlJc w:val="left"/>
      <w:lvlText w:val="(%1)"/>
      <w:numFmt w:val="lowerLetter"/>
      <w:start w:val="2"/>
    </w:lvl>
  </w:abstractNum>
  <w:abstractNum w:abstractNumId="90">
    <w:nsid w:val="2A155DBC"/>
    <w:multiLevelType w:val="hybridMultilevel"/>
    <w:lvl w:ilvl="0">
      <w:lvlJc w:val="left"/>
      <w:lvlText w:val="%1"/>
      <w:numFmt w:val="decimal"/>
      <w:start w:val="1"/>
    </w:lvl>
    <w:lvl w:ilvl="1">
      <w:lvlJc w:val="left"/>
      <w:lvlText w:val="(%2)"/>
      <w:numFmt w:val="lowerLetter"/>
      <w:start w:val="7"/>
    </w:lvl>
  </w:abstractNum>
  <w:abstractNum w:abstractNumId="91">
    <w:nsid w:val="1D9F6E5F"/>
    <w:multiLevelType w:val="hybridMultilevel"/>
    <w:lvl w:ilvl="0">
      <w:lvlJc w:val="left"/>
      <w:lvlText w:val="%1."/>
      <w:numFmt w:val="decimal"/>
      <w:start w:val="11"/>
    </w:lvl>
    <w:lvl w:ilvl="1">
      <w:lvlJc w:val="left"/>
      <w:lvlText w:val="(%2)"/>
      <w:numFmt w:val="lowerLetter"/>
      <w:start w:val="1"/>
    </w:lvl>
  </w:abstractNum>
  <w:abstractNum w:abstractNumId="92">
    <w:nsid w:val="97E1B4E"/>
    <w:multiLevelType w:val="hybridMultilevel"/>
    <w:lvl w:ilvl="0">
      <w:lvlJc w:val="left"/>
      <w:lvlText w:val="(%1)"/>
      <w:numFmt w:val="lowerLetter"/>
      <w:start w:val="7"/>
    </w:lvl>
  </w:abstractNum>
  <w:abstractNum w:abstractNumId="93">
    <w:nsid w:val="51088277"/>
    <w:multiLevelType w:val="hybridMultilevel"/>
    <w:lvl w:ilvl="0">
      <w:lvlJc w:val="left"/>
      <w:lvlText w:val="%1"/>
      <w:numFmt w:val="decimal"/>
      <w:start w:val="1"/>
    </w:lvl>
    <w:lvl w:ilvl="1">
      <w:lvlJc w:val="left"/>
      <w:lvlText w:val="(%2)"/>
      <w:numFmt w:val="decimal"/>
      <w:start w:val="1"/>
    </w:lvl>
  </w:abstractNum>
  <w:abstractNum w:abstractNumId="94">
    <w:nsid w:val="1CA0C5FA"/>
    <w:multiLevelType w:val="hybridMultilevel"/>
    <w:lvl w:ilvl="0">
      <w:lvlJc w:val="left"/>
      <w:lvlText w:val="(%1)"/>
      <w:numFmt w:val="decimal"/>
      <w:start w:val="2"/>
    </w:lvl>
    <w:lvl w:ilvl="1">
      <w:lvlJc w:val="left"/>
      <w:lvlText w:val="%2"/>
      <w:numFmt w:val="decimal"/>
      <w:start w:val="1"/>
    </w:lvl>
  </w:abstractNum>
  <w:abstractNum w:abstractNumId="95">
    <w:nsid w:val="53584BCB"/>
    <w:multiLevelType w:val="hybridMultilevel"/>
    <w:lvl w:ilvl="0">
      <w:lvlJc w:val="left"/>
      <w:lvlText w:val="%1."/>
      <w:numFmt w:val="decimal"/>
      <w:start w:val="1"/>
    </w:lvl>
  </w:abstractNum>
  <w:abstractNum w:abstractNumId="96">
    <w:nsid w:val="415E286C"/>
    <w:multiLevelType w:val="hybridMultilevel"/>
    <w:lvl w:ilvl="0">
      <w:lvlJc w:val="left"/>
      <w:lvlText w:val="%1."/>
      <w:numFmt w:val="decimal"/>
      <w:start w:val="2"/>
    </w:lvl>
  </w:abstractNum>
  <w:abstractNum w:abstractNumId="97">
    <w:nsid w:val="7C58FD05"/>
    <w:multiLevelType w:val="hybridMultilevel"/>
    <w:lvl w:ilvl="0">
      <w:lvlJc w:val="left"/>
      <w:lvlText w:val="%1."/>
      <w:numFmt w:val="decimal"/>
      <w:start w:val="3"/>
    </w:lvl>
    <w:lvl w:ilvl="1">
      <w:lvlJc w:val="left"/>
      <w:lvlText w:val="(%2)"/>
      <w:numFmt w:val="lowerLetter"/>
      <w:start w:val="1"/>
    </w:lvl>
  </w:abstractNum>
  <w:abstractNum w:abstractNumId="98">
    <w:nsid w:val="23D86AAC"/>
    <w:multiLevelType w:val="hybridMultilevel"/>
    <w:lvl w:ilvl="0">
      <w:lvlJc w:val="left"/>
      <w:lvlText w:val="%1"/>
      <w:numFmt w:val="decimal"/>
      <w:start w:val="1"/>
    </w:lvl>
    <w:lvl w:ilvl="1">
      <w:lvlJc w:val="left"/>
      <w:lvlText w:val="(%2)"/>
      <w:numFmt w:val="lowerLetter"/>
      <w:start w:val="3"/>
    </w:lvl>
  </w:abstractNum>
  <w:abstractNum w:abstractNumId="99">
    <w:nsid w:val="45E6D486"/>
    <w:multiLevelType w:val="hybridMultilevel"/>
    <w:lvl w:ilvl="0">
      <w:lvlJc w:val="left"/>
      <w:lvlText w:val="%1."/>
      <w:numFmt w:val="decimal"/>
      <w:start w:val="4"/>
    </w:lvl>
    <w:lvl w:ilvl="1">
      <w:lvlJc w:val="left"/>
      <w:lvlText w:val="%2"/>
      <w:numFmt w:val="lowerLetter"/>
      <w:start w:val="1"/>
    </w:lvl>
  </w:abstractNum>
  <w:abstractNum w:abstractNumId="100">
    <w:nsid w:val="5C10FE21"/>
    <w:multiLevelType w:val="hybridMultilevel"/>
    <w:lvl w:ilvl="0">
      <w:lvlJc w:val="left"/>
      <w:lvlText w:val="%1."/>
      <w:numFmt w:val="decimal"/>
      <w:start w:val="5"/>
    </w:lvl>
    <w:lvl w:ilvl="1">
      <w:lvlJc w:val="left"/>
      <w:lvlText w:val="(%2)"/>
      <w:numFmt w:val="lowerLetter"/>
      <w:start w:val="1"/>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2"/>
    </w:lvl>
  </w:abstractNum>
  <w:abstractNum w:abstractNumId="104">
    <w:nsid w:val="78DF6A55"/>
    <w:multiLevelType w:val="hybridMultilevel"/>
    <w:lvl w:ilvl="0">
      <w:lvlJc w:val="left"/>
      <w:lvlText w:val="%1."/>
      <w:numFmt w:val="decimal"/>
      <w:start w:val="5"/>
    </w:lvl>
  </w:abstractNum>
  <w:abstractNum w:abstractNumId="105">
    <w:nsid w:val="39B7AAA2"/>
    <w:multiLevelType w:val="hybridMultilevel"/>
    <w:lvl w:ilvl="0">
      <w:lvlJc w:val="left"/>
      <w:lvlText w:val="%1."/>
      <w:numFmt w:val="decimal"/>
      <w:start w:val="7"/>
    </w:lvl>
  </w:abstractNum>
  <w:abstractNum w:abstractNumId="106">
    <w:nsid w:val="2B0D8DBE"/>
    <w:multiLevelType w:val="hybridMultilevel"/>
    <w:lvl w:ilvl="0">
      <w:lvlJc w:val="left"/>
      <w:lvlText w:val="(%1)"/>
      <w:numFmt w:val="lowerLetter"/>
      <w:start w:val="1"/>
    </w:lvl>
  </w:abstractNum>
  <w:abstractNum w:abstractNumId="107">
    <w:nsid w:val="6C80EC70"/>
    <w:multiLevelType w:val="hybridMultilevel"/>
    <w:lvl w:ilvl="0">
      <w:lvlJc w:val="left"/>
      <w:lvlText w:val="%1."/>
      <w:numFmt w:val="decimal"/>
      <w:start w:val="1"/>
    </w:lvl>
  </w:abstractNum>
  <w:abstractNum w:abstractNumId="108">
    <w:nsid w:val="379E21B5"/>
    <w:multiLevelType w:val="hybridMultilevel"/>
    <w:lvl w:ilvl="0">
      <w:lvlJc w:val="left"/>
      <w:lvlText w:val="%1"/>
      <w:numFmt w:val="decimal"/>
      <w:start w:val="1"/>
    </w:lvl>
    <w:lvl w:ilvl="1">
      <w:lvlJc w:val="left"/>
      <w:lvlText w:val="(%2)"/>
      <w:numFmt w:val="lowerLetter"/>
      <w:start w:val="2"/>
    </w:lvl>
  </w:abstractNum>
  <w:abstractNum w:abstractNumId="109">
    <w:nsid w:val="69E373"/>
    <w:multiLevelType w:val="hybridMultilevel"/>
    <w:lvl w:ilvl="0">
      <w:lvlJc w:val="left"/>
      <w:lvlText w:val="%1."/>
      <w:numFmt w:val="decimal"/>
      <w:start w:val="5"/>
    </w:lvl>
    <w:lvl w:ilvl="1">
      <w:lvlJc w:val="left"/>
      <w:lvlText w:val="%2"/>
      <w:numFmt w:val="lowerLetter"/>
      <w:start w:val="1"/>
    </w:lvl>
  </w:abstractNum>
  <w:abstractNum w:abstractNumId="110">
    <w:nsid w:val="2C27173B"/>
    <w:multiLevelType w:val="hybridMultilevel"/>
    <w:lvl w:ilvl="0">
      <w:lvlJc w:val="left"/>
      <w:lvlText w:val="%1."/>
      <w:numFmt w:val="decimal"/>
      <w:start w:val="6"/>
    </w:lvl>
    <w:lvl w:ilvl="1">
      <w:lvlJc w:val="left"/>
      <w:lvlText w:val="(%2)"/>
      <w:numFmt w:val="lowerLetter"/>
      <w:start w:val="1"/>
    </w:lvl>
  </w:abstractNum>
  <w:abstractNum w:abstractNumId="111">
    <w:nsid w:val="4C9B0904"/>
    <w:multiLevelType w:val="hybridMultilevel"/>
    <w:lvl w:ilvl="0">
      <w:lvlJc w:val="left"/>
      <w:lvlText w:val="(%1)"/>
      <w:numFmt w:val="lowerRoman"/>
      <w:start w:val="1"/>
    </w:lvl>
  </w:abstractNum>
  <w:abstractNum w:abstractNumId="112">
    <w:nsid w:val="6AA7B75C"/>
    <w:multiLevelType w:val="hybridMultilevel"/>
    <w:lvl w:ilvl="0">
      <w:lvlJc w:val="left"/>
      <w:lvlText w:val="(%1)"/>
      <w:numFmt w:val="lowerLetter"/>
      <w:start w:val="3"/>
    </w:lvl>
  </w:abstractNum>
  <w:abstractNum w:abstractNumId="113">
    <w:nsid w:val="1DF029D3"/>
    <w:multiLevelType w:val="hybridMultilevel"/>
    <w:lvl w:ilvl="0">
      <w:lvlJc w:val="left"/>
      <w:lvlText w:val="(%1)"/>
      <w:numFmt w:val="lowerRoman"/>
      <w:start w:val="1"/>
    </w:lvl>
  </w:abstractNum>
  <w:abstractNum w:abstractNumId="114">
    <w:nsid w:val="5675FF36"/>
    <w:multiLevelType w:val="hybridMultilevel"/>
    <w:lvl w:ilvl="0">
      <w:lvlJc w:val="left"/>
      <w:lvlText w:val="%1."/>
      <w:numFmt w:val="decimal"/>
      <w:start w:val="8"/>
    </w:lvl>
    <w:lvl w:ilvl="1">
      <w:lvlJc w:val="left"/>
      <w:lvlText w:val="(%2)"/>
      <w:numFmt w:val="lowerLetter"/>
      <w:start w:val="1"/>
    </w:lvl>
  </w:abstractNum>
  <w:abstractNum w:abstractNumId="115">
    <w:nsid w:val="3DD15094"/>
    <w:multiLevelType w:val="hybridMultilevel"/>
    <w:lvl w:ilvl="0">
      <w:lvlJc w:val="left"/>
      <w:lvlText w:val="§§"/>
      <w:numFmt w:val="bullet"/>
      <w:start w:val="1"/>
    </w:lvl>
    <w:lvl w:ilvl="1">
      <w:lvlJc w:val="left"/>
      <w:lvlText w:val="(%2)"/>
      <w:numFmt w:val="lowerLetter"/>
      <w:start w:val="4"/>
    </w:lvl>
  </w:abstractNum>
  <w:abstractNum w:abstractNumId="116">
    <w:nsid w:val="3DB012B3"/>
    <w:multiLevelType w:val="hybridMultilevel"/>
    <w:lvl w:ilvl="0">
      <w:lvlJc w:val="left"/>
      <w:lvlText w:val="%1."/>
      <w:numFmt w:val="decimal"/>
      <w:start w:val="9"/>
    </w:lvl>
  </w:abstractNum>
  <w:abstractNum w:abstractNumId="117">
    <w:nsid w:val="2708C9AF"/>
    <w:multiLevelType w:val="hybridMultilevel"/>
    <w:lvl w:ilvl="0">
      <w:lvlJc w:val="left"/>
      <w:lvlText w:val="%1."/>
      <w:numFmt w:val="decimal"/>
      <w:start w:val="11"/>
    </w:lvl>
  </w:abstractNum>
  <w:abstractNum w:abstractNumId="118">
    <w:nsid w:val="5B25ACE2"/>
    <w:multiLevelType w:val="hybridMultilevel"/>
    <w:lvl w:ilvl="0">
      <w:lvlJc w:val="left"/>
      <w:lvlText w:val="%1."/>
      <w:numFmt w:val="decimal"/>
      <w:start w:val="19"/>
    </w:lvl>
  </w:abstractNum>
  <w:abstractNum w:abstractNumId="119">
    <w:nsid w:val="175DFCF0"/>
    <w:multiLevelType w:val="hybridMultilevel"/>
    <w:lvl w:ilvl="0">
      <w:lvlJc w:val="left"/>
      <w:lvlText w:val="%1."/>
      <w:numFmt w:val="decimal"/>
      <w:start w:val="1"/>
    </w:lvl>
    <w:lvl w:ilvl="1">
      <w:lvlJc w:val="left"/>
      <w:lvlText w:val="(%2)"/>
      <w:numFmt w:val="lowerRoman"/>
    </w:lvl>
    <w:lvl w:ilvl="2">
      <w:lvlJc w:val="left"/>
      <w:lvlText w:val="(%3)"/>
      <w:numFmt w:val="lowerLetter"/>
      <w:start w:val="1"/>
    </w:lvl>
  </w:abstractNum>
  <w:abstractNum w:abstractNumId="120">
    <w:nsid w:val="4F97E3E4"/>
    <w:multiLevelType w:val="hybridMultilevel"/>
    <w:lvl w:ilvl="0">
      <w:lvlJc w:val="left"/>
      <w:lvlText w:val="%1."/>
      <w:numFmt w:val="decimal"/>
      <w:start w:val="2"/>
    </w:lvl>
  </w:abstractNum>
  <w:abstractNum w:abstractNumId="121">
    <w:nsid w:val="53B0A9E"/>
    <w:multiLevelType w:val="hybridMultilevel"/>
    <w:lvl w:ilvl="0">
      <w:lvlJc w:val="left"/>
      <w:lvlText w:val="%1."/>
      <w:numFmt w:val="decimal"/>
      <w:start w:val="1"/>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41"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366" Type="http://schemas.openxmlformats.org/officeDocument/2006/relationships/image" Target="media/image330.png"/><Relationship Id="rId367" Type="http://schemas.openxmlformats.org/officeDocument/2006/relationships/image" Target="media/image331.png"/><Relationship Id="rId368" Type="http://schemas.openxmlformats.org/officeDocument/2006/relationships/image" Target="media/image332.png"/><Relationship Id="rId369" Type="http://schemas.openxmlformats.org/officeDocument/2006/relationships/image" Target="media/image333.png"/><Relationship Id="rId370" Type="http://schemas.openxmlformats.org/officeDocument/2006/relationships/image" Target="media/image334.png"/><Relationship Id="rId371" Type="http://schemas.openxmlformats.org/officeDocument/2006/relationships/image" Target="media/image335.png"/><Relationship Id="rId372" Type="http://schemas.openxmlformats.org/officeDocument/2006/relationships/image" Target="media/image336.png"/><Relationship Id="rId373" Type="http://schemas.openxmlformats.org/officeDocument/2006/relationships/image" Target="media/image337.png"/><Relationship Id="rId374" Type="http://schemas.openxmlformats.org/officeDocument/2006/relationships/image" Target="media/image338.png"/><Relationship Id="rId375" Type="http://schemas.openxmlformats.org/officeDocument/2006/relationships/image" Target="media/image339.png"/><Relationship Id="rId376" Type="http://schemas.openxmlformats.org/officeDocument/2006/relationships/image" Target="media/image340.png"/><Relationship Id="rId377" Type="http://schemas.openxmlformats.org/officeDocument/2006/relationships/image" Target="media/image341.png"/><Relationship Id="rId378"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324" Type="http://schemas.openxmlformats.org/officeDocument/2006/relationships/hyperlink" Target="https://www.sec.gov/Archives/edgar/data/0001680581/000104746919004324/a2239321zex-3_1.htm" TargetMode="External"/><Relationship Id="rId325" Type="http://schemas.openxmlformats.org/officeDocument/2006/relationships/hyperlink" Target="https://www.sec.gov/Archives/edgar/data/0001680581/000104746919004324/a2239321zex-3_2.htm" TargetMode="External"/><Relationship Id="rId326" Type="http://schemas.openxmlformats.org/officeDocument/2006/relationships/hyperlink" Target="https://www.sec.gov/Archives/edgar/data/1680581/000104746919003793/a2239080zex-4_1.htm" TargetMode="External"/><Relationship Id="rId327" Type="http://schemas.openxmlformats.org/officeDocument/2006/relationships/hyperlink" Target="https://www.sec.gov/Archives/edgar/data/1680581/000156459020008951/fulc-ex42_198.htm" TargetMode="External"/><Relationship Id="rId328" Type="http://schemas.openxmlformats.org/officeDocument/2006/relationships/hyperlink" Target="https://www.sec.gov/Archives/edgar/data/1680581/000104746919003793/a2239080zex-10_1.htm" TargetMode="External"/><Relationship Id="rId329" Type="http://schemas.openxmlformats.org/officeDocument/2006/relationships/hyperlink" Target="https://www.sec.gov/Archives/edgar/data/1680581/000119312520165696/d857108dex102.htm" TargetMode="External"/><Relationship Id="rId330" Type="http://schemas.openxmlformats.org/officeDocument/2006/relationships/hyperlink" Target="https://www.sec.gov/Archives/edgar/data/1680581/000104746919003793/a2239080zex-10_2.htm" TargetMode="External"/><Relationship Id="rId331" Type="http://schemas.openxmlformats.org/officeDocument/2006/relationships/hyperlink" Target="https://www.sec.gov/Archives/edgar/data/1680581/000104746919003793/a2239080zex-10_3.htm" TargetMode="External"/><Relationship Id="rId332" Type="http://schemas.openxmlformats.org/officeDocument/2006/relationships/hyperlink" Target="https://www.sec.gov/Archives/edgar/data/1680581/000104746919003793/a2239080zex-10_4.htm" TargetMode="External"/><Relationship Id="rId333" Type="http://schemas.openxmlformats.org/officeDocument/2006/relationships/hyperlink" Target="https://www.sec.gov/Archives/edgar/data/1680581/000104746919003793/a2239080zex-10_5.htm" TargetMode="External"/><Relationship Id="rId334" Type="http://schemas.openxmlformats.org/officeDocument/2006/relationships/hyperlink" Target="https://www.sec.gov/Archives/edgar/data/0001680581/000104746919004014/a2239182zex-10_6.htm" TargetMode="External"/><Relationship Id="rId335" Type="http://schemas.openxmlformats.org/officeDocument/2006/relationships/hyperlink" Target="https://www.sec.gov/Archives/edgar/data/0001680581/000104746919004014/a2239182zex-10_7.htm" TargetMode="External"/><Relationship Id="rId336" Type="http://schemas.openxmlformats.org/officeDocument/2006/relationships/hyperlink" Target="https://www.sec.gov/Archives/edgar/data/1680581/000156459021054234/fulc-ex101_13.htm" TargetMode="External"/><Relationship Id="rId337" Type="http://schemas.openxmlformats.org/officeDocument/2006/relationships/hyperlink" Target="https://www.sec.gov/Archives/edgar/data/0001680581/000104746919004014/a2239182zex-10_8.htm" TargetMode="External"/><Relationship Id="rId338" Type="http://schemas.openxmlformats.org/officeDocument/2006/relationships/hyperlink" Target="https://www.sec.gov/Archives/edgar/data/0001680581/000104746919004014/a2239182zex-10_12.htm" TargetMode="External"/><Relationship Id="rId339" Type="http://schemas.openxmlformats.org/officeDocument/2006/relationships/hyperlink" Target="https://www.sec.gov/Archives/edgar/data/1680581/000156459021024505/fulc-ex103_58.htm" TargetMode="External"/><Relationship Id="rId340" Type="http://schemas.openxmlformats.org/officeDocument/2006/relationships/hyperlink" Target="https://www.sec.gov/Archives/edgar/data/1680581/000156459021024505/fulc-ex104_56.htm" TargetMode="External"/><Relationship Id="rId342" Type="http://schemas.openxmlformats.org/officeDocument/2006/relationships/hyperlink" Target="https://www.sec.gov/Archives/edgar/data/1680581/000156459021010715/fulc-ex1016_279.htm" TargetMode="External"/><Relationship Id="rId343" Type="http://schemas.openxmlformats.org/officeDocument/2006/relationships/hyperlink" Target="https://www.sec.gov/Archives/edgar/data/1680581/000156459021024505/fulc-ex101_59.htm" TargetMode="External"/><Relationship Id="rId344" Type="http://schemas.openxmlformats.org/officeDocument/2006/relationships/hyperlink" Target="https://www.sec.gov/Archives/edgar/data/1680581/000156459021024505/fulc-ex102_57.htm" TargetMode="External"/><Relationship Id="rId345" Type="http://schemas.openxmlformats.org/officeDocument/2006/relationships/hyperlink" Target="https://www.sec.gov/Archives/edgar/data/1680581/000156459021042876/fulc-ex101_12.htm" TargetMode="External"/><Relationship Id="rId346" Type="http://schemas.openxmlformats.org/officeDocument/2006/relationships/hyperlink" Target="https://www.sec.gov/Archives/edgar/data/0001680581/000104746919003793/a2239080zex-10_15.htm" TargetMode="External"/><Relationship Id="rId347" Type="http://schemas.openxmlformats.org/officeDocument/2006/relationships/hyperlink" Target="https://www.sec.gov/Archives/edgar/data/1680581/000104746919003793/a2239080zex-10_10.htm" TargetMode="External"/><Relationship Id="rId348" Type="http://schemas.openxmlformats.org/officeDocument/2006/relationships/hyperlink" Target="https://www.sec.gov/Archives/edgar/data/1680581/000156459020052732/fulc-ex102_13.htm" TargetMode="External"/><Relationship Id="rId349" Type="http://schemas.openxmlformats.org/officeDocument/2006/relationships/hyperlink" Target="https://www.sec.gov/Archives/edgar/data/1680581/000156459020008951/fulc-ex1017_693.htm" TargetMode="External"/><Relationship Id="rId350" Type="http://schemas.openxmlformats.org/officeDocument/2006/relationships/hyperlink" Target="https://www.sec.gov/Archives/edgar/data/1680581/000156459020052732/fulc-ex101_12.htm" TargetMode="External"/><Relationship Id="rId351" Type="http://schemas.openxmlformats.org/officeDocument/2006/relationships/hyperlink" Target="https://www.sec.gov/Archives/edgar/data/1680581/000104746919003793/a2239080zex-10_11.htm" TargetMode="External"/><Relationship Id="rId352" Type="http://schemas.openxmlformats.org/officeDocument/2006/relationships/hyperlink" Target="https://www.sec.gov/Archives/edgar/data/1680581/000119312520215668/d235715dex12.htm" TargetMode="External"/><Relationship Id="rId353" Type="http://schemas.openxmlformats.org/officeDocument/2006/relationships/hyperlink" Target="https://www.sec.gov/Archives/edgar/data/1680581/000119312521319344/d245897dex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2022-03-03T06:14:34Z</dcterms:created>
  <dcterms:modified xsi:type="dcterms:W3CDTF">2022-03-03T06:14:34Z</dcterms:modified>
</cp:coreProperties>
</file>