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80" w:right="1580" w:hanging="3872"/>
        <w:spacing w:after="0" w:line="407"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-418465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1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00" w:type="dxa"/>
            <w:vAlign w:val="bottom"/>
          </w:tcPr>
          <w:p>
            <w:pPr>
              <w:spacing w:after="0"/>
              <w:rPr>
                <w:sz w:val="20"/>
                <w:szCs w:val="20"/>
                <w:color w:val="auto"/>
              </w:rPr>
            </w:pPr>
            <w:r>
              <w:rPr>
                <w:rFonts w:ascii="Arial" w:cs="Arial" w:eastAsia="Arial" w:hAnsi="Arial"/>
                <w:sz w:val="17"/>
                <w:szCs w:val="17"/>
                <w:color w:val="auto"/>
              </w:rPr>
              <w:t>Non-accelerated filer</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2020, the registrant had 27,452,846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right="40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clinical trials of losmapimod, including our ongoing Phase 2b and Phase 2 open label clinical trials for the treatment of facioscapulohumeral muscular dystrophy, and our ongoing Phase 3 clinical trial for the treatment of the novel coronavirus, or COVID-19;</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140" w:lineRule="exact"/>
        <w:rPr>
          <w:rFonts w:ascii="Arial" w:cs="Arial" w:eastAsia="Arial" w:hAnsi="Arial"/>
          <w:sz w:val="16"/>
          <w:szCs w:val="16"/>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Acceleron Pharma Inc. and MyoKardia,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25"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3"/>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80" w:type="dxa"/>
            <w:vAlign w:val="bottom"/>
            <w:vMerge w:val="continue"/>
          </w:tcPr>
          <w:p>
            <w:pPr>
              <w:spacing w:after="0"/>
              <w:rPr>
                <w:sz w:val="19"/>
                <w:szCs w:val="19"/>
                <w:color w:val="auto"/>
              </w:rPr>
            </w:pPr>
          </w:p>
        </w:tc>
        <w:tc>
          <w:tcPr>
            <w:tcW w:w="986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June 30, 2020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Operations and Comprehensive Loss for the three and six months ended June 30,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9860" w:type="dxa"/>
            <w:vAlign w:val="bottom"/>
            <w:gridSpan w:val="3"/>
          </w:tcPr>
          <w:p>
            <w:pPr>
              <w:spacing w:after="0" w:line="190"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Convertible Preferred Stock and Stockholders’ Equity (Deficit) for the three and six months ended June 30,</w:t>
              </w:r>
            </w:hyperlink>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2020 and 2019</w:t>
              </w:r>
            </w:hyperlink>
          </w:p>
        </w:tc>
        <w:tc>
          <w:tcPr>
            <w:tcW w:w="86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six months ended June 30,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86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86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rFonts w:ascii="Arial" w:cs="Arial" w:eastAsia="Arial" w:hAnsi="Arial"/>
                <w:sz w:val="18"/>
                <w:szCs w:val="18"/>
                <w:u w:val="single" w:color="auto"/>
                <w:color w:val="0000EE"/>
                <w:w w:val="99"/>
              </w:rPr>
            </w:pPr>
            <w:hyperlink w:anchor="page82">
              <w:r>
                <w:rPr>
                  <w:rFonts w:ascii="Arial" w:cs="Arial" w:eastAsia="Arial" w:hAnsi="Arial"/>
                  <w:sz w:val="18"/>
                  <w:szCs w:val="18"/>
                  <w:u w:val="single" w:color="auto"/>
                  <w:color w:val="0000EE"/>
                  <w:w w:val="99"/>
                </w:rPr>
                <w:t>Signatures</w:t>
              </w:r>
            </w:hyperlink>
          </w:p>
        </w:tc>
        <w:tc>
          <w:tcPr>
            <w:tcW w:w="108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75,718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56,020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Unbilled accounts receivable</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2,291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134,784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8,910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144,862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5,439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portion</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4,464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13,943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rent, excluding current portion</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lease incentive, excluding current portion</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3,286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excluding current portion</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3,867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excluding current portion</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22,731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23,286</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w w:val="96"/>
              </w:rPr>
              <w:t>Preferred stock, $0.001 par value; 5,000,000 shares authorized; no shares issued or outstanding</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200,000,000 shares authorized; 27,452,872 and 23,335,514 shares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issued as of June 30, 2020 and December 31, 2019, respectively; 27,223,796 and 22,654,444 shares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June 30, 2020 and December 31, 2019, respectively</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Treasury stock, at cost; no shares as of June 30, 2020 and December 31, 2019</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306,961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237,931</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(184,938)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122,131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144,862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12,775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27,257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45,489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5,149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10,213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17,924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37,470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(50,012)</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(16,460)</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(56,344)</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23,854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23,287</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(15,685)</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(34,137)</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5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Series A Convertible</w:t>
            </w:r>
          </w:p>
        </w:tc>
        <w:tc>
          <w:tcPr>
            <w:tcW w:w="1600" w:type="dxa"/>
            <w:vAlign w:val="bottom"/>
            <w:tcBorders>
              <w:right w:val="single" w:sz="8" w:color="auto"/>
            </w:tcBorders>
            <w:gridSpan w:val="4"/>
            <w:vMerge w:val="restart"/>
          </w:tcPr>
          <w:p>
            <w:pPr>
              <w:jc w:val="right"/>
              <w:ind w:right="168"/>
              <w:spacing w:after="0"/>
              <w:rPr>
                <w:sz w:val="20"/>
                <w:szCs w:val="20"/>
                <w:color w:val="auto"/>
              </w:rPr>
            </w:pPr>
            <w:r>
              <w:rPr>
                <w:rFonts w:ascii="Arial" w:cs="Arial" w:eastAsia="Arial" w:hAnsi="Arial"/>
                <w:sz w:val="14"/>
                <w:szCs w:val="14"/>
                <w:b w:val="1"/>
                <w:bCs w:val="1"/>
                <w:color w:val="auto"/>
                <w:w w:val="97"/>
              </w:rPr>
              <w:t>Series B Convertible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600" w:type="dxa"/>
            <w:vAlign w:val="bottom"/>
            <w:tcBorders>
              <w:right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Treasury Stock</w:t>
            </w:r>
          </w:p>
        </w:tc>
        <w:tc>
          <w:tcPr>
            <w:tcW w:w="2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600" w:type="dxa"/>
            <w:vAlign w:val="bottom"/>
            <w:tcBorders>
              <w:right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78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right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3"/>
                <w:szCs w:val="13"/>
                <w:color w:val="auto"/>
              </w:rPr>
            </w:pPr>
          </w:p>
        </w:tc>
        <w:tc>
          <w:tcPr>
            <w:tcW w:w="8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3"/>
                <w:szCs w:val="13"/>
                <w:color w:val="auto"/>
              </w:rPr>
            </w:pPr>
          </w:p>
        </w:tc>
        <w:tc>
          <w:tcPr>
            <w:tcW w:w="8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00" w:type="dxa"/>
            <w:vAlign w:val="bottom"/>
          </w:tcPr>
          <w:p>
            <w:pPr>
              <w:jc w:val="center"/>
              <w:ind w:right="128"/>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37"/>
        </w:trPr>
        <w:tc>
          <w:tcPr>
            <w:tcW w:w="1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at December</w:t>
            </w: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31, 2018</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60,000,000</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8"/>
              </w:rPr>
              <w:t>59,909</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9"/>
              </w:rPr>
              <w:t>40,000,000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79,761</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1,587,953</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67,024</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4,452</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(68,124)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Series B</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in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connection with</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asset acquisition,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net of issuance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costs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12,500,000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25,466</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134,013</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Repurchase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unvested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awards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43,922</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Retirement of</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shares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(110,946)</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expense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(36,843)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(36,843)</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4"/>
                <w:szCs w:val="14"/>
                <w:color w:val="auto"/>
              </w:rPr>
              <w:t>Balance at March 31,</w:t>
            </w: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4"/>
                <w:szCs w:val="14"/>
                <w:color w:val="auto"/>
              </w:rPr>
              <w:t>2019</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w w:val="96"/>
              </w:rPr>
              <w:t>60,000,000</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w w:val="88"/>
              </w:rPr>
              <w:t>59,909</w:t>
            </w:r>
          </w:p>
        </w:tc>
        <w:tc>
          <w:tcPr>
            <w:tcW w:w="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52,500,000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0"/>
              </w:rPr>
              <w:t>105,227</w:t>
            </w:r>
          </w:p>
        </w:tc>
        <w:tc>
          <w:tcPr>
            <w:tcW w:w="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1,721,966</w:t>
            </w:r>
          </w:p>
        </w:tc>
        <w:tc>
          <w:tcPr>
            <w:tcW w:w="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5,278</w:t>
            </w:r>
          </w:p>
        </w:tc>
        <w:tc>
          <w:tcPr>
            <w:tcW w:w="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(104,967)</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(99,687)</w:t>
            </w:r>
          </w:p>
        </w:tc>
        <w:tc>
          <w:tcPr>
            <w:tcW w:w="0" w:type="dxa"/>
            <w:vAlign w:val="bottom"/>
          </w:tcPr>
          <w:p>
            <w:pPr>
              <w:spacing w:after="0"/>
              <w:rPr>
                <w:sz w:val="1"/>
                <w:szCs w:val="1"/>
                <w:color w:val="auto"/>
              </w:rPr>
            </w:pPr>
          </w:p>
        </w:tc>
      </w:tr>
      <w:tr>
        <w:trPr>
          <w:trHeight w:val="124"/>
        </w:trPr>
        <w:tc>
          <w:tcPr>
            <w:tcW w:w="1380" w:type="dxa"/>
            <w:vAlign w:val="bottom"/>
            <w:tcBorders>
              <w:top w:val="single" w:sz="8" w:color="CFF0FC"/>
            </w:tcBorders>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of</w:t>
            </w: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148,320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225</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Repurchase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unvested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awards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7,451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Retirement of</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shares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(6,019)</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expense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(13,169)</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4"/>
                <w:szCs w:val="14"/>
                <w:color w:val="auto"/>
              </w:rPr>
              <w:t>Balance at June 30,</w:t>
            </w: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4"/>
                <w:szCs w:val="14"/>
                <w:color w:val="auto"/>
              </w:rPr>
              <w:t>2019</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w w:val="96"/>
              </w:rPr>
              <w:t>60,000,000</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w w:val="88"/>
              </w:rPr>
              <w:t>59,909</w:t>
            </w:r>
          </w:p>
        </w:tc>
        <w:tc>
          <w:tcPr>
            <w:tcW w:w="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52,500,000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w w:val="90"/>
              </w:rPr>
              <w:t>105,227</w:t>
            </w:r>
          </w:p>
        </w:tc>
        <w:tc>
          <w:tcPr>
            <w:tcW w:w="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1,870,286</w:t>
            </w:r>
          </w:p>
        </w:tc>
        <w:tc>
          <w:tcPr>
            <w:tcW w:w="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1,432</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6,453</w:t>
            </w:r>
          </w:p>
        </w:tc>
        <w:tc>
          <w:tcPr>
            <w:tcW w:w="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(118,136)</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(111,681)</w:t>
            </w:r>
          </w:p>
        </w:tc>
        <w:tc>
          <w:tcPr>
            <w:tcW w:w="0" w:type="dxa"/>
            <w:vAlign w:val="bottom"/>
          </w:tcPr>
          <w:p>
            <w:pPr>
              <w:spacing w:after="0"/>
              <w:rPr>
                <w:sz w:val="1"/>
                <w:szCs w:val="1"/>
                <w:color w:val="auto"/>
              </w:rPr>
            </w:pPr>
          </w:p>
        </w:tc>
      </w:tr>
      <w:tr>
        <w:trPr>
          <w:trHeight w:val="124"/>
        </w:trPr>
        <w:tc>
          <w:tcPr>
            <w:tcW w:w="13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4"/>
                <w:szCs w:val="14"/>
                <w:color w:val="auto"/>
              </w:rPr>
              <w:t>Balance at December</w:t>
            </w: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31, 2019</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22,654,444</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237,931</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(150,801)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87,153</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138,693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Repurchase of</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unvested</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awards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8,787</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Retirement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treasury shares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(8,787)</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Unrealized loss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on marketable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securities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(18,452)</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4"/>
                <w:szCs w:val="14"/>
                <w:color w:val="auto"/>
              </w:rPr>
              <w:t>Balance at March 31,</w:t>
            </w: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20"/>
                <w:szCs w:val="20"/>
                <w:color w:val="auto"/>
              </w:rPr>
            </w:pPr>
            <w:r>
              <w:rPr>
                <w:rFonts w:ascii="Arial" w:cs="Arial" w:eastAsia="Arial" w:hAnsi="Arial"/>
                <w:sz w:val="14"/>
                <w:szCs w:val="14"/>
                <w:color w:val="auto"/>
              </w:rPr>
              <w:t>2020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w w:val="96"/>
              </w:rPr>
              <w:t>22,793,137</w:t>
            </w:r>
          </w:p>
        </w:tc>
        <w:tc>
          <w:tcPr>
            <w:tcW w:w="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239,914</w:t>
            </w:r>
          </w:p>
        </w:tc>
        <w:tc>
          <w:tcPr>
            <w:tcW w:w="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(169,253)</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70,631</w:t>
            </w:r>
          </w:p>
        </w:tc>
        <w:tc>
          <w:tcPr>
            <w:tcW w:w="0" w:type="dxa"/>
            <w:vAlign w:val="bottom"/>
          </w:tcPr>
          <w:p>
            <w:pPr>
              <w:spacing w:after="0"/>
              <w:rPr>
                <w:sz w:val="1"/>
                <w:szCs w:val="1"/>
                <w:color w:val="auto"/>
              </w:rPr>
            </w:pPr>
          </w:p>
        </w:tc>
      </w:tr>
      <w:tr>
        <w:trPr>
          <w:trHeight w:val="124"/>
        </w:trPr>
        <w:tc>
          <w:tcPr>
            <w:tcW w:w="1380" w:type="dxa"/>
            <w:vAlign w:val="bottom"/>
            <w:tcBorders>
              <w:top w:val="single" w:sz="8" w:color="CFF0FC"/>
            </w:tcBorders>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of</w:t>
            </w: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401,248</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530</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common stock in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connection with</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private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placement,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placement agent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fees and offering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costs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4,029,411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64,313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64,317</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Repurchase of</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unvested</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 stock</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awards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10,642</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Retirement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treasury shares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(10,642)</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2,204</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143"/>
        </w:trPr>
        <w:tc>
          <w:tcPr>
            <w:tcW w:w="1380" w:type="dxa"/>
            <w:vAlign w:val="bottom"/>
          </w:tcPr>
          <w:p>
            <w:pPr>
              <w:ind w:left="260"/>
              <w:spacing w:after="0" w:line="143" w:lineRule="exact"/>
              <w:rPr>
                <w:sz w:val="20"/>
                <w:szCs w:val="20"/>
                <w:color w:val="auto"/>
              </w:rPr>
            </w:pPr>
            <w:r>
              <w:rPr>
                <w:rFonts w:ascii="Arial" w:cs="Arial" w:eastAsia="Arial" w:hAnsi="Arial"/>
                <w:sz w:val="14"/>
                <w:szCs w:val="14"/>
                <w:color w:val="auto"/>
              </w:rPr>
              <w:t>Unrealized loss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60"/>
              <w:spacing w:after="0" w:line="149" w:lineRule="exact"/>
              <w:rPr>
                <w:sz w:val="20"/>
                <w:szCs w:val="20"/>
                <w:color w:val="auto"/>
              </w:rPr>
            </w:pPr>
            <w:r>
              <w:rPr>
                <w:rFonts w:ascii="Arial" w:cs="Arial" w:eastAsia="Arial" w:hAnsi="Arial"/>
                <w:sz w:val="14"/>
                <w:szCs w:val="14"/>
                <w:color w:val="auto"/>
              </w:rPr>
              <w:t>on marketable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260"/>
              <w:spacing w:after="0"/>
              <w:rPr>
                <w:sz w:val="20"/>
                <w:szCs w:val="20"/>
                <w:color w:val="auto"/>
              </w:rPr>
            </w:pPr>
            <w:r>
              <w:rPr>
                <w:rFonts w:ascii="Arial" w:cs="Arial" w:eastAsia="Arial" w:hAnsi="Arial"/>
                <w:sz w:val="14"/>
                <w:szCs w:val="14"/>
                <w:color w:val="auto"/>
              </w:rPr>
              <w:t>securities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(15,685)</w:t>
            </w:r>
          </w:p>
        </w:tc>
        <w:tc>
          <w:tcPr>
            <w:tcW w:w="0" w:type="dxa"/>
            <w:vAlign w:val="bottom"/>
          </w:tcPr>
          <w:p>
            <w:pPr>
              <w:spacing w:after="0"/>
              <w:rPr>
                <w:sz w:val="1"/>
                <w:szCs w:val="1"/>
                <w:color w:val="auto"/>
              </w:rPr>
            </w:pPr>
          </w:p>
        </w:tc>
      </w:tr>
      <w:tr>
        <w:trPr>
          <w:trHeight w:val="137"/>
        </w:trPr>
        <w:tc>
          <w:tcPr>
            <w:tcW w:w="1380" w:type="dxa"/>
            <w:vAlign w:val="bottom"/>
          </w:tcPr>
          <w:p>
            <w:pPr>
              <w:spacing w:after="0" w:line="137" w:lineRule="exact"/>
              <w:rPr>
                <w:sz w:val="20"/>
                <w:szCs w:val="20"/>
                <w:color w:val="auto"/>
              </w:rPr>
            </w:pPr>
            <w:r>
              <w:rPr>
                <w:rFonts w:ascii="Arial" w:cs="Arial" w:eastAsia="Arial" w:hAnsi="Arial"/>
                <w:sz w:val="14"/>
                <w:szCs w:val="14"/>
                <w:color w:val="auto"/>
              </w:rPr>
              <w:t>Balance at June 30,</w:t>
            </w: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2020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w w:val="96"/>
              </w:rPr>
              <w:t>27,223,796</w:t>
            </w:r>
          </w:p>
        </w:tc>
        <w:tc>
          <w:tcPr>
            <w:tcW w:w="8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306,961</w:t>
            </w:r>
          </w:p>
        </w:tc>
        <w:tc>
          <w:tcPr>
            <w:tcW w:w="6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(184,938)</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122,131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227"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Six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(34,137)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(50,012)</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1,018</w:t>
            </w: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1,771</w:t>
            </w: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In-process research and development expenses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25,591</w:t>
            </w: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Unbilled accounts receivable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1,079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1,436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451</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399</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225</w:t>
            </w:r>
          </w:p>
        </w:tc>
      </w:tr>
      <w:tr>
        <w:trPr>
          <w:trHeight w:val="206"/>
        </w:trPr>
        <w:tc>
          <w:tcPr>
            <w:tcW w:w="782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(29,325)</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(21,971)</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(72,653)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16,800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 associated with asset acquisition</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(56,630)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Issuance costs associated with issuance of Series B convertible preferred stock</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Payment of initial public offering costs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r>
      <w:tr>
        <w:trPr>
          <w:trHeight w:val="206"/>
        </w:trPr>
        <w:tc>
          <w:tcPr>
            <w:tcW w:w="7820" w:type="dxa"/>
            <w:vAlign w:val="bottom"/>
          </w:tcPr>
          <w:p>
            <w:pPr>
              <w:spacing w:after="0"/>
              <w:rPr>
                <w:sz w:val="20"/>
                <w:szCs w:val="20"/>
                <w:color w:val="auto"/>
              </w:rPr>
            </w:pPr>
            <w:r>
              <w:rPr>
                <w:rFonts w:ascii="Arial" w:cs="Arial" w:eastAsia="Arial" w:hAnsi="Arial"/>
                <w:sz w:val="16"/>
                <w:szCs w:val="16"/>
                <w:color w:val="auto"/>
                <w:w w:val="97"/>
              </w:rPr>
              <w:t>Proceeds from issuance of common stock in connection with private placement, net of placement agent fees and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6"/>
                <w:szCs w:val="16"/>
                <w:color w:val="auto"/>
              </w:rPr>
              <w:t>offering costs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64,368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capital lease obligations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issuance of common stock under benefit plans, net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809</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w:t>
            </w: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64,960</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(20,995)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(23,169)</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97,805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73,889</w:t>
            </w:r>
          </w:p>
        </w:tc>
      </w:tr>
      <w:tr>
        <w:trPr>
          <w:trHeight w:val="246"/>
        </w:trPr>
        <w:tc>
          <w:tcPr>
            <w:tcW w:w="782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76,810</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50,720</w:t>
            </w:r>
          </w:p>
        </w:tc>
      </w:tr>
      <w:tr>
        <w:trPr>
          <w:trHeight w:val="200"/>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Acquisition of in process research and development through issuance of stock</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25,500</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Public offering costs unpaid at end of period</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1,325</w:t>
            </w: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Private placement offering costs unpaid at 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158</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563"/>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7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2019</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FF0FC"/>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75,718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49,628</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1,092</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w:t>
            </w:r>
          </w:p>
        </w:tc>
        <w:tc>
          <w:tcPr>
            <w:tcW w:w="1060" w:type="dxa"/>
            <w:vAlign w:val="bottom"/>
            <w:tcBorders>
              <w:bottom w:val="single" w:sz="8" w:color="auto"/>
            </w:tcBorders>
            <w:shd w:val="clear" w:color="auto" w:fill="CFF0FC"/>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76,810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50,720</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2020 and the results of its operations and its cash flows for the three and six months ended June 30, 2020 and 2019. The results for the three and six months ended June 30, 2020 are not necessarily indicative of results to be expected for the year ending December 31, 2020, any other interim periods, or any future year or period. These consolidated financial statements should be read in conjunction with the Company’s audited consolidated financial statements and the notes thereto for the year ended December 31, 2019 included in the Company’s Annual Report on Form 10-K filed with the Securities and Exchange Commission (the “SEC”) on March 5, 2020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for periods prior to the reverse stock split have been retroactively adjusted to give effect to this reverse stock split, including reclassifying an amount equal to the reduction in par value of common stock to additional paid-in capital.</w:t>
      </w:r>
    </w:p>
    <w:p>
      <w:pPr>
        <w:spacing w:after="0" w:line="18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gross proceeds of $68.5 million, before deducting offering costs of approximately $4.2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primarily funded its operations with proceeds from a private placement of the Company’s common stock, proceeds from the IPO, issuances of convertible notes and convertible preferred stock, an upfront payment received from its collaboration and license agreement (the “Acceleron Collaboration Agreement”) with Acceleron Pharma Inc. (“Acceleron”), and an upfront payment received from its collaboration and license agreement (the “MyoKardia Collaboration Agreement”) with MyoKardia, Inc. (“MyoKardia) (Note 16). As of June 30, 2020, the Company had an accumulated deficit of $184.9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firstLine="510"/>
        <w:spacing w:after="0" w:line="254" w:lineRule="auto"/>
        <w:rPr>
          <w:sz w:val="20"/>
          <w:szCs w:val="20"/>
          <w:color w:val="auto"/>
        </w:rPr>
      </w:pPr>
      <w:r>
        <w:rPr>
          <w:rFonts w:ascii="Arial" w:cs="Arial" w:eastAsia="Arial" w:hAnsi="Arial"/>
          <w:sz w:val="18"/>
          <w:szCs w:val="18"/>
          <w:color w:val="auto"/>
        </w:rPr>
        <w:t>As of the date of issuance of these financial statements, the Company expects that its cash, cash equivalents, and marketable securities, together with the $10.0 million upfront payment and the $2.5 million payment as prepaid research funding received during the third quarter of 2020 under the MyoKardia Collaboration Agreement,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2019 included in the Company’s Annual Report on Form 10-K. There have been no material changes in the Company’s significant accounting policies during the three months ended June 30, 2020, except as noted below with respect to the Company’s accounting policies related to marketable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common stock and convertible preferred stock prior to the completion of the Company’s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 based approaches, to determine fair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marketable securities. As of June 30, 2020, the Company’s marketable securities consisted of investments in U.S. Treasury securities, corporate bonds, and commercial paper. Marketable securities are classified as current assets on the consolidated balance sheets if the marketable securities are available to be converted into cash to fund current operations.</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over the period of the earliest call date, and any discount arising at purchase is accreted to interest income over the life of the instrument. Realized gains and losses are determined using the specific identification method and are included in other income, net.</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Costs (Subtopic 310-20): Premium Amortization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Purchased Callable Debt Securities </w:t>
      </w:r>
      <w:r>
        <w:rPr>
          <w:rFonts w:ascii="Arial" w:cs="Arial" w:eastAsia="Arial" w:hAnsi="Arial"/>
          <w:sz w:val="16"/>
          <w:szCs w:val="16"/>
          <w:color w:val="auto"/>
        </w:rPr>
        <w:t>(“ASU 2017-08”). This standard amends the amortization period for certain purchased callable debt securities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a premium by shortening the amortization period to the earliest call date. The new standard became effective for the Company on January 1, 2020. The adoption of this standard did not have a material impact on the Company’s consolidated financial statements or footnote disclosures.</w:t>
      </w:r>
    </w:p>
    <w:p>
      <w:pPr>
        <w:spacing w:after="0" w:line="15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that contain down-round features. Part II of the standard replaces the indefinite deferral for certain mandatorily redeemable noncontrolling interests and mandatorily redeemable financial instruments of nonpublic entities contained within ASC 480 with a scope exception and does not impact the accounting for these mandatorily redeemable instruments. The new standard became effective for the Company on January 1, 2020 under the extended transition period. The adoption of this standard did not have a material impact on the Company’s consolidated financial statements or footnote disclosures.</w:t>
      </w:r>
    </w:p>
    <w:p>
      <w:pPr>
        <w:spacing w:after="0" w:line="16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The standard clarifies that certain transactions between collaborative arrangement participants should be accounted for as revenue under ASC</w:t>
      </w:r>
      <w:r>
        <w:rPr>
          <w:rFonts w:ascii="Arial" w:cs="Arial" w:eastAsia="Arial" w:hAnsi="Arial"/>
          <w:sz w:val="16"/>
          <w:szCs w:val="16"/>
          <w:i w:val="1"/>
          <w:iCs w:val="1"/>
          <w:color w:val="auto"/>
        </w:rPr>
        <w:t xml:space="preserve"> </w:t>
      </w:r>
      <w:r>
        <w:rPr>
          <w:rFonts w:ascii="Arial" w:cs="Arial" w:eastAsia="Arial" w:hAnsi="Arial"/>
          <w:sz w:val="16"/>
          <w:szCs w:val="16"/>
          <w:color w:val="auto"/>
        </w:rPr>
        <w:t>606 when the collaborative arrangement participant is a customer in the context of a unit of account. The standard amends ASC 808 to refer to the unit-of-account guidance in ASC 606 and requires it to be used only when assessing whether a transaction is in the scope of ASC 606 when an entity is assessing whether the collaborative arrangement or a part of the arrangement is within the scope of ASC 606. The standard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new standard became effective for the Company on January 1, 2020. The adoption of this standard did not have a material impact on the Company’s consolidated financial statements or footnote disclosures.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 2019, the FASB deferred the effective date of ASU 2018-11 for private companies to fiscal years beginning after December 15, 2020. In June 2020, the FASB further deferred the effective date of ASU 2018-11 for private companies to fiscal years beginning after December 15, 2021. The new standard will become effective for the Company on January 1, 2022.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xml:space="preserve"> (“ASU 2019-12”).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June 30, 2020 and December 31, 2019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75,718</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75,718</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18,031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18,031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131,738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75,718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56,020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3"/>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and six months ended June 30, 2020.</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Marketable securities consisted of the following as of June 30, 2020 (in thousands):</w:t>
      </w:r>
    </w:p>
    <w:p>
      <w:pPr>
        <w:spacing w:after="0" w:line="25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at</w:t>
      </w:r>
    </w:p>
    <w:p>
      <w:pPr>
        <w:jc w:val="center"/>
        <w:ind w:left="5700"/>
        <w:spacing w:after="0" w:line="236" w:lineRule="auto"/>
        <w:rPr>
          <w:sz w:val="20"/>
          <w:szCs w:val="20"/>
          <w:color w:val="auto"/>
        </w:rPr>
      </w:pPr>
      <w:r>
        <w:rPr>
          <w:rFonts w:ascii="Arial" w:cs="Arial" w:eastAsia="Arial" w:hAnsi="Arial"/>
          <w:sz w:val="14"/>
          <w:szCs w:val="14"/>
          <w:b w:val="1"/>
          <w:bCs w:val="1"/>
          <w:color w:val="auto"/>
        </w:rPr>
        <w:t>June 30, 2020</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9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75,718</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75,718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18,997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19,006</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17,959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18,983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18,983</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55,939</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56,020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131,657</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131,738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hold any marketable securities as of December 31, 2019.</w:t>
      </w:r>
    </w:p>
    <w:p>
      <w:pPr>
        <w:spacing w:after="0" w:line="225"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There were no sales of marketable securities during the three and six months ended June 30, 2020. As of June 30, 2020, the aggregate fair value of securities that were in an unrealized loss position for less than twelve months was $9.0 million. As of June 30, 2020, no securities were in an unrealized loss position for more than twelve months. The Company determined that it did not hold any securities with any other-than-temporary impairment as of June 30, 2020. As of June 30, 2020, the remaining contractual maturity of all of the Company’s marketable securities is less than one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5,710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512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13,152</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8,910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9,205</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Depreciation expense for the three months ended June 30, 2020 and 2019 was $0.6 million and $0.5 million, respectively. Depreciation expense for the six months ended June 30, 2020 and 2019 was $1.1 million and $1.0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2,796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9"/>
              </w:rPr>
              <w:t>Prepaid sign-on bonuses subject to vesting provisions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prepaid expenses and other current assets</w:t>
            </w:r>
          </w:p>
        </w:tc>
        <w:tc>
          <w:tcPr>
            <w:tcW w:w="1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3,370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vMerge w:val="restart"/>
          </w:tcPr>
          <w:p>
            <w:pPr>
              <w:jc w:val="right"/>
              <w:ind w:right="1310"/>
              <w:spacing w:after="0"/>
              <w:rPr>
                <w:sz w:val="20"/>
                <w:szCs w:val="20"/>
                <w:color w:val="auto"/>
              </w:rPr>
            </w:pPr>
            <w:r>
              <w:rPr>
                <w:rFonts w:ascii="Arial" w:cs="Arial" w:eastAsia="Arial" w:hAnsi="Arial"/>
                <w:sz w:val="18"/>
                <w:szCs w:val="18"/>
                <w:color w:val="auto"/>
                <w:w w:val="79"/>
              </w:rPr>
              <w:t>9</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2,250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Payroll and benefits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891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17</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5,496</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June 30, 2020 and December 31, 2019, 5,000,000 shares of undesignated preferred stock were authorized. No shares of preferred stock were issued or outstanding as of June 30, 2020 and December 31, 2019.</w:t>
      </w:r>
    </w:p>
    <w:p>
      <w:pPr>
        <w:spacing w:after="0" w:line="170"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During the six months ended June 30, 2019, the Company issued 12,500,000 shares of Series B convertible preferred stock (the “Series B Preferred Stock”) in connection with the GSK Agreement (Note 11). The rights, privileges, and preferences of the Series B Preferred Stock issued in connection with the GSK Agreement were consistent with the rights, privileges, and preferences of the Series B Preferred Stock issued during prior periods.</w:t>
      </w:r>
    </w:p>
    <w:p>
      <w:pPr>
        <w:spacing w:after="0" w:line="149"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On July 5, 2019, the Company eliminated the gross proceeds threshold of $45.0 million for a firm-commitment underwritten public offering that would result in the automatic conversion of all outstanding shares of Series A convertible preferred stock and Series B Preferred Stock (together with the Series A convertible preferred stock, the “Preferred Stock”).</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As of June 30, 2020 and December 31, 2019, the Company’s restated certificate of incorporation authorized the Company to issue 200,000,000 shares of common stock, $0.001 par value per share.</w:t>
      </w:r>
    </w:p>
    <w:p>
      <w:pPr>
        <w:spacing w:after="0" w:line="170"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June 30, 2020 and December 31, 2019, the Company has reserved for future issuance the following number of shares of common stock: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2,809,596</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2,023,828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1,926,399</w:t>
            </w:r>
          </w:p>
        </w:tc>
        <w:tc>
          <w:tcPr>
            <w:tcW w:w="14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1,866,694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485,497</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252,142</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5,221,492</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4,142,664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60" w:type="dxa"/>
            <w:vAlign w:val="bottom"/>
            <w:vMerge w:val="restart"/>
          </w:tcPr>
          <w:p>
            <w:pPr>
              <w:jc w:val="right"/>
              <w:ind w:right="131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2020,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On January 1, 2020, the number of shares reserved for issuance under the 2019 Plan was increased by 933,420 shares. As of June 30, 2020, there were 1,926,399 shares available for future issuance under the 2019 Plan.</w:t>
      </w:r>
    </w:p>
    <w:p>
      <w:pPr>
        <w:spacing w:after="0" w:line="17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Upon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2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346,423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2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(155,061)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2.98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(19,429)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2.97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2020</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171,933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3.12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vMerge w:val="restart"/>
          </w:tcPr>
          <w:p>
            <w:pPr>
              <w:jc w:val="right"/>
              <w:ind w:right="129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5" w:name="page16"/>
    <w:bookmarkEnd w:id="15"/>
    <w:p>
      <w:pPr>
        <w:ind w:right="100" w:firstLine="510"/>
        <w:spacing w:after="0" w:line="27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The following table summarizes the Company’s stock option activity under the 2019 Plan and 2016 Plan since December 31, 2019:</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2,023,828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8.94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2,730,209</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943,106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2,809,596</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w w:val="95"/>
              </w:rPr>
              <w:t>18,357,827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4,813,809</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559,025</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The weighted average grant date fair value of stock options granted during the three and six months ended June 30, 2020 was $9.76 per share and $10.94 per share, respectively. The weighted average grant date fair value of stock options granted during the three and six months ended June 30, 2019 was $7.75 per share and $5.74 per share, respectively. The total intrinsic value of stock options exercised during the three and six months ended June 30, 2020 was $0.8 million and $1.1 million, respectively. The aggregate intrinsic value of stock options exercised during each of the three and six months ended June 30, 2019 was $0.2 million. The fair value of stock options granted during the three and six months ended June 30, 2020 and 2019 under the 2019 Plan and the 2016 Plan has been calculated on the date of grant using the following weighted average assumptions: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Six Months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514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14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2019</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81.3%</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of Stock Incentive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2019:</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334,647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(277,504)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2020</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57,143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June 30, 2020 and 2019 was $6.0 million and $1.4 million, respectively. The aggregate intrinsic value of all restricted stock awards that vested during the six months ended June 30, 2020 and 2019 was $7.6 million and $2.4 million,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1,186</w:t>
            </w: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459</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1,944</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865</w:t>
            </w: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906</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950</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3,897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1,771</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As of June 30, 2020, the Company had an aggregate of $18.2 million of unrecognized stock-based compensation expense, which is expected to be recognized over a weighted average period of 2.81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2020, the number of shares reserved for issuance under the 2019 ESPP was increased by 233,355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Acceleron Collaboration Agreement</w:t>
      </w:r>
    </w:p>
    <w:p>
      <w:pPr>
        <w:spacing w:after="0" w:line="12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received a non-refundable upfront payment of $10.0 million in December 2019 upon the execution of the Acceleron Collaboration Agreement. The Company will be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In addition, the Company will be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firstLine="510"/>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The Company received a non-refundable upfront payment of $10.0 million upon the execution of the Acceleron Collaboration Agreement, which the Company included in the transaction price. Based on the uncertainty associated with the achievement of any research and development milestone payments that the Company is eligible to receive, the Company has constrained the variable consideration associated with those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 The Company also included in the transaction price the expected amount of costs to be reimbursed for the Research Services. 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2020.</w:t>
      </w:r>
    </w:p>
    <w:p>
      <w:pPr>
        <w:spacing w:after="0" w:line="166"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During the three and six months ended June 30, 2020, the Company recognized $2.0 million and $2.8 million, respectively, of collaboration revenue associated with the Acceleron Collaboration Agreement. As of December 31, 2019, no Research Services had been performed. For the three and six months ended June 30, 2019, the Company did not recognize any revenue under the Acceleron Collaboration Agreement as it had not yet entered into the Acceleron Collaboration Agreement. As of June 30, 2020 and December 31, 2019, the Company recorded deferred revenue of $8.3 million and $10.0 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June 30, 2020 and December 31, 2019, respectively. As of June 30, 2020, the Company had received $0.3 million of cost reimbursement payments, and no milestone or royalty payments under the Acceleron Collaboration Agreement. As of December 31, 2019, the Company had not received any milestone, royalty, or cost reimbursement payments under the Acceleron Collaboration Agreement. As of June 30, 2020, the Company recorded unbilled accounts receivable of $0.8 million related to reimbursable Research Services costs under the Acceleron Collaboration Agreement for activities performed during the three months ended June 30,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Acquisition</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GSK Agreement, the Company issued 12,500,000 shares of Series B Preferred Stock to GSK with an estimated fair value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including $2.5 million due upon the initiation of a Phase 2 clinical trial, which was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92"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firstLine="510"/>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during the first quarter of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2020 and December 31, 2019. Rent expense associated with this lease for each of the three months ended June 30, 2020 and 2019 was approximately $0.5 million. Rent expense associated with this lease for each of the six months ended June 30, 2020 and 2019 was approximately $1.0 million.</w:t>
      </w:r>
    </w:p>
    <w:p>
      <w:pPr>
        <w:spacing w:after="0" w:line="16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June 30, 2020, are as follows (in thousands):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2020</w:t>
            </w:r>
            <w:r>
              <w:rPr>
                <w:rFonts w:ascii="Arial" w:cs="Arial" w:eastAsia="Arial" w:hAnsi="Arial"/>
                <w:sz w:val="15"/>
                <w:szCs w:val="15"/>
                <w:color w:val="auto"/>
              </w:rPr>
              <w:t>(1)</w:t>
            </w: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20,620</w:t>
            </w: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for the six months ending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June 30, 2020,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2020 or December 31,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2020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00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4"/>
                <w:szCs w:val="14"/>
                <w:color w:val="auto"/>
              </w:rPr>
            </w:pPr>
          </w:p>
        </w:tc>
      </w:tr>
      <w:tr>
        <w:trPr>
          <w:trHeight w:val="156"/>
        </w:trPr>
        <w:tc>
          <w:tcPr>
            <w:tcW w:w="30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8,571,427</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7,499,991</w:t>
            </w:r>
          </w:p>
        </w:tc>
        <w:tc>
          <w:tcPr>
            <w:tcW w:w="80" w:type="dxa"/>
            <w:vAlign w:val="bottom"/>
          </w:tcPr>
          <w:p>
            <w:pPr>
              <w:spacing w:after="0"/>
              <w:rPr>
                <w:sz w:val="19"/>
                <w:szCs w:val="19"/>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7,499,991</w:t>
            </w: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2,809,596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2,809,596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1,592,753</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229,076</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898,310</w:t>
            </w:r>
          </w:p>
        </w:tc>
        <w:tc>
          <w:tcPr>
            <w:tcW w:w="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229,076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898,310</w:t>
            </w:r>
          </w:p>
        </w:tc>
      </w:tr>
      <w:tr>
        <w:trPr>
          <w:trHeight w:val="223"/>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3,038,672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18,562,481</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3,038,672</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93"/>
              </w:rPr>
              <w:t>18,562,481</w:t>
            </w: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During the three and six months ended June 30, 2019, the Company paid fees to Third Rock Ventures, LLC (“TRV”), an affiliate of one of the Company’s principal stockholders, in exchange for consulting services. The Company recorded expenses related to such fees of less than $0.1 million during the six months ended June 30, 2019. The Company did not record expenses related to such fees during the three and six months ended June 30, 2020 or the three months ended June 30, 2019. During the three and six months ended June 30, 2020, the Company did not pay fees to TRV in exchange for services. As of December 31, 2019, there was less than $0.1 million of amounts due to TRV for such services that were included in accounts payable and accrued expenses. As of June 30, 2020, there were no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and License Agreement</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July 20, 2020, the Company entered into the MyoKardia Collaboration Agreement with MyoKardia,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7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through the joint steering committee, to determine how best to advance at each stage of the research activities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200" w:firstLine="510"/>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during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currently evaluating the accounting treatment for the MyoKardia Collaboration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5,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plan to submit an investigational new drug application, or IND, for FTX-6058, our product candidate for certain hemoglobinopathies, in the third quarter of 2020 and initiate a Phase 1 clinical trial in the fourth quarter of 2020. FTX-6058 is a novel upregulator of fetal hemoglobin.</w:t>
      </w:r>
    </w:p>
    <w:p>
      <w:pPr>
        <w:spacing w:after="0" w:line="18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 24-week treatment period followed by an open label extension. Twelve of the 80 subjects have completed the 24-week treatment period and rolled over to the open label extension portion of the trial.</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a result of the COVID-19 pandemic, we have extended ReDUX4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topline data from approximately 80 subjects in ReDUX4 in the first quarter of 2021, and full data from the study in the second quarter of 2021. We believe that the amendment to the trial provides flexibility to address the challenges presented by the COVID-19 pandemic and supports collection of efficacy and safety data to support continued discussions with health authorities regarding potential registration strategies.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 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 that muscle biopsies within the higher range of DUX4-driven gene expression at baseline may be needed to observe a reduction.</w:t>
      </w:r>
    </w:p>
    <w:p>
      <w:pPr>
        <w:spacing w:after="0" w:line="19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June 2020, we announced plans to evaluate losmapimod as a potential treatment for patients with COVID-19. On June 24, 2020, we announced that we received notification from the U.S. Food and Drug Administration, or FDA, that we may proceed with initiating a Phase 3, randomized, double-blind, placebo-controlled trial of losmapimod in higher risk hospitalized adults with COVID-19, or the LOSVID trial. The LOSVID trial is a Phase 3, international, multicenter trial designed to assess the safety and efficacy of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line="291" w:lineRule="auto"/>
        <w:rPr>
          <w:sz w:val="20"/>
          <w:szCs w:val="20"/>
          <w:color w:val="auto"/>
        </w:rPr>
      </w:pPr>
      <w:r>
        <w:rPr>
          <w:rFonts w:ascii="Arial" w:cs="Arial" w:eastAsia="Arial" w:hAnsi="Arial"/>
          <w:sz w:val="16"/>
          <w:szCs w:val="16"/>
          <w:color w:val="auto"/>
        </w:rPr>
        <w:t>15 mg twice per day oral dose of losmapimod compared to placebo for 14 days on top of standard of care in approximately 400 patients hospitalized with COVID-19 and at risk of progression to critical illness based on older age and elevated systemic inflammation. The primary endpoint of the trial is the proportion of patients who progress to death or respiratory failure by day 28. The trial’s secondary endpoints include clinical status on days seven and 14 as measured on the nine point World Health Organization ordinal scale of COVID-19 severity, total number of study days free of oxygen supplementation, all-cause mortality, length of hospitalization and intensive care unit stay, adverse events and viral clearance. We intend to conduct an interim analysis for futility and sample size re-estimation using an independent data monitoring committee when approximately 50 percent of subjects complete the 28-day visit and we expect such analysis to be conducted in the fourth quarter of 2020. We expect to report topline data in the first quarter of 2021.</w:t>
      </w:r>
    </w:p>
    <w:p>
      <w:pPr>
        <w:spacing w:after="0" w:line="16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On June 9, 2020, we issued and sold 4,029,411 shares of common stock in a private placement at a price of $17.00 per share, resulting in gross proceeds of $68.5 million, before deducting offering costs of approximately $4.2 million.</w:t>
      </w:r>
    </w:p>
    <w:p>
      <w:pPr>
        <w:spacing w:after="0" w:line="170"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6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to the Company during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primarily funded our operations through the issuance of common stock in a private placement and in our initial public offering, or IPO, the issuance of convertible preferred stock and convertible notes, and upfront payments received under our collaboration and license agreements.</w:t>
      </w:r>
    </w:p>
    <w:p>
      <w:pPr>
        <w:spacing w:after="0" w:line="16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$15.7 million and $34.1 million for the three and six months ended June 30, 2020, respectively, and $13.2 million and $50.0 million for the three and six months ended June 30, 2019, respectively. As of June 30, 2020, we had an accumulated deficit of $184.9 million. We expect our expenses and operating losses will increase substantially over the next several years in connection with our ongoing activities, as we:</w:t>
      </w:r>
    </w:p>
    <w:p>
      <w:pPr>
        <w:spacing w:after="0" w:line="84" w:lineRule="exact"/>
        <w:rPr>
          <w:sz w:val="20"/>
          <w:szCs w:val="20"/>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FSHD, and our ongoing Phase 3 clinical trial for the treatment of COVID-19;</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for a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As of June 30, 2020, we had $131.7 million in cash, cash equivalents, and marketable securities. We believe that our existing cash, cash equivalents, and marketable securities as of June 30, 2020, together with the $10.0 million upfront payment and the $2.5 million payment as prepaid research funding received during the third quarter of 2020 under the MyoKardia Collaboration Agreement, will enable us to fund our operating expenses and capital expenditure requirements into the first quarter of 2022. We have based this estimate on assumptions that may prove to be wrong, and we could exhaust our available capital resources sooner than we expect. See “—Liquidity and Capital Resources.”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We are also eligible to receive up to $438.5 million in the aggregate in milestone payments with respect to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research, developmental, clinical, regulatory and sales-related milestones, and tiered royalty payments based on Acceleron’s (and any of its affiliates’ and sublicensees’) annual worldwide net sales of products directed to any identified targets.</w:t>
      </w:r>
    </w:p>
    <w:p>
      <w:pPr>
        <w:spacing w:after="0" w:line="170" w:lineRule="exact"/>
        <w:rPr>
          <w:sz w:val="20"/>
          <w:szCs w:val="20"/>
          <w:color w:val="auto"/>
        </w:rPr>
      </w:pPr>
    </w:p>
    <w:p>
      <w:pPr>
        <w:ind w:right="140" w:firstLine="510"/>
        <w:spacing w:after="0" w:line="276" w:lineRule="auto"/>
        <w:rPr>
          <w:sz w:val="20"/>
          <w:szCs w:val="20"/>
          <w:color w:val="auto"/>
        </w:rPr>
      </w:pPr>
      <w:r>
        <w:rPr>
          <w:rFonts w:ascii="Arial" w:cs="Arial" w:eastAsia="Arial" w:hAnsi="Arial"/>
          <w:sz w:val="17"/>
          <w:szCs w:val="17"/>
          <w:color w:val="auto"/>
        </w:rPr>
        <w:t>For the three and six months ended June 30, 2020, we recognized $2.0 million and $2.8 million, respectively, of collaboration revenue under the Acceleron Collaboration Agreement. For the three and six months ended June 30, 2019, we did not recognize any collaboration revenue as we had not yet entered into the Acceleron Collaboration Agreement. As of June 30, 2020 and December 31, 2019, we have recorded $8.3 million and $10.0 million, respectively, of deferred revenue associated with the Acceleron Collaboration Agreement, which is classified as either current or net of current portion in our consolidated balance sheets based on the period over which the revenue is expected to be recognized. As of June 30, 2020, we had received $0.3 million of cost reimbursement payments and no milestone or royalty payments under the Acceleron Collaboration Agreement. As of June 30, 2020, we recorded unbilled accounts receivable of $0.8 million related to reimbursable research and development costs under the Acceleron Collaboration Agreement for activities performed during the three months ended June 30, 2020.</w:t>
      </w:r>
    </w:p>
    <w:p>
      <w:pPr>
        <w:spacing w:after="0" w:line="17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as we satisfy our performance obligation, and from reimbursement of costs incurred under the Acceleron Collaboration Agreement, and we may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88"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In the future, we also will recognize revenue from the MyoKardia Collaboration Agreement associated with the $10.0 million upfront payment and the $2.5 million payment prepaid research funding that we received in July 2020, and reimbursement of costs incurred under the MyoKardia Collaboration Agreement, and we may generate additional revenue from milestones and royalty payments under the MyoKardia Collaboration Agreement.</w:t>
      </w:r>
    </w:p>
    <w:p>
      <w:pPr>
        <w:spacing w:after="0" w:line="14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880" w:right="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color w:val="auto"/>
        </w:rPr>
        <w:t>primarily of personnel-related expenses, including stock-based compensation expense. We do not track our internal research and development expenses on a program-by-program basis as the resources are deployed across multiple projects.</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and six months ended June 30, 2020 and 2019.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9,766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30,875</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8,231</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12,775</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10,860</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27,257</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45,489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7" w:name="page28"/>
    <w:bookmarkEnd w:id="27"/>
    <w:p>
      <w:pPr>
        <w:ind w:right="10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both FSHD and COVID-19, and FTX-6058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June 30, 2020 and 2019,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12,775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5,149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17,924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13,494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Collaboration revenue was $2.0 million for the three months ended June 30, 2020 under the Acceleron Collaboration Agreement. We did not record any collaboration revenue during the three months ended June 30, 2019. We recognize revenue under the Acceleron Collaboration Agreement based on our pattern of performance related to the identified performance obligation, which is the period over which we will perform research services under the Acceleron Collaboration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Research and development expense increased by $1.9 million from $10.9 million for the three months ended June 30, 2019 to $12.8 million for the three months ended June 30, 2020. The increase in research and development expense was primarily attributable to the following:</w:t>
      </w:r>
    </w:p>
    <w:p>
      <w:pPr>
        <w:spacing w:after="0" w:line="38" w:lineRule="exact"/>
        <w:rPr>
          <w:sz w:val="20"/>
          <w:szCs w:val="20"/>
          <w:color w:val="auto"/>
        </w:rPr>
      </w:pPr>
    </w:p>
    <w:p>
      <w:pPr>
        <w:ind w:left="880" w:right="2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million in increased personnel-related costs due to increased headcount, including $0.7 million of increased stock-based compensation expense; and</w:t>
      </w:r>
    </w:p>
    <w:p>
      <w:pPr>
        <w:spacing w:after="0" w:line="62"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$0.6 million in increased manufacturing costs associated with the production of losmapimod and FTX-6058 to support our ongoing and planned clinical trials.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General and administrative expenses increased by $2.5 million from $2.6 million for the three months ended June 30, 2019 to $5.1 million for the three months ended June 30, 2020. The increase in general and administrative expenses was primarily attributable to the following:</w:t>
      </w:r>
    </w:p>
    <w:p>
      <w:pPr>
        <w:spacing w:after="0" w:line="38" w:lineRule="exact"/>
        <w:rPr>
          <w:sz w:val="20"/>
          <w:szCs w:val="20"/>
          <w:color w:val="auto"/>
        </w:rPr>
      </w:pPr>
    </w:p>
    <w:p>
      <w:pPr>
        <w:ind w:left="880" w:right="20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 million in increased consulting and professional fees, including for legal services, insurance premiums, recruiting, accounting, and tax; and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Other income, net decreased by less than $0.1 million from $0.3 million for the three months ended June 30, 2019 to $0.2 million for the three months ended June 30, 2020. The decrease in other income, net was primarily attributable to a decrease in investment income on our cash, cash equivalents, and marketable securities as a result of an overall decreased rate of return.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six months ended June 30, 2020 and 2019,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(18,232)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Collaboration revenue was $2.8 million for the six months ended June 30, 2020 under the Acceleron Collaboration Agreement. We did not record any collaboration revenue during the six months ended June 30, 2019. We recognize revenue under the Acceleron Collaboration Agreement based on our pattern of performance related to the identified performance obligation, which is the period over which we will perform research services under the Acceleron Collaboration Agreement.</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Research and development expense decreased by $18.2 million from $45.5 million for the six months ended June 30, 2019 to $27.3 million for the six months ended June 30, 2020. The decrease in research and development expense was primarily attributable to a $25.6 million decrease in IPR&amp;D expenses associated with the recognition of the fair value attributable to the right of reference and license agreement with GSK during the six months ended June 30, 2019, partially offset by increases in research and development expenses as a result of the following:</w:t>
      </w:r>
    </w:p>
    <w:p>
      <w:pPr>
        <w:spacing w:after="0" w:line="63" w:lineRule="exact"/>
        <w:rPr>
          <w:sz w:val="20"/>
          <w:szCs w:val="20"/>
          <w:color w:val="auto"/>
        </w:rPr>
      </w:pPr>
    </w:p>
    <w:p>
      <w:pPr>
        <w:ind w:left="880" w:right="3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 million in increased personnel-related costs due to increased headcount, including $1.1 million of increased stock-based compensation expense;</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$2.3 million in increased costs for external clinical activities as we advanced losmapimod into Phase 2b and Phase 2 open label clinical trials for the treatment of FSHD and prepared to advance losmapimod into a Phase 3 clinical trial for the treatment of COVID-19;</w:t>
      </w:r>
    </w:p>
    <w:p>
      <w:pPr>
        <w:spacing w:after="0" w:line="38" w:lineRule="exact"/>
        <w:rPr>
          <w:rFonts w:ascii="Arial" w:cs="Arial" w:eastAsia="Arial" w:hAnsi="Arial"/>
          <w:sz w:val="17"/>
          <w:szCs w:val="17"/>
          <w:color w:val="auto"/>
        </w:rPr>
      </w:pPr>
    </w:p>
    <w:p>
      <w:pPr>
        <w:ind w:left="880" w:right="60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 million in increased manufacturing costs associated with the production of losmapimod and FTX-6058 to support our ongoing and planned clinical trials;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$0.8 million in increased costs for IND-enabling studies for FTX-6058.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General and administrative expenses increased by $5.0 million from $5.2 million for the six months ended June 30, 2019 to $10.2 million for the six months ended June 30, 2020. The increase in general and administrative expenses was primarily attributable to the following:</w:t>
      </w:r>
    </w:p>
    <w:p>
      <w:pPr>
        <w:spacing w:after="0" w:line="38" w:lineRule="exact"/>
        <w:rPr>
          <w:sz w:val="20"/>
          <w:szCs w:val="20"/>
          <w:color w:val="auto"/>
        </w:rPr>
      </w:pPr>
    </w:p>
    <w:p>
      <w:pPr>
        <w:ind w:left="880" w:right="2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million in increased consulting and professional fees, including for legal services, insurance premiums, recruiting, accounting, and tax; and</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 million in increased personnel-related costs, primarily due to increased general and administrative headcount to support the growth of our research and development organization, including $1.0 million of increased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Other income, net decreased by $0.1 million from $0.7 million for the six months ended June 30, 2019 to $0.6 million for the six months ended June 30, 2020.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June 30, 2020, we have primarily funded our operations with aggregate gross proceeds of $290.5 million from the issuance of common stock in a private placement and in our IPO, the issuance of convertible preferred stock and convertible notes, and an upfront payment received under the Acceleron Collaboration Agreement. As of June 30, 2020, we had cash, cash equivalents, and marketable securities of $131.7 million. On July 22, 2019, we completed an IPO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gross proceeds of $68.5 million, before deducting offering costs of $4.2 million. In July 2020, we received $10.0 million upfront payment and $2.5 million payment as prepaid research funding received under the MyoKardia Collaboration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2020 and 2019:</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64,960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(23,169)</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Net cash used in operating activities was $29.3 million during the six months ended June 30, 2020 compared to net cash used in operating activities of $22.0 million during the six months ended June 30, 2019. The increase in net cash used in operating activities of $7.3 million was primarily due to increased personnel-related costs, increased research and development costs as we continue to advance our lead programs, and increased general and administrative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Net cash used in investing activities was $56.6 million during the six months ended June 30, 2020 compared to net cash used in investing activities of $0.6 million during the six months ended June 30, 2019. The increase in net cash used in investing activities of $56.0 million was primarily due to net purchases of marketable securities during the six months ended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Net cash provided by financing activities was $65.0 million during the six months ended June 30, 2020 compared to net cash used in financing activities of $0.6 million during the six months ended June 30, 2019. The increase in net cash provided by financing activities of $65.6 million was primarily due to net proceeds received from the issuance of common stock in a private placement during the six months ended June 30,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Based on our current operating plan, we believe that our existing cash, cash equivalents, and marketable securities as of June 30, 2020, together with the $10.0 million upfront payment and the $2.5 million payment as prepaid research funding received during the third quarter of 2020 under the MyoKardia Collaboration Agreement, will enable us to fund our operating expenses and capital expenditure requirements into the first quarter of 2022. However, we have based this estimate on assumptions that may prove to be wrong and we could exhaust our capital resources sooner than we expect.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880" w:right="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 for the treatment of FSHD, and our ongoing Phase 3 clinical trial of losmapimod for the treatment of COVID-19;</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During the three and six months ended June 30, 2020,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5,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2020, there were no material changes to our critical accounting policies from those described in our Annual Report on Form 10-K filed with the SEC on March 5,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June 30, 2020, we had cash, cash equivalents, and marketable securities of $131.7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8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June 30, 2020, we had minimal or no liabilities denominated in foreign currencies.</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and six months ended June 30, 2020 and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June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2020, our Chief Executive Officer and Chief Operating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Since inception, we have incurred significant operating losses. Our net loss was $82.7 million for the year ended December 31, 2019 and $34.1 million for the six months ended June 30, 2020. As of June 30, 2020, we had an accumulated deficit of $184.9 million. To date, we have primarily funded our operations through the issuance of common stock in a private placement and in our initial public offering, or IPO, the issuance of convertible preferred stock and convertible notes, an upfront payment received under the collaboration and license agreement with Acceleron Pharma Inc., or Acceleron, and an upfront payment received under the collaboration and license agreement, or the MyoKardia Collaboration Agreement, with MyoKardia, Inc., or MyoKardia.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58" w:lineRule="exact"/>
        <w:rPr>
          <w:sz w:val="20"/>
          <w:szCs w:val="20"/>
          <w:color w:val="auto"/>
        </w:rPr>
      </w:pPr>
    </w:p>
    <w:p>
      <w:pPr>
        <w:ind w:left="880" w:right="2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FSHD, and our ongoing Phase 3 clinical trial for the treatment of COVID-19;</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for a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160" w:firstLine="510"/>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880" w:right="3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for the treatment of FSHD and continue our recently initiated Phase 3 clinical trial of losmapimod for the treatment of COVID-19, and prepare for a planned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8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 for the treatment of FSHD, and our ongoing Phase 3 clinical trial of losmapimod for the treatment of COVID-19;</w:t>
      </w:r>
    </w:p>
    <w:p>
      <w:pPr>
        <w:spacing w:after="0" w:line="62"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880" w:hanging="373"/>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As of June 30, 2020, we had cash, cash equivalents, and marketable securities of approximately $131.7 million. We believe that our cash, cash equivalents, and marketable securities as of June 30, 2020, together with the $10.0 million upfront payment and the $2.5 million payment as prepaid research funding received during the third quarter of 2020 under the MyoKardia Collaboration Agreement, will enable us to fund our operating expenses and capital expenditure requirements into the first quarter of 2022.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9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15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ind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The ongoing COVID-19 pandemic may affect our ability to initiate and complete current or future preclinical studies or clinical trials, disrupt regulatory activities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23"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The ongoing COVID-19 pandemic has caused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6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Phase 2b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79"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Additionally, the impact of the COVID-19 outbreak in Massachusetts resulted in a temporary reduction in workforce presence at our Cambridge research facility. While we increased workforce presence at our facilities in the second quarter of 2020, not all employees have returned to our facility and we cannot be certain that we will not be required to close our facilities in the future as a result of the COVID-19 outbreak.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outbreak has on the ability of our contract research organizations to deliver data sets and execute on experimentation could cause substantial delays for our discovery activities and materially impact our ability to fuel our pipeline with new product candidates.</w:t>
      </w:r>
    </w:p>
    <w:p>
      <w:pPr>
        <w:spacing w:after="0" w:line="16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100"/>
        <w:spacing w:after="0" w:line="342" w:lineRule="auto"/>
        <w:rPr>
          <w:sz w:val="20"/>
          <w:szCs w:val="20"/>
          <w:color w:val="auto"/>
        </w:rPr>
      </w:pPr>
      <w:r>
        <w:rPr>
          <w:rFonts w:ascii="Arial" w:cs="Arial" w:eastAsia="Arial" w:hAnsi="Arial"/>
          <w:sz w:val="16"/>
          <w:szCs w:val="16"/>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Previously, we have identified conditions and events that raised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private placement of our common stock and IPO, we believe that our existing cash, cash equivalents, and marketable securities as of June 30, 2020, together with the $10.0 million upfront payment and the $2.5 million payment as prepaid research funding received during the third quarter of 2020 under the MyoKardia Collaboration Agreement, will enable us to fund our operating expenses and capital expenditure requirements into the first quarter of 2022.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include a going concern uncertainty paragraph.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TJCA,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part of Congress’ response to the COVID-19 pandemic, the Families First Coronavirus Response Act, or FFCR Act, was enacted on March 18, 2020, and the Coronavirus Aid, Relief, and Economic Security Act, or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9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possible that Congress will enact additional legislation in connection with the COVID-19 pandemic, some of which could have an impact on our company. In addition, it is uncertain if and to what extent various states will conform to the TCJA, the FFCR Act or the CARES Act.</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62"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As of December 31, 2019, we had federal and state net operating loss carryforwards of $111.6 million and $111.1 million, respectively, which begin to expire in 2035. Approximately $80.6 million of the federal net operating losses can be carried forward indefinitely. As of December 31, 2019, we also had federal and state research and development tax credit carryforwards of $2.8 million and $2.4 million, respectively, which begin to expire in 2035 and 2030, respectively. These net operating loss and tax credit carryforwards could expire unused and be unavailable to offset future income tax liabilities.</w:t>
      </w:r>
    </w:p>
    <w:p>
      <w:pPr>
        <w:spacing w:after="0" w:line="15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firstLine="510"/>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we only have one product candidate in clinical trials. Our other product candidate recently completed IND-enabling studies. If we are unable to commercialize our product candidates or experience significant delays in doing so, our business will be materially harmed.</w:t>
      </w:r>
    </w:p>
    <w:p>
      <w:pPr>
        <w:spacing w:after="0" w:line="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are early in our development efforts, and we have advanced only one candidate into clinical trials, losmapimod for the treatment of facioscapulohumeral muscular dystrophy, or FSHD, and losmapimod for the treatment of COVID-19. FTX-6058, our other product candidate, recently completed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56"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losmapimod for the treatment of patients with COVID-19.</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June 2020, we initiated a Phase 3, randomized, double-blind, placebo-controlled trial of losmapimod in higher risk hospitalized adults with COVID-19. This Phase 3 clinical trial is an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w:t>
      </w:r>
    </w:p>
    <w:p>
      <w:pPr>
        <w:spacing w:after="0" w:line="18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While we have initiated our Phase 3 clinical trial of losmapimod for the treatment of patients with COVID-19, the timing and success of the trial will depend on our ability to reach agreement with clinical trial sites and successfully screen and enroll patients in the trial, which, even if we are able to do, may not be on the timelines we expect. Many other companies are pursuing the development of product candidates for the treatment of COVID-19, and availability of clinical trial sites and patient enrollment may be affected by availability of commercially available treatments and other clinical trials of competing product candidates. Patient enrollment may also be affected by other factors, including the incidence of COVID-19 over time and the perceived risks and benefits of the use of losmapimod as a treatment relative to competing treatments. Our inability to reach agreement with clinical trial sties and/or enroll a sufficient number of patients could result in significant delays or could require us to abandon the trial and development of losmapimod for the treatment of COVID-19 altogether.</w:t>
      </w:r>
    </w:p>
    <w:p>
      <w:pPr>
        <w:spacing w:after="0" w:line="19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COVID-19 pandemic may be effectively contained before we can successfully develop losmapimod as a treatment for COVID-19 and recoup our financial investment in the trial through sales of losmapimod. For example, a vaccine may be developed and available in sufficient quantities to contain the spread of the SARS-CoV-2 virus before we are able to complete our Phase 3 clinical trial. Our commitment of financial resources and personnel to the development of losmapimod for the treatment of COVID-19 may cause delays in or otherwise negatively impact our other development programs and research and discovery efforts with our product engine.</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Additionally, while losmapimod has been previously tested in more than 3,600 subjects, including in clinical trials evaluating the ability of an oral dose of 15 mg twice per day of losmapimod to restore a normal immune response in older patients challenged with a viral antigen, it has not been evaluated as a treatment in the acute infection setting. It is possible that unexpected safety issues, including issues that have not been observed in prior clinical trials of losmapimod, could occur in patients with COVID-19. Any such safety issues could affect our development program for losmapimod for the treatment of FSHD and our ability to obtain marketing approval for losmapimod, including our ability to apply for accelerated approval.</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this trial, we plan to administer losmapimod as an add-on to the current standard of care. The standard of care for COVID-19 patients may change during our trial or following our trial, and the clinical data that we obtain in our Phase 3 clinical trial may not translate to supporting the use of losmapimod as an add-on to a new standard of care.</w:t>
      </w:r>
    </w:p>
    <w:p>
      <w:pPr>
        <w:spacing w:after="0" w:line="1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Given the rapidity of the onset of the COVID-19 pandemic, scientific and medical research on the SARS-CoV-2 virus is ongoing and evolving. We cannot be certain that the preclinical and clinical evidence that we believe suggests that losmapimod may be beneficial to patients with COVID-19 will be established in a clinical trial. Similarly, we cannot be certain that the Phase 3 clinical trial will be sufficient to enable us to obtain marketing approval of losmapimod for the treatment of COVID-19, and we may need to conduct additional clinical trials before we are able to apply for marketing approval. Furthermore, the failure of losmapimod to demonstrate safety and efficacy in patients with COVID-19 could negatively impact the perception of us and losmapimod by investors.</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To date, the evaluation of losmapimod for the treatment of COVID-19 has moved quickly through the FDA regulatory review and approval process. The speed at which all parties are acting to create and test many therapeutics and vaccines for COVID-19 is unusual, and evolving or changing plans or priorities within the FDA, including changes based on new knowledge of COVID-19 and how the disease affects the human body, may significantly affect the regulatory timeline for losmapimod for the treatment of COVID-19.</w:t>
      </w:r>
    </w:p>
    <w:p>
      <w:pPr>
        <w:spacing w:after="0" w:line="18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the future, we may seek to make losmapimod available for the treatment of COVID-19 through an Emergency Use Authorization Program, or the FDA or other government body may request that losmapimod is made available through an Emergency Use Authorization.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losmapimod for the treatment of COVID-19, we would be able to commercialize losmapimod for the treatment of COVID-19 prior to FDA approval of a new drug application, or NDA.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losmapimod for the treatment of COVID-19 is not yet approved by the FDA via an NDA and if we and our manufacturing partners have invested in the supply chain to provide losmapimod for the treatment of COVID-19 under an Emergency Use Authorization.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those subject to our collaborations with Acceleron and MyoKardia,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have one product candidate in clinical development for multiple indications and one product candidate that recently completed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7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firstLine="510"/>
        <w:spacing w:after="0" w:line="289"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or in novel diseases, such as COVID-19, ,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6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880" w:right="2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7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880" w:right="36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880" w:right="10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880" w:right="120" w:hanging="373"/>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880" w:right="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880" w:right="42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880" w:right="2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ind w:right="60" w:firstLine="510"/>
        <w:spacing w:after="0" w:line="308" w:lineRule="auto"/>
        <w:rPr>
          <w:sz w:val="20"/>
          <w:szCs w:val="20"/>
          <w:color w:val="auto"/>
        </w:rPr>
      </w:pPr>
      <w:r>
        <w:rPr>
          <w:rFonts w:ascii="Arial" w:cs="Arial" w:eastAsia="Arial" w:hAnsi="Arial"/>
          <w:sz w:val="17"/>
          <w:szCs w:val="17"/>
          <w:color w:val="auto"/>
        </w:rPr>
        <w:t>For example, in the wake of COVID-19, the clinical trial sites for our Phase 2b clinical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There are currently no therapies approved to treat FSHD or COVID-19,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right="12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40" w:firstLine="510"/>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In light of the recent COVID-19 pandemic, we have also begun to focus some of our research and development efforts to evaluate losmapimod as a potential treatment for COVID-19.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are currently conducting Phase 2b and Phase 2 open label clinical trials of losmapimod in patients with FSHD in Europe, and we plan to conduct additional clinical trials outside the United States, including our Phase 3 clinical trial of losmapimod for the treatment of COVID-19 in Mexico and South America.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 Specifically, the commercial opportunity for losmapimod for the treatment of COVID-19 is uncertain given the novel nature of the disease, the rapidity of the onset of the COVID-19 pandemic, the number of recent entrants in the market and the potential that a vaccine may be developed and available in sufficient quantities to contain the spread of the SARS-CoV-2 virus before we are able to complete our Phase 3 clinical trial.</w:t>
      </w:r>
    </w:p>
    <w:p>
      <w:pPr>
        <w:spacing w:after="0" w:line="2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7" w:name="page48"/>
    <w:bookmarkEnd w:id="47"/>
    <w:p>
      <w:pPr>
        <w:ind w:right="20" w:firstLine="510"/>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right="6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ß-thalassemia. Eli Lilly and Company, Incyte Corporation, Alexion Pharmaceuticals, Inc., InflaRx N.V., OncoImmune, Inc., NeuroRx, Inc., CytoDyn Inc., Vanda Pharmaceuticals, Inc., CTI Biopharma Corp., AstraZeneca PLC, Biohaven Pharmaceutical Holding Company Ltd., Chimerix, Inc., and Novartis AG, are developing immunomodulating therapeutics for the treatment of COVID-19, and other companies, such as Moderna, Inc., BioNTech SE (in collaboration with Pfizer Inc.), Novavax, Inc., AstraZeneca PLC, and CureVac B.V. have COVID-19 vaccine candidates currently in clinical trials.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8" w:name="page49"/>
    <w:bookmarkEnd w:id="48"/>
    <w:p>
      <w:pPr>
        <w:jc w:val="both"/>
        <w:ind w:right="40" w:firstLine="51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2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80" w:firstLine="510"/>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160" w:firstLine="510"/>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currently rely on third-party clinical research organizations to conduct our ongoing Phase 2b, Phase 2 open label and Phase 3 clinical trials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3"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We do not have any manufacturing facilities. Although we believe we have obtained sufficient losmapimod tablets from GSK to complete our ongoing Phase 2 and Phase 3 clinical trials and that we have received a sufficient quantity of losmapimod API to complete further clinical trials in FSHD and COVID-19, we cannot be sure we have correctly estimated our drug product and API requirements or that such drug product or API will not expire before we want to use it. We have also engaged contract manufacturing organizations to prepare our own API and to manufacture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expect to rely on third parties for the manufacture of FTX-6058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160" w:firstLine="51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8" w:lineRule="exact"/>
        <w:rPr>
          <w:sz w:val="20"/>
          <w:szCs w:val="20"/>
          <w:color w:val="auto"/>
        </w:rPr>
      </w:pPr>
    </w:p>
    <w:p>
      <w:pPr>
        <w:ind w:left="880" w:right="90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left="880" w:right="140" w:hanging="373"/>
        <w:spacing w:after="0" w:line="28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880" w:right="60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16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880" w:right="58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0"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the case of both (a) and (b), while we are performing the research activities pursuant to the research plan and for a specified period thereafter.</w:t>
      </w:r>
    </w:p>
    <w:p>
      <w:pPr>
        <w:spacing w:after="0" w:line="184"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firstLine="51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6"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Currently, our patent portfolio related to FTX-6058 is in early stages and comprises three owned pending applications: one U.S. non-provisional application, one PCT application, and one Taiwanese application. We have no issued patents related to FTX-6058 or our SCD or ß-thalassemia programs. In order to continue to pursue protection based on the PCT application, we will need to nationalize this application into corresponding foreign applications prior to the expiration deadline of the PCT application.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6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firstLine="510"/>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20" w:firstLine="510"/>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100"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firstLine="510"/>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hanging="373"/>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880" w:right="840" w:hanging="373"/>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left="880" w:right="3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4" w:name="page65"/>
    <w:bookmarkEnd w:id="64"/>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7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right="180"/>
        <w:spacing w:after="0" w:line="277" w:lineRule="auto"/>
        <w:rPr>
          <w:sz w:val="20"/>
          <w:szCs w:val="20"/>
          <w:color w:val="auto"/>
        </w:rPr>
      </w:pPr>
      <w:r>
        <w:rPr>
          <w:rFonts w:ascii="Arial" w:cs="Arial" w:eastAsia="Arial" w:hAnsi="Arial"/>
          <w:sz w:val="18"/>
          <w:szCs w:val="18"/>
          <w:color w:val="auto"/>
        </w:rPr>
        <w:t>breakthrough therapies, the FDA may later decide that the products no longer meet the conditions for qualification or decide that the time period for FDA review or approval will not be shortened.</w:t>
      </w:r>
    </w:p>
    <w:p>
      <w:pPr>
        <w:spacing w:after="0" w:line="2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7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firstLine="510"/>
        <w:spacing w:after="0" w:line="291"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 clinical trials, marketing authorization, commercial sales and distribution of pharmaceutical products is derived from European Union directives and regulations, Brexit could materially impact the regulatory regime that applies to products and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7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right="520" w:firstLine="510"/>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More recently, on October 9, 2019, the President issued another executive order (“Executive Order on Promoting the Rule of Law Through Improved Agency Guidance Documents”). The order is meant to ensure that agency guidance documents do not establish legally binding requirements and it directs each agency to rescind guidance documents that it determines should no longer be in effect. In response to the COVID-19 pandemic, the Trump administration has indicated that it will take additional actions to provide regulatory relief. If these executive actions impose constraints on FDA’s ability to engage in oversight and implementation activities in the normal course, our business may be negatively impacted.</w:t>
      </w:r>
    </w:p>
    <w:p>
      <w:pPr>
        <w:spacing w:after="0" w:line="2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880" w:right="100" w:hanging="373"/>
        <w:spacing w:after="0" w:line="25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80" w:hanging="373"/>
        <w:spacing w:after="0" w:line="25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880" w:right="6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880" w:right="16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880" w:right="38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8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00" w:firstLine="510"/>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41" w:lineRule="exact"/>
        <w:rPr>
          <w:sz w:val="20"/>
          <w:szCs w:val="20"/>
          <w:color w:val="auto"/>
        </w:rPr>
      </w:pPr>
    </w:p>
    <w:p>
      <w:pPr>
        <w:ind w:left="880" w:right="6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Since the enactment of the ACA, there have been, and continue to be, numerous legal challenges and Congressional actions to repeal and replace provisions of the law. For example, with enactment of the TCJA, which was signed by President Trump on December 22, 2017, Congress repealed the “individual mandate.” The repeal of this provision, which requires most Americans to carry a minimal level of health insurance, will become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6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setting benchmarks for insurers in the individual and small group marketplaces, which may have the effect of relaxing the essential health benefits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ACA for plans sold through such marketplaces. Further, on June 14, 2018, U.S. Court of Appeals for the Federal Circuit ruled that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was not required to pay more than $12 billion in ACA risk corridor payments to third-party payors who argued were owed to them.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decision is under review by the U.S. Supreme Court during its current term. The full effects of this gap in reimbursement on third-party payors, the viability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ACA marketplace, providers, and potentially our business, are not yet known. On November 30, 2018, CMS announced a proposed rule that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 the Medicare Advantage and Medicare Part D prescription drug benefit regulations to reduce out of pocket costs for plan enrollees and allow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Medicare plans to negotiate lower rates for certain drugs. Among other things, the proposed rule changes would allow Medicare Advantage plans to use pre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authorization (PA) and step therapy (ST) for six protected classes of drugs, with certain exceptions; permit plans to implement PA and ST in Medicare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 B drugs; and change the definition of “negotiated prices” as well as add a definition of “price concession” in the regulations. It is unclear whether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proposed changes will be accepted, and if so, what effect such changes will have on our business. Litigation and legislation over the ACA are likely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 with unpredictable and uncertain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firstLine="510"/>
        <w:spacing w:after="0" w:line="288"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On March 2, 2020, that court agreed to hear this case. On June 25, 2020, the Trump administration and a coalition of 18 states asked the court to strike down the entirety of the ACA. Litigation and legislation over the ACA are likely to continue, with unpredictable and uncertain results.</w:t>
      </w:r>
    </w:p>
    <w:p>
      <w:pPr>
        <w:spacing w:after="0" w:line="16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 continues to press for further drug price control measures that could be enacted during the annual budget process or in other future legislation.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Finally, the current presidential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 recently, on July 24, 2020, President Trump issued four executive orders that are intended to lower the costs of prescription drug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products. The first order would require all federally qualified health centers, or FQHCs, to pass on to patients the discounts the health centers receive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insulin and epinephrine through Medicare's 340B Drug Discount Program. The second order would establish an international pricing index that would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price Medicare Part B pays for the costliest medications covered under the program to the lowest price in other economically advanced countries.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President has indicated that this order will be held until August 24, 2020, because the administration may not implement it.</w:t>
      </w:r>
    </w:p>
    <w:p>
      <w:pPr>
        <w:spacing w:after="0" w:line="21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third order is intended to reduce the costs of drugs by supporting the safe importation of prescription drugs. Specifically, the order calls upon HHS to facilitate grants to individuals of waivers of the prohibition of importation of prescription drugs that would allow patients to import FDA approved drug products from abroad, so long as doing so would result in lower costs. In addition, the order would allow wholesalers and pharmacies to re-import both biological drugs and insulin that were originally manufactured in the United States and then exported for international sale. This action follows the publication of a proposed rulemaking on December 23, 2019, that, if finalized, would allow states or certain other non-federal government entities to submit importation program proposals to the FDA for review and approval. Applicants would be required to demonstrate that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2" w:name="page73"/>
    <w:bookmarkEnd w:id="72"/>
    <w:p>
      <w:pPr>
        <w:ind w:firstLine="510"/>
        <w:spacing w:after="0" w:line="255" w:lineRule="auto"/>
        <w:rPr>
          <w:sz w:val="20"/>
          <w:szCs w:val="20"/>
          <w:color w:val="auto"/>
        </w:rPr>
      </w:pPr>
      <w:r>
        <w:rPr>
          <w:rFonts w:ascii="Arial" w:cs="Arial" w:eastAsia="Arial" w:hAnsi="Arial"/>
          <w:sz w:val="18"/>
          <w:szCs w:val="18"/>
          <w:color w:val="auto"/>
        </w:rPr>
        <w:t>Finally, the fourth order would end drug rebates used by health plan sponsors, pharmacies or pharmacy benefit managers, or PBMs, in operating the Medicare Part D program. Specifically, the order directs HHS to exclude from safe harbor protections under the federal anti-kickback statute retroactive price reductions that are not applied at the point-of-sale. Instead, the order requires HHS to establish new safe harbors that would allow health plan sponsors, pharmacies, and PBMs to pass on those discounts to consumers at point-of-sale in order to lower the patient's out-of-pocket costs and permit the use of certain bona fide PBM service fees. Each of these orders directs the federal government to implement the initiatives outlined in the orders, meaning they will not have immediate effects.</w:t>
      </w:r>
    </w:p>
    <w:p>
      <w:pPr>
        <w:spacing w:after="0" w:line="19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1"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3" w:name="page74"/>
    <w:bookmarkEnd w:id="73"/>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As of August 4, 2020, our executive officers and directors and our stockholders who owned more than 5% of our outstanding common stock in the aggregate owned shares representing approximately 57.6%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33" w:lineRule="exact"/>
        <w:rPr>
          <w:sz w:val="20"/>
          <w:szCs w:val="20"/>
          <w:color w:val="auto"/>
        </w:rPr>
      </w:pPr>
    </w:p>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ind w:right="38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880" w:right="76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right="160" w:hanging="373"/>
        <w:spacing w:after="0" w:line="308"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665" w:right="47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can be freely sold in the public market upon issuance, subject to volume limitations applicable to affiliates.</w:t>
      </w: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880" w:right="580" w:hanging="373"/>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beginning with our Annual Report on Form 10-K for the year ending December 31, 2020.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8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Other than as reported in a Current Report on Form 8-K, we did not sell any securities that were not registered under the Securities Act during the three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117"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0"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have used approximately $6.8 million of the net proceeds from the IPO as of June 30, 2020 to fund the clinical development of losmapimod, to advance our pipeline of clinical-stage and preclinical product candidates, and to research and develop additional preclinical product candidates using our platform, and for working capital and other general corporate purposes. We have invested the unused net proceeds from the offering in cash equivalents and marketable securities. There has been no material change in our planned use of the net proceeds from our IPO as described in our final prospectus filed pursuant to Rule 424(b)(4) under the Securities Act with the SEC on July 18,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(c) Total Number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(d) Approximate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(b) 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5800" w:type="dxa"/>
            <w:vAlign w:val="bottom"/>
            <w:gridSpan w:val="3"/>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 Programs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April 1, 2020 through April 30, 2020</w:t>
            </w:r>
          </w:p>
        </w:tc>
        <w:tc>
          <w:tcPr>
            <w:tcW w:w="1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gridSpan w:val="3"/>
          </w:tcPr>
          <w:p>
            <w:pPr>
              <w:spacing w:after="0"/>
              <w:rPr>
                <w:sz w:val="20"/>
                <w:szCs w:val="20"/>
                <w:color w:val="auto"/>
              </w:rPr>
            </w:pPr>
            <w:r>
              <w:rPr>
                <w:rFonts w:ascii="Arial" w:cs="Arial" w:eastAsia="Arial" w:hAnsi="Arial"/>
                <w:sz w:val="18"/>
                <w:szCs w:val="18"/>
                <w:color w:val="auto"/>
              </w:rPr>
              <w:t>May 1, 2020 through May 31, 2020</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 2020 through June 30, 2020</w:t>
            </w: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10,642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38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10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9980" w:type="dxa"/>
            <w:vAlign w:val="bottom"/>
            <w:tcBorders>
              <w:bottom w:val="single" w:sz="8" w:color="0000EE"/>
            </w:tcBorders>
            <w:gridSpan w:val="6"/>
          </w:tcPr>
          <w:p>
            <w:pPr>
              <w:spacing w:after="0" w:line="182"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Securities Purchase Agreement, dated June 9, 2020, by and among the Company and the other parties thereto (incorporated by reference to</w:t>
              </w:r>
            </w:hyperlink>
          </w:p>
        </w:tc>
        <w:tc>
          <w:tcPr>
            <w:tcW w:w="3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Exhibit 10.1 of the Company’s Current Report on Form 8-K (File No. 001-38978) filed with the Securities and Exchange Commission on June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40" w:type="dxa"/>
            <w:vAlign w:val="bottom"/>
            <w:gridSpan w:val="4"/>
          </w:tcPr>
          <w:p>
            <w:pPr>
              <w:ind w:left="120"/>
              <w:spacing w:after="0" w:line="196" w:lineRule="exact"/>
              <w:rPr>
                <w:rFonts w:ascii="Arial" w:cs="Arial" w:eastAsia="Arial" w:hAnsi="Arial"/>
                <w:sz w:val="18"/>
                <w:szCs w:val="18"/>
                <w:color w:val="0000EE"/>
                <w:w w:val="86"/>
              </w:rPr>
            </w:pPr>
            <w:hyperlink r:id="rId104">
              <w:r>
                <w:rPr>
                  <w:rFonts w:ascii="Arial" w:cs="Arial" w:eastAsia="Arial" w:hAnsi="Arial"/>
                  <w:sz w:val="18"/>
                  <w:szCs w:val="18"/>
                  <w:color w:val="0000EE"/>
                  <w:w w:val="86"/>
                </w:rPr>
                <w:t>10, 2020).</w:t>
              </w:r>
            </w:hyperlink>
          </w:p>
        </w:tc>
        <w:tc>
          <w:tcPr>
            <w:tcW w:w="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340" w:type="dxa"/>
            <w:vAlign w:val="bottom"/>
            <w:gridSpan w:val="12"/>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Registration Rights Agreement, dated June 9, 2020, by and among the Company and the other parties thereto (incorporated by reference to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Exhibit 10.2 of the Company’s Current Report on Form 8-K filed (File No. 001-38978) with the Securities and Exchange Commission on June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40" w:type="dxa"/>
            <w:vAlign w:val="bottom"/>
            <w:gridSpan w:val="4"/>
          </w:tcPr>
          <w:p>
            <w:pPr>
              <w:ind w:left="120"/>
              <w:spacing w:after="0" w:line="196" w:lineRule="exact"/>
              <w:rPr>
                <w:rFonts w:ascii="Arial" w:cs="Arial" w:eastAsia="Arial" w:hAnsi="Arial"/>
                <w:sz w:val="18"/>
                <w:szCs w:val="18"/>
                <w:color w:val="0000EE"/>
                <w:w w:val="86"/>
              </w:rPr>
            </w:pPr>
            <w:hyperlink r:id="rId105">
              <w:r>
                <w:rPr>
                  <w:rFonts w:ascii="Arial" w:cs="Arial" w:eastAsia="Arial" w:hAnsi="Arial"/>
                  <w:sz w:val="18"/>
                  <w:szCs w:val="18"/>
                  <w:color w:val="0000EE"/>
                  <w:w w:val="86"/>
                </w:rPr>
                <w:t>10, 2020).</w:t>
              </w:r>
            </w:hyperlink>
          </w:p>
        </w:tc>
        <w:tc>
          <w:tcPr>
            <w:tcW w:w="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Pursuant to Section 302 of the Sarbanes-Oxley Act of 2002.</w:t>
              </w:r>
            </w:hyperlink>
          </w:p>
        </w:tc>
        <w:tc>
          <w:tcPr>
            <w:tcW w:w="6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12"/>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Act of 2002.</w:t>
              </w:r>
            </w:hyperlink>
          </w:p>
        </w:tc>
        <w:tc>
          <w:tcPr>
            <w:tcW w:w="9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of 2002.</w:t>
              </w:r>
            </w:hyperlink>
          </w:p>
        </w:tc>
        <w:tc>
          <w:tcPr>
            <w:tcW w:w="97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9"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color w:val="auto"/>
              </w:rPr>
              <w:t>FULCRUM THERAPEUTICS, INC.</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August 11, 2020</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r>
      <w:tr>
        <w:trPr>
          <w:trHeight w:val="222"/>
        </w:trPr>
        <w:tc>
          <w:tcPr>
            <w:tcW w:w="3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0"/>
              </w:rPr>
              <w:t>Robert J. Gould, Ph.D.</w:t>
            </w:r>
          </w:p>
        </w:tc>
      </w:tr>
      <w:tr>
        <w:trPr>
          <w:trHeight w:val="230"/>
        </w:trPr>
        <w:tc>
          <w:tcPr>
            <w:tcW w:w="3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August 11, 2020</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4"/>
        </w:trPr>
        <w:tc>
          <w:tcPr>
            <w:tcW w:w="3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bl>
    <w:p>
      <w:pPr>
        <w:ind w:left="6520"/>
        <w:spacing w:after="0"/>
        <w:rPr>
          <w:sz w:val="20"/>
          <w:szCs w:val="20"/>
          <w:color w:val="auto"/>
        </w:rPr>
      </w:pPr>
      <w:r>
        <w:rPr>
          <w:rFonts w:ascii="Arial" w:cs="Arial" w:eastAsia="Arial" w:hAnsi="Arial"/>
          <w:sz w:val="18"/>
          <w:szCs w:val="18"/>
          <w:color w:val="auto"/>
        </w:rPr>
        <w:t>Chief Operating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82"/>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11, 2020</w:t>
            </w:r>
          </w:p>
        </w:tc>
        <w:tc>
          <w:tcPr>
            <w:tcW w:w="7040" w:type="dxa"/>
            <w:vAlign w:val="bottom"/>
            <w:gridSpan w:val="2"/>
          </w:tcPr>
          <w:p>
            <w:pPr>
              <w:ind w:left="2560"/>
              <w:spacing w:after="0"/>
              <w:rPr>
                <w:sz w:val="20"/>
                <w:szCs w:val="20"/>
                <w:color w:val="auto"/>
              </w:rPr>
            </w:pPr>
            <w:r>
              <w:rPr>
                <w:rFonts w:ascii="Arial" w:cs="Arial" w:eastAsia="Arial" w:hAnsi="Arial"/>
                <w:sz w:val="18"/>
                <w:szCs w:val="18"/>
                <w:color w:val="auto"/>
              </w:rPr>
              <w:t>By: /s/ Robert J. Gould</w:t>
            </w:r>
          </w:p>
        </w:tc>
      </w:tr>
      <w:tr>
        <w:trPr>
          <w:trHeight w:val="195"/>
        </w:trPr>
        <w:tc>
          <w:tcPr>
            <w:tcW w:w="4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11, 2020</w:t>
            </w:r>
          </w:p>
        </w:tc>
        <w:tc>
          <w:tcPr>
            <w:tcW w:w="7040" w:type="dxa"/>
            <w:vAlign w:val="bottom"/>
            <w:gridSpan w:val="2"/>
          </w:tcPr>
          <w:p>
            <w:pPr>
              <w:ind w:left="2560"/>
              <w:spacing w:after="0"/>
              <w:rPr>
                <w:sz w:val="20"/>
                <w:szCs w:val="20"/>
                <w:color w:val="auto"/>
              </w:rPr>
            </w:pPr>
            <w:r>
              <w:rPr>
                <w:rFonts w:ascii="Arial" w:cs="Arial" w:eastAsia="Arial" w:hAnsi="Arial"/>
                <w:sz w:val="18"/>
                <w:szCs w:val="18"/>
                <w:color w:val="auto"/>
              </w:rPr>
              <w:t>By: /s/ Bryan Stuart</w:t>
            </w:r>
          </w:p>
        </w:tc>
      </w:tr>
      <w:tr>
        <w:trPr>
          <w:trHeight w:val="195"/>
        </w:trPr>
        <w:tc>
          <w:tcPr>
            <w:tcW w:w="4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June 30, 2020,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In connection with the Quarterly Report on Form 10-Q of Fulcrum Therapeutics, Inc. (the “Company”) for the period ended June 30, 2020,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780" w:hanging="262"/>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04" Type="http://schemas.openxmlformats.org/officeDocument/2006/relationships/hyperlink" Target="http://www.sec.gov/Archives/edgar/data/1680581/000119312520165696/d857108dex101.htm" TargetMode="External"/><Relationship Id="rId105" Type="http://schemas.openxmlformats.org/officeDocument/2006/relationships/hyperlink" Target="http://www.sec.gov/Archives/edgar/data/1680581/000119312520165696/d85710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2020-08-11T06:33:17Z</dcterms:created>
  <dcterms:modified xsi:type="dcterms:W3CDTF">2020-08-11T06:33:17Z</dcterms:modified>
</cp:coreProperties>
</file>