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5884ds3.htm"/>
        <w:bookmarkStart w:id="1" w:name="ksd785884ds3"/>
        <w:bookmarkEnd w:id="0"/>
        <w:bookmarkEnd w:id="1"/>
        <w:r>
          <w:rPr>
            <w:rStyle w:val="InternetLink"/>
          </w:rPr>
          <w:t>Table of Contents</w:t>
        </w:r>
      </w:hyperlink>
    </w:p>
    <w:p>
      <w:pPr>
        <w:pStyle w:val="TextBody"/>
        <w:bidi w:val="0"/>
        <w:spacing w:before="0" w:after="0"/>
        <w:jc w:val="center"/>
        <w:rPr>
          <w:rFonts w:ascii="Times New Roman" w:hAnsi="Times New Roman"/>
          <w:b/>
          <w:sz w:val="19"/>
        </w:rPr>
      </w:pPr>
      <w:r>
        <w:rPr>
          <w:rFonts w:ascii="Times New Roman" w:hAnsi="Times New Roman"/>
          <w:b/>
          <w:sz w:val="19"/>
        </w:rPr>
        <w:t xml:space="preserve">As filed with the Securities and Exchange Commission on February 27, 2024 </w:t>
      </w:r>
    </w:p>
    <w:p>
      <w:pPr>
        <w:pStyle w:val="TextBody"/>
        <w:bidi w:val="0"/>
        <w:spacing w:before="0" w:after="0"/>
        <w:jc w:val="right"/>
        <w:rPr>
          <w:rFonts w:ascii="Times New Roman" w:hAnsi="Times New Roman"/>
          <w:b/>
          <w:sz w:val="19"/>
        </w:rPr>
      </w:pPr>
      <w:r>
        <w:rPr>
          <w:rFonts w:ascii="Times New Roman" w:hAnsi="Times New Roman"/>
          <w:b/>
          <w:sz w:val="19"/>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36"/>
        </w:rPr>
      </w:pPr>
      <w:r>
        <w:rPr>
          <w:rFonts w:ascii="Times New Roman" w:hAnsi="Times New Roman"/>
          <w:b/>
          <w:sz w:val="36"/>
        </w:rPr>
        <w:t xml:space="preserve">FULCRUM THERAPEUTICS, INC. </w:t>
      </w:r>
    </w:p>
    <w:p>
      <w:pPr>
        <w:pStyle w:val="TextBody"/>
        <w:bidi w:val="0"/>
        <w:spacing w:before="0" w:after="0"/>
        <w:jc w:val="center"/>
        <w:rPr>
          <w:rFonts w:ascii="Times New Roman" w:hAnsi="Times New Roman"/>
          <w:b/>
          <w:sz w:val="19"/>
        </w:rPr>
      </w:pPr>
      <w:r>
        <w:rPr>
          <w:rFonts w:ascii="Times New Roman" w:hAnsi="Times New Roman"/>
          <w:b/>
          <w:sz w:val="19"/>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47-4839948</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40" w:after="0"/>
        <w:jc w:val="center"/>
        <w:rPr>
          <w:rFonts w:ascii="Times New Roman" w:hAnsi="Times New Roman"/>
          <w:b/>
          <w:sz w:val="19"/>
        </w:rPr>
      </w:pPr>
      <w:r>
        <w:rPr>
          <w:rFonts w:ascii="Times New Roman" w:hAnsi="Times New Roman"/>
          <w:b/>
          <w:sz w:val="19"/>
        </w:rPr>
        <w:t xml:space="preserve">26 Landsdowne Street </w:t>
      </w:r>
    </w:p>
    <w:p>
      <w:pPr>
        <w:pStyle w:val="TextBody"/>
        <w:bidi w:val="0"/>
        <w:spacing w:before="0" w:after="0"/>
        <w:jc w:val="center"/>
        <w:rPr>
          <w:rFonts w:ascii="Times New Roman" w:hAnsi="Times New Roman"/>
          <w:b/>
          <w:sz w:val="19"/>
        </w:rPr>
      </w:pPr>
      <w:r>
        <w:rPr>
          <w:rFonts w:ascii="Times New Roman" w:hAnsi="Times New Roman"/>
          <w:b/>
          <w:sz w:val="19"/>
        </w:rPr>
        <w:t xml:space="preserve">Cambridge, Massachusetts 02139 </w:t>
      </w:r>
    </w:p>
    <w:p>
      <w:pPr>
        <w:pStyle w:val="TextBody"/>
        <w:bidi w:val="0"/>
        <w:spacing w:before="0" w:after="0"/>
        <w:jc w:val="center"/>
        <w:rPr>
          <w:rFonts w:ascii="Times New Roman" w:hAnsi="Times New Roman"/>
          <w:b/>
          <w:sz w:val="19"/>
        </w:rPr>
      </w:pPr>
      <w:r>
        <w:rPr>
          <w:rFonts w:ascii="Times New Roman" w:hAnsi="Times New Roman"/>
          <w:b/>
          <w:sz w:val="19"/>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9"/>
        </w:rPr>
      </w:pPr>
      <w:r>
        <w:rPr>
          <w:rFonts w:ascii="Times New Roman" w:hAnsi="Times New Roman"/>
          <w:b/>
          <w:sz w:val="19"/>
        </w:rPr>
        <w:t xml:space="preserve">Alex C. Sapir </w:t>
      </w:r>
    </w:p>
    <w:p>
      <w:pPr>
        <w:pStyle w:val="TextBody"/>
        <w:bidi w:val="0"/>
        <w:spacing w:before="0" w:after="0"/>
        <w:jc w:val="center"/>
        <w:rPr>
          <w:rFonts w:ascii="Times New Roman" w:hAnsi="Times New Roman"/>
          <w:b/>
          <w:sz w:val="19"/>
        </w:rPr>
      </w:pPr>
      <w:r>
        <w:rPr>
          <w:rFonts w:ascii="Times New Roman" w:hAnsi="Times New Roman"/>
          <w:b/>
          <w:sz w:val="19"/>
        </w:rPr>
        <w:t xml:space="preserve">President and Chief Executive Officer </w:t>
      </w:r>
    </w:p>
    <w:p>
      <w:pPr>
        <w:pStyle w:val="TextBody"/>
        <w:bidi w:val="0"/>
        <w:spacing w:before="0" w:after="0"/>
        <w:jc w:val="center"/>
        <w:rPr>
          <w:rFonts w:ascii="Times New Roman" w:hAnsi="Times New Roman"/>
          <w:b/>
          <w:sz w:val="19"/>
        </w:rPr>
      </w:pPr>
      <w:r>
        <w:rPr>
          <w:rFonts w:ascii="Times New Roman" w:hAnsi="Times New Roman"/>
          <w:b/>
          <w:sz w:val="19"/>
        </w:rPr>
        <w:t xml:space="preserve">Fulcrum Therapeutics, Inc. </w:t>
      </w:r>
    </w:p>
    <w:p>
      <w:pPr>
        <w:pStyle w:val="TextBody"/>
        <w:bidi w:val="0"/>
        <w:spacing w:before="0" w:after="0"/>
        <w:jc w:val="center"/>
        <w:rPr>
          <w:rFonts w:ascii="Times New Roman" w:hAnsi="Times New Roman"/>
          <w:b/>
          <w:sz w:val="19"/>
        </w:rPr>
      </w:pPr>
      <w:r>
        <w:rPr>
          <w:rFonts w:ascii="Times New Roman" w:hAnsi="Times New Roman"/>
          <w:b/>
          <w:sz w:val="19"/>
        </w:rPr>
        <w:t xml:space="preserve">26 Landsdowne Street </w:t>
      </w:r>
    </w:p>
    <w:p>
      <w:pPr>
        <w:pStyle w:val="TextBody"/>
        <w:bidi w:val="0"/>
        <w:spacing w:before="0" w:after="0"/>
        <w:jc w:val="center"/>
        <w:rPr>
          <w:rFonts w:ascii="Times New Roman" w:hAnsi="Times New Roman"/>
          <w:b/>
          <w:sz w:val="19"/>
        </w:rPr>
      </w:pPr>
      <w:r>
        <w:rPr>
          <w:rFonts w:ascii="Times New Roman" w:hAnsi="Times New Roman"/>
          <w:b/>
          <w:sz w:val="19"/>
        </w:rPr>
        <w:t xml:space="preserve">Cambridge, Massachusetts 02139 </w:t>
      </w:r>
    </w:p>
    <w:p>
      <w:pPr>
        <w:pStyle w:val="TextBody"/>
        <w:bidi w:val="0"/>
        <w:spacing w:before="0" w:after="0"/>
        <w:jc w:val="center"/>
        <w:rPr>
          <w:rFonts w:ascii="Times New Roman" w:hAnsi="Times New Roman"/>
          <w:b/>
          <w:sz w:val="19"/>
        </w:rPr>
      </w:pPr>
      <w:r>
        <w:rPr>
          <w:rFonts w:ascii="Times New Roman" w:hAnsi="Times New Roman"/>
          <w:b/>
          <w:sz w:val="19"/>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9"/>
              </w:rPr>
            </w:pPr>
            <w:r>
              <w:rPr>
                <w:rFonts w:ascii="Times New Roman" w:hAnsi="Times New Roman"/>
                <w:b/>
                <w:sz w:val="19"/>
              </w:rPr>
              <w:t>Mitchell Bloom, Esq.</w:t>
            </w:r>
          </w:p>
          <w:p>
            <w:pPr>
              <w:pStyle w:val="TableContents"/>
              <w:bidi w:val="0"/>
              <w:spacing w:before="0" w:after="0"/>
              <w:jc w:val="center"/>
              <w:rPr>
                <w:rFonts w:ascii="Times New Roman" w:hAnsi="Times New Roman"/>
                <w:b/>
                <w:sz w:val="19"/>
              </w:rPr>
            </w:pPr>
            <w:r>
              <w:rPr>
                <w:rFonts w:ascii="Times New Roman" w:hAnsi="Times New Roman"/>
                <w:b/>
                <w:sz w:val="19"/>
              </w:rPr>
              <w:t>Marianne Sarrazin, Esq.</w:t>
            </w:r>
          </w:p>
          <w:p>
            <w:pPr>
              <w:pStyle w:val="TableContents"/>
              <w:bidi w:val="0"/>
              <w:spacing w:before="0" w:after="0"/>
              <w:jc w:val="center"/>
              <w:rPr>
                <w:rFonts w:ascii="Times New Roman" w:hAnsi="Times New Roman"/>
                <w:b/>
                <w:sz w:val="19"/>
              </w:rPr>
            </w:pPr>
            <w:r>
              <w:rPr>
                <w:rFonts w:ascii="Times New Roman" w:hAnsi="Times New Roman"/>
                <w:b/>
                <w:sz w:val="19"/>
              </w:rPr>
              <w:t>Goodwin Procter LLP</w:t>
            </w:r>
          </w:p>
          <w:p>
            <w:pPr>
              <w:pStyle w:val="TableContents"/>
              <w:bidi w:val="0"/>
              <w:spacing w:before="0" w:after="0"/>
              <w:jc w:val="center"/>
              <w:rPr>
                <w:rFonts w:ascii="Times New Roman" w:hAnsi="Times New Roman"/>
                <w:b/>
                <w:sz w:val="19"/>
              </w:rPr>
            </w:pPr>
            <w:r>
              <w:rPr>
                <w:rFonts w:ascii="Times New Roman" w:hAnsi="Times New Roman"/>
                <w:b/>
                <w:sz w:val="19"/>
              </w:rPr>
              <w:t>100 Northern Avenue</w:t>
            </w:r>
          </w:p>
          <w:p>
            <w:pPr>
              <w:pStyle w:val="TableContents"/>
              <w:bidi w:val="0"/>
              <w:spacing w:before="0" w:after="0"/>
              <w:jc w:val="center"/>
              <w:rPr>
                <w:rFonts w:ascii="Times New Roman" w:hAnsi="Times New Roman"/>
                <w:b/>
                <w:sz w:val="19"/>
              </w:rPr>
            </w:pPr>
            <w:r>
              <w:rPr>
                <w:rFonts w:ascii="Times New Roman" w:hAnsi="Times New Roman"/>
                <w:b/>
                <w:sz w:val="19"/>
              </w:rPr>
              <w:t>Boston, Massachusetts 02210</w:t>
            </w:r>
          </w:p>
          <w:p>
            <w:pPr>
              <w:pStyle w:val="TableContents"/>
              <w:bidi w:val="0"/>
              <w:spacing w:before="0" w:after="20"/>
              <w:jc w:val="center"/>
              <w:rPr>
                <w:rFonts w:ascii="Times New Roman" w:hAnsi="Times New Roman"/>
                <w:b/>
                <w:sz w:val="19"/>
              </w:rPr>
            </w:pPr>
            <w:r>
              <w:rPr>
                <w:rFonts w:ascii="Times New Roman" w:hAnsi="Times New Roman"/>
                <w:b/>
                <w:sz w:val="19"/>
              </w:rPr>
              <w:t>(617) 570-1000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9"/>
              </w:rPr>
            </w:pPr>
            <w:r>
              <w:rPr>
                <w:rFonts w:ascii="Times New Roman" w:hAnsi="Times New Roman"/>
                <w:b/>
                <w:sz w:val="19"/>
              </w:rPr>
              <w:t>Curtis Oltmans, Esq.</w:t>
            </w:r>
          </w:p>
          <w:p>
            <w:pPr>
              <w:pStyle w:val="TableContents"/>
              <w:bidi w:val="0"/>
              <w:spacing w:before="0" w:after="0"/>
              <w:jc w:val="center"/>
              <w:rPr>
                <w:rFonts w:ascii="Times New Roman" w:hAnsi="Times New Roman"/>
                <w:b/>
                <w:sz w:val="19"/>
              </w:rPr>
            </w:pPr>
            <w:r>
              <w:rPr>
                <w:rFonts w:ascii="Times New Roman" w:hAnsi="Times New Roman"/>
                <w:b/>
                <w:sz w:val="19"/>
              </w:rPr>
              <w:t>Chief Legal Officer</w:t>
            </w:r>
          </w:p>
          <w:p>
            <w:pPr>
              <w:pStyle w:val="TableContents"/>
              <w:bidi w:val="0"/>
              <w:spacing w:before="0" w:after="0"/>
              <w:jc w:val="center"/>
              <w:rPr>
                <w:rFonts w:ascii="Times New Roman" w:hAnsi="Times New Roman"/>
                <w:b/>
                <w:sz w:val="19"/>
              </w:rPr>
            </w:pPr>
            <w:r>
              <w:rPr>
                <w:rFonts w:ascii="Times New Roman" w:hAnsi="Times New Roman"/>
                <w:b/>
                <w:sz w:val="19"/>
              </w:rPr>
              <w:t>Fulcrum Therapeutics, Inc.</w:t>
            </w:r>
          </w:p>
          <w:p>
            <w:pPr>
              <w:pStyle w:val="TableContents"/>
              <w:bidi w:val="0"/>
              <w:spacing w:before="0" w:after="0"/>
              <w:jc w:val="center"/>
              <w:rPr>
                <w:rFonts w:ascii="Times New Roman" w:hAnsi="Times New Roman"/>
                <w:b/>
                <w:sz w:val="19"/>
              </w:rPr>
            </w:pPr>
            <w:r>
              <w:rPr>
                <w:rFonts w:ascii="Times New Roman" w:hAnsi="Times New Roman"/>
                <w:b/>
                <w:sz w:val="19"/>
              </w:rPr>
              <w:t>26 Landsdowne Street</w:t>
            </w:r>
          </w:p>
          <w:p>
            <w:pPr>
              <w:pStyle w:val="TableContents"/>
              <w:bidi w:val="0"/>
              <w:spacing w:before="0" w:after="0"/>
              <w:jc w:val="center"/>
              <w:rPr>
                <w:rFonts w:ascii="Times New Roman" w:hAnsi="Times New Roman"/>
                <w:b/>
                <w:sz w:val="19"/>
              </w:rPr>
            </w:pPr>
            <w:r>
              <w:rPr>
                <w:rFonts w:ascii="Times New Roman" w:hAnsi="Times New Roman"/>
                <w:b/>
                <w:sz w:val="19"/>
              </w:rPr>
              <w:t>Cambridge, Massachusetts 02139</w:t>
            </w:r>
          </w:p>
          <w:p>
            <w:pPr>
              <w:pStyle w:val="TableContents"/>
              <w:bidi w:val="0"/>
              <w:spacing w:before="0" w:after="20"/>
              <w:jc w:val="center"/>
              <w:rPr>
                <w:rFonts w:ascii="Times New Roman" w:hAnsi="Times New Roman"/>
                <w:b/>
                <w:sz w:val="19"/>
              </w:rPr>
            </w:pPr>
            <w:r>
              <w:rPr>
                <w:rFonts w:ascii="Times New Roman" w:hAnsi="Times New Roman"/>
                <w:b/>
                <w:sz w:val="19"/>
              </w:rPr>
              <w:t>(617) 651-8851</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8"/>
        </w:rPr>
      </w:pPr>
      <w:r>
        <w:rPr>
          <w:rFonts w:ascii="Times New Roman" w:hAnsi="Times New Roman"/>
          <w:b/>
          <w:sz w:val="18"/>
        </w:rPr>
        <w:t xml:space="preserve">Approximate date of commencement of proposed sale to the public: </w:t>
      </w:r>
      <w:r>
        <w:rPr>
          <w:rFonts w:ascii="Times New Roman" w:hAnsi="Times New Roman"/>
          <w:sz w:val="18"/>
        </w:rPr>
        <w:t xml:space="preserve">From time to time after this registration statement becomes effective. </w:t>
      </w:r>
    </w:p>
    <w:p>
      <w:pPr>
        <w:pStyle w:val="TextBody"/>
        <w:bidi w:val="0"/>
        <w:spacing w:before="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3"/>
        <w:gridCol w:w="4836"/>
        <w:gridCol w:w="120"/>
        <w:gridCol w:w="2645"/>
        <w:gridCol w:w="103"/>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covering the offering, issuance and sale by the registrant of the registrants debt securities, common stock, preferred stock, depositary shares, units and/or warrants from time to time in one or more offerings with a total value up to $350,000,000.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at the market offering prospectus covering the offering, issuance and sale by the registrant of up to $100,000,000 of the registrants common stock that may be issued and sold from time to time under the Controlled Equity OfferingSM Sales Agreement, or the sales agreement, with Cantor Fitzgerald &amp; Co. and Stifel, Nicolaus &amp; Company, Incorporated.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a prospectus supplement to the base prospectus. The at the market offering prospectus immediately follows the base prospectus. Upon termination of the sales agreement or suspension or termination of the at the market offering prospectus, any amounts included in that prospectus that remain unsold will be available for sale in other offerings pursuant to the base prospectus and a corresponding prospectus supplement, and if no shares are sold under the sales agreement, the full $100,000,000 of securities may be sold in other offerings pursuant to the base prospectus and a corresponding prospectus supplement.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and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FEBRUARY 27, 2024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 cy="7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3850" cy="793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$350,000,000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up to an aggregate value of $350,000,000.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in amounts, at prices and on terms determined at the time of offering and which will be set forth in a prospectus supplement to this prospectus and any related free writing prospectus.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FULC. On February 26, 2024, the closing price for our common stock, as reported on The Nasdaq Global Market, was $9.73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1"/>
        <w:gridCol w:w="62"/>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1"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4">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5">
              <w:r>
                <w:rPr>
                  <w:rStyle w:val="InternetLink"/>
                  <w:rFonts w:ascii="Times New Roman" w:hAnsi="Times New Roman"/>
                  <w:sz w:val="20"/>
                </w:rPr>
                <w:t>CAUTIONARY NOTE REGARDING FORWARD-LOOKING STATEMENTS AND INDUSTRY DATA</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6">
              <w:r>
                <w:rPr>
                  <w:rStyle w:val="InternetLink"/>
                  <w:rFonts w:ascii="Times New Roman" w:hAnsi="Times New Roman"/>
                  <w:sz w:val="20"/>
                </w:rPr>
                <w:t>ABOUT FULCRUM THERAPEUTICS, INC.</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9">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0">
              <w:r>
                <w:rPr>
                  <w:rStyle w:val="InternetLink"/>
                  <w:rFonts w:ascii="Times New Roman" w:hAnsi="Times New Roman"/>
                  <w:sz w:val="20"/>
                </w:rPr>
                <w:t>DESCRIPTION OF DEPOSITARY SHARES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2">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3">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4">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310" w:type="dxa"/>
            <w:tcBorders/>
          </w:tcPr>
          <w:p>
            <w:pPr>
              <w:pStyle w:val="TableContents"/>
              <w:bidi w:val="0"/>
              <w:spacing w:before="0" w:after="0"/>
              <w:jc w:val="left"/>
              <w:rPr/>
            </w:pPr>
            <w:hyperlink w:anchor="txa785884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a78588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$350,000,000.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No offer of these securities will be made in any jurisdiction where the offer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we, our and us refer, collectively, to Fulcrum Therapeutics, Inc., a Delaware corporation, and its consolidated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a785884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and uncertainties described under Risk Factors in our most recent Annual Report on Form 10-K and in our most recent Quarterly Report on Form 10-Q, as well as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a785884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 </w:t>
      </w:r>
    </w:p>
    <w:p>
      <w:pPr>
        <w:pStyle w:val="TextBody"/>
        <w:bidi w:val="0"/>
        <w:spacing w:before="480" w:after="0"/>
        <w:jc w:val="center"/>
        <w:rPr>
          <w:rFonts w:ascii="Times New Roman" w:hAnsi="Times New Roman"/>
          <w:b/>
          <w:sz w:val="20"/>
        </w:rPr>
      </w:pPr>
      <w:bookmarkStart w:id="6" w:name="txa785884_4"/>
      <w:bookmarkEnd w:id="6"/>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2023 filed on February 27,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4">
              <w:r>
                <w:rPr>
                  <w:rStyle w:val="InternetLink"/>
                  <w:rFonts w:ascii="Times New Roman" w:hAnsi="Times New Roman"/>
                  <w:sz w:val="20"/>
                  <w:u w:val="single"/>
                </w:rPr>
                <w:t>Form 8-A</w:t>
              </w:r>
            </w:hyperlink>
            <w:r>
              <w:rPr>
                <w:rFonts w:ascii="Times New Roman" w:hAnsi="Times New Roman"/>
                <w:sz w:val="20"/>
              </w:rPr>
              <w:t xml:space="preserve"> filed on July  12, 2019, as the description therein has been updated and superseded by the description of our capital stock contained in </w:t>
            </w:r>
            <w:hyperlink r:id="rId5">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2020,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651-8851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a785884_5"/>
      <w:bookmarkEnd w:id="7"/>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a785884_6"/>
      <w:bookmarkEnd w:id="8"/>
      <w:r>
        <w:rPr>
          <w:rFonts w:ascii="Times New Roman" w:hAnsi="Times New Roman"/>
          <w:b/>
          <w:sz w:val="20"/>
        </w:rPr>
        <w:t xml:space="preserve">ABOUT FULCRUM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clinical-stage product candidate is pociredir, formerly known as FTX-6058, which is being developed for the potential treatment of sickle cell disease, or SCD. We initiated REACH, a randomized, double-blind, placebo-controlled, multi-national Phase 3 clinical trial of losmapimod in the second quarter of 2022 and we completed enrollment during September 2023. The trial enrolled 260 patients. We expect to report topline data from REACH in the fourth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U.S. Food and Drug Administration placed a full clinical hold on the Investigational New Drug application for pociredir for SCD, which was lifted in August 2023. The Phase 1b clinical trial is being re-initiated at the 12 mg once daily dose level, with that cohort expected to enroll approximately 10 patients, and will be followed by an additional cohort of approximately 10 patients at the 20 mg once daily dose level. Following the clinical hold, we amended the protocol to revise the inclusion and exclusion criteria for the Phase 1b clinical trial to target patients with higher disease severity.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product candidate development, we have developed a drug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 and  symbols, but we will assert, to the fullest extent under applicable law, our rights to our trademarks, service 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xa785884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and potential acquisition of, or investment in, companies, technologies, products or assets that complement our business.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xa785884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which may be senior or subordinated. We refer to the senior debt securities and the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prospectus supplement for each offering will provide the following terms,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or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of the series is payable;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debt securities of the series shall bear interest or the manner of calculation of such rate or rates,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such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debt securities of the series may be redeemed, converted or exchanged,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including the form of the Certificate of Authentication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one thousand U.S. dollars ($1,000) or any integral multiple of $1,000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events of default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covenants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or alternative provisions, if any, related to defeasance and discharge of the offered debt securities than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insofar as it applies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without the consent of the holders of any outstanding debt securities, (i) consolidate with, (ii) sell, lease or convey all or substantially all of our assets to, or (iii)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or other securities of ours deliverable upon conversion or exchange of those debt securities would have been entitled had such conversion or exchange occurred immediately prior to such consolidation, merger, sale, conveyance, transfer or other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applicable trustee.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any debt security of such series continuing for 90 days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on, any debt security of such series when due and payable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or warranty in the debt securities or in the indenture by us continuing for 90 days after written notice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insolvency or reorganization, or court appointment of a receiver, liquidator or trustee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interest and, to the extent permitted by law, interest on overdue installment of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that officer has knowledge of any event of default under the applicable indenture. If the officer has knowledge of any event of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applicable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applicable indenture or in the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covenant described above under  Merger, Consolidation or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applicable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notes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applicable indenture by a successor trustee or to appoint a separate trustee with respect to any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or any successor in connection with the qualification of the indenture under the Trust Indenture Act of 1939, as amended, or the Trust Indenture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Payment by us of the principal of, premium, if any, and interest on any series of subordinated debt securities issued under the subordinated indenture will be subordinated to the extent set forth in an indenture supplemental to the subordinated indenture relating to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indentures allow us to discharge our obligations (except for certain specified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(except for certain specified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other securities of ours will be set forth in the applicable prospectus supplement. The terms will include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a785884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and provisions of our certificate of incorporation and bylaws are summaries. You should also refer to the restated certificate of incorporation, as amended, and the amended and restated bylaws, which are filed as exhibits to the registration statement of which this prospectus is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our common stock, par value $0.001 per share, and 5,000,000 shares of our preferred stock, par value $0.001 per share, all of which preferred stock is undesignated.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elected to offer depositary shares as described under Description of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before="240" w:after="0"/>
        <w:jc w:val="left"/>
        <w:rPr>
          <w:rFonts w:ascii="Times New Roman" w:hAnsi="Times New Roman"/>
          <w:sz w:val="20"/>
        </w:rPr>
      </w:pPr>
      <w:r>
        <w:rPr>
          <w:rFonts w:ascii="Times New Roman" w:hAnsi="Times New Roman"/>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shares of our capital stock pursuant to conversion provisions specified in the applicable prospectus supplement. Notwithstanding the foregoing, we will not redeem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Anti-Takeover Law and Certain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limitations on the ability of our stockholders to remove directors, change the authorized number of directors and fill vacancies could make it more difficult for a third party to acquire, or discourage a third party from seeking to acquire, control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Special Meeting of Stockholders; 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Voting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the Exchange Act or any other claim for which the federal courts have exclusive jurisdiction. Although our certificate of incorporation contains the choice of forum provision described above, it is possible that a court could rule that such a provision is inapplicable for a particular claim or action or that such provision is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Nasdaq Global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FULC.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a785884_10"/>
      <w:bookmarkEnd w:id="12"/>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xa785884_11"/>
      <w:bookmarkEnd w:id="13"/>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units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units in such amounts and in such numbers of distinct series as we determine.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Unit Agent </w:t>
      </w:r>
    </w:p>
    <w:p>
      <w:pPr>
        <w:pStyle w:val="TextBody"/>
        <w:bidi w:val="0"/>
        <w:spacing w:before="120" w:after="0"/>
        <w:jc w:val="left"/>
        <w:rPr>
          <w:rFonts w:ascii="Times New Roman" w:hAnsi="Times New Roman"/>
          <w:sz w:val="20"/>
        </w:rPr>
      </w:pPr>
      <w:r>
        <w:rPr>
          <w:rFonts w:ascii="Times New Roman" w:hAnsi="Times New Roman"/>
          <w:sz w:val="20"/>
        </w:rPr>
        <w:t xml:space="preserve">The name and address of the unit agent for any units we offer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xa785884_12"/>
      <w:bookmarkEnd w:id="1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or depositary shares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or depositary shares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a785884_13"/>
      <w:bookmarkEnd w:id="15"/>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a785884_14"/>
      <w:bookmarkEnd w:id="16"/>
      <w:r>
        <w:rPr>
          <w:rFonts w:ascii="Times New Roman" w:hAnsi="Times New Roman"/>
          <w:b/>
          <w:sz w:val="20"/>
        </w:rPr>
        <w:t xml:space="preserve">PLAN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in negotiated sales or competitively bid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block trade in which the broker or dealer engaged to handle the block trade will attempt to sell the securities as agent, but may position and resell a portion of the block as principal to facilitate the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a785884_15"/>
      <w:bookmarkEnd w:id="1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Goodwin Procter LLP. </w:t>
      </w:r>
    </w:p>
    <w:p>
      <w:pPr>
        <w:pStyle w:val="TextBody"/>
        <w:bidi w:val="0"/>
        <w:spacing w:before="480" w:after="0"/>
        <w:jc w:val="center"/>
        <w:rPr>
          <w:rFonts w:ascii="Times New Roman" w:hAnsi="Times New Roman"/>
          <w:b/>
          <w:sz w:val="20"/>
        </w:rPr>
      </w:pPr>
      <w:bookmarkStart w:id="18" w:name="txa785884_16"/>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appearing in Fulcrum Therapeutics,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 cy="7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323850" cy="793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$350,000,000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24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0" w:after="0"/>
        <w:jc w:val="center"/>
        <w:rPr/>
      </w:pPr>
      <w:r>
        <w:rPr/>
        <w:t>   </w:t>
      </w:r>
      <w:r>
        <w:rPr>
          <w:rFonts w:ascii="Times New Roman" w:hAnsi="Times New Roman"/>
          <w:b/>
          <w:sz w:val="20"/>
        </w:rPr>
        <w:t xml:space="preserve">,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FEBRUARY 27, 2024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 cy="7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323850" cy="793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$100,000,000 </w:t>
      </w:r>
    </w:p>
    <w:p>
      <w:pPr>
        <w:pStyle w:val="TextBody"/>
        <w:bidi w:val="0"/>
        <w:spacing w:before="240" w:after="0"/>
        <w:jc w:val="center"/>
        <w:rPr>
          <w:rFonts w:ascii="Times New Roman" w:hAnsi="Times New Roman"/>
          <w:b/>
          <w:sz w:val="28"/>
        </w:rPr>
      </w:pPr>
      <w:r>
        <w:rPr>
          <w:rFonts w:ascii="Times New Roman" w:hAnsi="Times New Roman"/>
          <w:b/>
          <w:sz w:val="28"/>
        </w:rPr>
        <w:t>Common Stock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Controlled Equity OfferingSM Sales Agreement, or sales agreement, with Cantor Fitzgerald &amp; Co., or Cantor, and Stifel, Nicolaus &amp; Company, Incorporated, or Stifel, relating to the sale of shares of our common stock offered by this prospectus. In accordance with the terms of the sales agreement, we may offer and sell shares of our common stock from time to time through or to Cantor and Stifel, acting as sales agent or principal, having an aggregate offering price of up to $100.0 million.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FULC. On February 26, 2024, the last reported sale price of our common stock was $9.73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may be made in sales deemed to be at the market offerings as defined in Rule 415(a)(4) promulgated under the Securities Act of 1933, as amended, or the Securities Act. Cantor and Stifel are not required to sell any specific number or dollar amounts of common stock but will act as sales agents using commercially reasonable efforts consistent with their normal trading and sales practices, on mutually agreed terms between Cantor, Stifel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Cantor and Stifel will be entitled to compensation at a fixed commission rate equal to 3.0% of the gross sales price per share sold by such sales agent under the sales agreement. In connection with the sale of common stock on our behalf, each of Cantor and Stifel will be deemed to be an underwriter within the meaning of the Securities Act and the compensation of Cantor and Stifel will be deemed to be underwriting commissions or discounts. We have also agreed to provide indemnification and contributions to Cantor and Stifel against certain civil liabilities, including liabilities under the Securities Act.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common stock involves significant risks. See </w:t>
      </w:r>
      <w:hyperlink w:anchor="tx785884_4">
        <w:r>
          <w:rPr>
            <w:rStyle w:val="InternetLink"/>
            <w:rFonts w:ascii="Times New Roman" w:hAnsi="Times New Roman"/>
            <w:b/>
            <w:sz w:val="24"/>
          </w:rPr>
          <w:t>Risk Factors</w:t>
        </w:r>
      </w:hyperlink>
      <w:r>
        <w:rPr>
          <w:rFonts w:ascii="Times New Roman" w:hAnsi="Times New Roman"/>
          <w:b/>
          <w:sz w:val="24"/>
        </w:rPr>
        <w:t xml:space="preserve"> beginning on page 5 of this prospectus and in the documents incorporated by reference in this prospectus for a discussion of the factors you should carefully consider before deciding to purchase our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Cantor</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Stifel</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1"/>
      <w:bookmarkEnd w:id="19"/>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785884_1">
              <w:r>
                <w:rPr>
                  <w:rStyle w:val="InternetLink"/>
                  <w:rFonts w:ascii="Times New Roman" w:hAnsi="Times New Roman"/>
                  <w:sz w:val="20"/>
                </w:rPr>
                <w:t xml:space="preserve">ABOUT THIS PROSPECTUS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2">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3">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5">
              <w:r>
                <w:rPr>
                  <w:rStyle w:val="InternetLink"/>
                  <w:rFonts w:ascii="Times New Roman" w:hAnsi="Times New Roman"/>
                  <w:sz w:val="20"/>
                </w:rPr>
                <w:t>CAUTIONARY NOTE REGARDING FORWARD-LOOKING STATEMENTS  AND INDUSTRY DATA</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7">
              <w:r>
                <w:rPr>
                  <w:rStyle w:val="InternetLink"/>
                  <w:rFonts w:ascii="Times New Roman" w:hAnsi="Times New Roman"/>
                  <w:sz w:val="20"/>
                </w:rPr>
                <w:t>DILUTION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1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1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785884_12">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785884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and in any free writing prospectus that we may authorize for use in connection with this offering. We have not, and Cantor and Stifel have not, authorized any other person to provide you with different information. If anyone provides you with different or inconsistent information, you should not rely on it. We are not, and Cantor and Stifel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materially since those dates. You should read this prospectus, the information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mentioned or unless the context requires otherwise, all references in this prospectus to Fulcrum, we, our, us, and our company refer, collectively, to Fulcrum Therapeutics, Inc., a Delaware corporation and its consolidated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1" w:name="tx785884_2"/>
      <w:bookmarkEnd w:id="21"/>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including the information incorporated by reference into this prospectus and the information included in any free writing prospectus that we may authorize for use in connection with this offering, including the information included or referred to under the heading Risk Factors beginning on page 5 of this prospectus and in the documents incorporated by reference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developing small molecules to improve the lives of patients with genetically defined rare diseases in areas of high unmet medical need. Our most advanced clinical-stage product candidate, losmapimod, is being developed for the potential treatment of facioscapulohumeral muscular dystrophy, or FSHD. Our other clinical-stage product candidate is pociredir, formerly known as FTX-6058, which is being developed for the potential treatment of sickle cell disease, or SCD. We initiated REACH, a randomized, double-blind, placebo-controlled, multi-national Phase 3 clinical trial of losmapimod in the second quarter of 2022 and we completed enrollment during September 2023. The trial enrolled 260 patients. We expect to report topline data from REACH in the fourth quarter of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U.S. Food and Drug Administration, or FDA, placed a full clinical hold on the Investigational New Drug, or IND, application for pociredir for SCD, which was lifted in August 2023. The Phase 1b clinical trial is being re-initiated at the 12 mg once daily dose level, with that cohort expected to enroll approximately 10 patients, and will be followed by an additional cohort of approximately 10 patients at the 20 mg once daily dose level. Following the clinical hold, we amended the protocol to revise the inclusion and exclusion criteria for the Phase 1b clinical trial to target patients with higher disease severity.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product candidate development, we have developed a drug discovery approach that we employ to systematically identify and validate cellular drug targets that can potentially modulate gene expression to treat known root causes of genetically defined rare diseases. Our discovery approach led to the identification of both losmapimod for FSHD and pociredir for SCD, as well as a robust discovery pipeline.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prospectus are listed without the ® and  symbols, but we will assert, to the fullest extent under applicable law, our rights to our trademarks, service marks and trade 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company with less than $1.235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$1.235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have elected to take advantage of certain of the reduced disclosure obligations in this prospectus and the documents incorporated by reference in this prospectus and may elect to take advantage of other reduced reporting requirements in future filings.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permits an emerging growth company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as of our most recently completed second fiscal quarter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2" w:name="tx785884_3"/>
      <w:bookmarkEnd w:id="22"/>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 pursuant to this prospectus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Shares of common stock having an aggregate offering price of up to $100.0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immediately after this offering </w:t>
            </w:r>
          </w:p>
        </w:tc>
        <w:tc>
          <w:tcPr>
            <w:tcW w:w="6327" w:type="dxa"/>
            <w:tcBorders/>
          </w:tcPr>
          <w:p>
            <w:pPr>
              <w:pStyle w:val="TableContents"/>
              <w:bidi w:val="0"/>
              <w:spacing w:before="0" w:after="283"/>
              <w:jc w:val="left"/>
              <w:rPr/>
            </w:pPr>
            <w:r>
              <w:rPr/>
              <w:t xml:space="preserve">Up to 72,192,859 shares, assuming sales of 10,277,492 shares of our common stock in this offering at a price of $9.73 per share, which was the last reported sale price of our common stock on The Nasdaq Global Market on February 26, 2024. The actual number of shares issued will vary depending on the sales prices at which our common stock is sold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Manner of offering </w:t>
            </w:r>
          </w:p>
        </w:tc>
        <w:tc>
          <w:tcPr>
            <w:tcW w:w="6328" w:type="dxa"/>
            <w:tcBorders/>
          </w:tcPr>
          <w:p>
            <w:pPr>
              <w:pStyle w:val="TableContents"/>
              <w:bidi w:val="0"/>
              <w:spacing w:before="0" w:after="283"/>
              <w:jc w:val="left"/>
              <w:rPr/>
            </w:pPr>
            <w:r>
              <w:rPr/>
              <w:t xml:space="preserve">At the market offering that may be made from time to time through or to Cantor and Stifel, as sales agent or principal. See Plan of Distribution beginning on page 10 of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primarily for general corporate purposes, including clinical trial costs, general and administrative expenses and potential acquisition of, or investment in, companies, technologies, products or assets that complement our business. See Use of Proceeds on page 8 of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Investing in our common stock involves a high degree of risk. Please read the information contained in and incorporated by reference under the heading Risk Factors on page 5 of this prospectus and under similar headings in the other documents incorporated by reference into this prospectus, together with the other information included in or incorporated by reference into this prospectus,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Global Market Symbol </w:t>
            </w:r>
          </w:p>
        </w:tc>
        <w:tc>
          <w:tcPr>
            <w:tcW w:w="6328" w:type="dxa"/>
            <w:tcBorders/>
          </w:tcPr>
          <w:p>
            <w:pPr>
              <w:pStyle w:val="TableContents"/>
              <w:bidi w:val="0"/>
              <w:spacing w:before="0" w:after="283"/>
              <w:jc w:val="left"/>
              <w:rPr/>
            </w:pPr>
            <w:r>
              <w:rPr/>
              <w:t xml:space="preserve">FULC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61,915,367 shares issued and outstanding as of December 31, 2023. The number of shares outstanding as of December 31, 2023 used throughout this prospectus,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9,972,217 shares of common stock issuable upon exercise of stock options outstanding as of December 31, 2023 at a weighted average exercise price of $8.44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75,017 shares of common stock issuable upon vesting of restricted stock units outstanding as of December 31, 2023;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3,157,537, 837,877 and 1,346,125 shares of our common stock available for future issuance as of December 31, 2023 under our 2019 Stock Incentive Plan, or the 2019 Plan, our 2022 Inducement Stock Incentive Plan, or the Inducement Plan, and our 2019 Employee Stock Purchase Plan, or the ESPP, respectively, as well as any increases in the number of shares of common stock reserved under these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785884_4"/>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risks and uncertainties described below together with all of the other information contained in this prospectus and the risk factors in our most recent Annual Report on Form 10-K, our most recent Quarterly Report on Form 10-Q and in our other filings with the SEC that we make from time to time, which are incorporated by reference in this prospectus, together with other information in this prospectus and the information and documents incorporated by reference in this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A significant portion of our total outstanding shares are eligible to be sold into the market, which could cause the market price of our common stock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may invest or spend the proceeds of this offering in ways with which you may not agree or in ways that may not yield a return.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will experience immediate dilution in the book value per share of the common stock purchased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$100.0 million at an assumed offering price of $9.73 per share, the last sale price of our common stock on February 26, 2024 on The Nasdaq Global Market, and after deducting estimated commissions and estimated offering expenses payable by us, our as adjusted net tangible book value as of December 31, 2023 would have been approximately $332.0 million, or approximately $4.60 per share. This represents an immediate increase in as adjusted net tangible book value of approximately $0.80 per share to our existing stockholders and an immediate dilution in as adjusted net tangible book value of approximately $5.13 per share to purchasers of our common stock in this offering. See Dilution in this 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cash dividends on our common stock in the foreseeable future. Accordingly, stockholders must rely on capital appreciation, if any, for any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Cantor or Stifel at any time throughout the term of the sales agreement. The number of shares that are sold by Cantor or Stifel after delivering a placement notice will fluctuate based on the market price of the common shares during the sales period and limits we set with Cantor and Stifel. Because the price per share of each share sold will fluctuate based on the market price of our common stock during the sales period, it is not possible at this stage to predict the number of shares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785884_5"/>
      <w:bookmarkEnd w:id="24"/>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and Section 21E of the Securities Exchange Act of 1934, as amended, or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785884_6"/>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gross sales proceeds of up to $100.0 million from time to time. Because there is no minimum offering amount required as a condition to close this offering, the actual total public offering amount, commissions and proceeds to us, if any, are not determinable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We currently anticipate that we will use the net proceeds from this offering primarily for general corporate purposes, including clinical trial costs, general and administrative expenses and potential acquisition of, or investment in, companies, technologies, products or assets that complement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proceeds described above, we intend to invest the net proceeds in a variety of capital preservation investments, including short-term, investment-grade, interest-bearing instruments and U.S.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85884_7"/>
      <w:bookmarkEnd w:id="26"/>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December 31, 2023 was approximately $235.2 million, or $3.80 per share of our common stock. Our historical net tangible book value is the amount of our total tangible assets less our total liabilities. Historical net tangible book value per share represents historical net tangible book value divided by the 61,915,367 shares of our common stock outstanding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by us of shares of our common stock in the aggregate amount of $100.0 million at an assumed public offering price of $9.73 per share (the last sale price of our common stock on February 26, 2024 as reported on The Nasdaq Global Market), less the estimated commissions and estimated offering expenses payable by us, our as adjusted net tangible book value at December 31, 2023 would have been approximately $332.0 million, or $4.60 per share. This represents an immediate increase in as adjusted net tangible book value of $0.80 per share to existing stockholders and an immediate dilution of $5.13 per share to investors in this offering. The following table illustrates this per share dilution.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61"/>
        <w:gridCol w:w="395"/>
        <w:gridCol w:w="142"/>
        <w:gridCol w:w="440"/>
        <w:gridCol w:w="60"/>
        <w:gridCol w:w="395"/>
        <w:gridCol w:w="142"/>
        <w:gridCol w:w="440"/>
        <w:gridCol w:w="64"/>
      </w:tblGrid>
      <w:tr>
        <w:trPr/>
        <w:tc>
          <w:tcPr>
            <w:tcW w:w="4861"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D1FCFC"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sz w:val="4"/>
                <w:szCs w:val="4"/>
              </w:rPr>
            </w:pPr>
            <w:r>
              <w:rPr>
                <w:sz w:val="4"/>
                <w:szCs w:val="4"/>
              </w:rPr>
            </w:r>
          </w:p>
        </w:tc>
        <w:tc>
          <w:tcPr>
            <w:tcW w:w="440" w:type="dxa"/>
            <w:tcBorders/>
            <w:shd w:fill="D1FCFC" w:val="clear"/>
            <w:vAlign w:val="bottom"/>
          </w:tcPr>
          <w:p>
            <w:pPr>
              <w:pStyle w:val="TableContents"/>
              <w:bidi w:val="0"/>
              <w:spacing w:before="0" w:after="283"/>
              <w:jc w:val="left"/>
              <w:rPr>
                <w:sz w:val="4"/>
                <w:szCs w:val="4"/>
              </w:rPr>
            </w:pPr>
            <w:r>
              <w:rPr>
                <w:sz w:val="4"/>
                <w:szCs w:val="4"/>
              </w:rPr>
            </w:r>
          </w:p>
        </w:tc>
        <w:tc>
          <w:tcPr>
            <w:tcW w:w="60" w:type="dxa"/>
            <w:tcBorders/>
            <w:shd w:fill="D1FCFC" w:val="clear"/>
            <w:vAlign w:val="bottom"/>
          </w:tcPr>
          <w:p>
            <w:pPr>
              <w:pStyle w:val="TableContents"/>
              <w:bidi w:val="0"/>
              <w:spacing w:before="0" w:after="283"/>
              <w:jc w:val="left"/>
              <w:rPr>
                <w:sz w:val="4"/>
                <w:szCs w:val="4"/>
              </w:rPr>
            </w:pPr>
            <w:r>
              <w:rPr>
                <w:sz w:val="4"/>
                <w:szCs w:val="4"/>
              </w:rPr>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pPr>
            <w:r>
              <w:rPr/>
              <w:t>$</w:t>
            </w:r>
          </w:p>
        </w:tc>
        <w:tc>
          <w:tcPr>
            <w:tcW w:w="440" w:type="dxa"/>
            <w:tcBorders/>
            <w:shd w:fill="D1FCFC" w:val="clear"/>
            <w:vAlign w:val="bottom"/>
          </w:tcPr>
          <w:p>
            <w:pPr>
              <w:pStyle w:val="TableContents"/>
              <w:bidi w:val="0"/>
              <w:spacing w:before="0" w:after="283"/>
              <w:jc w:val="right"/>
              <w:rPr/>
            </w:pPr>
            <w:r>
              <w:rPr/>
              <w:t>9.73</w:t>
            </w:r>
          </w:p>
        </w:tc>
        <w:tc>
          <w:tcPr>
            <w:tcW w:w="64" w:type="dxa"/>
            <w:tcBorders/>
            <w:shd w:fill="D1FCFC" w:val="clear"/>
            <w:vAlign w:val="bottom"/>
          </w:tcPr>
          <w:p>
            <w:pPr>
              <w:pStyle w:val="TableContents"/>
              <w:bidi w:val="0"/>
              <w:spacing w:before="0" w:after="283"/>
              <w:jc w:val="left"/>
              <w:rPr/>
            </w:pPr>
            <w:r>
              <w:rPr/>
              <w:t> </w:t>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December 31, 2023</w:t>
            </w:r>
          </w:p>
        </w:tc>
        <w:tc>
          <w:tcPr>
            <w:tcW w:w="39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3.80</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61"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pPr>
            <w:r>
              <w:rPr/>
              <w:t> </w:t>
            </w:r>
          </w:p>
        </w:tc>
        <w:tc>
          <w:tcPr>
            <w:tcW w:w="440" w:type="dxa"/>
            <w:tcBorders/>
            <w:shd w:fill="D1FCFC" w:val="clear"/>
            <w:vAlign w:val="bottom"/>
          </w:tcPr>
          <w:p>
            <w:pPr>
              <w:pStyle w:val="TableContents"/>
              <w:bidi w:val="0"/>
              <w:spacing w:before="0" w:after="283"/>
              <w:jc w:val="left"/>
              <w:rPr/>
            </w:pPr>
            <w:r>
              <w:rPr/>
              <w:t>0.80</w:t>
            </w:r>
          </w:p>
        </w:tc>
        <w:tc>
          <w:tcPr>
            <w:tcW w:w="60" w:type="dxa"/>
            <w:tcBorders/>
            <w:shd w:fill="D1FCFC" w:val="clear"/>
            <w:vAlign w:val="bottom"/>
          </w:tcPr>
          <w:p>
            <w:pPr>
              <w:pStyle w:val="TableContents"/>
              <w:bidi w:val="0"/>
              <w:spacing w:before="0" w:after="283"/>
              <w:jc w:val="left"/>
              <w:rPr/>
            </w:pPr>
            <w:r>
              <w:rPr/>
              <w:t> </w:t>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sz w:val="4"/>
                <w:szCs w:val="4"/>
              </w:rPr>
            </w:pPr>
            <w:r>
              <w:rPr>
                <w:sz w:val="4"/>
                <w:szCs w:val="4"/>
              </w:rPr>
            </w:r>
          </w:p>
        </w:tc>
        <w:tc>
          <w:tcPr>
            <w:tcW w:w="440" w:type="dxa"/>
            <w:tcBorders/>
            <w:shd w:fill="D1FCFC" w:val="clear"/>
            <w:vAlign w:val="bottom"/>
          </w:tcPr>
          <w:p>
            <w:pPr>
              <w:pStyle w:val="TableContents"/>
              <w:bidi w:val="0"/>
              <w:spacing w:before="0" w:after="283"/>
              <w:jc w:val="left"/>
              <w:rPr>
                <w:sz w:val="4"/>
                <w:szCs w:val="4"/>
              </w:rPr>
            </w:pPr>
            <w:r>
              <w:rPr>
                <w:sz w:val="4"/>
                <w:szCs w:val="4"/>
              </w:rPr>
            </w:r>
          </w:p>
        </w:tc>
        <w:tc>
          <w:tcPr>
            <w:tcW w:w="64" w:type="dxa"/>
            <w:tcBorders/>
            <w:shd w:fill="D1FCFC" w:val="clear"/>
            <w:vAlign w:val="bottom"/>
          </w:tcPr>
          <w:p>
            <w:pPr>
              <w:pStyle w:val="TableContents"/>
              <w:bidi w:val="0"/>
              <w:spacing w:before="0" w:after="283"/>
              <w:jc w:val="left"/>
              <w:rPr>
                <w:sz w:val="4"/>
                <w:szCs w:val="4"/>
              </w:rPr>
            </w:pPr>
            <w:r>
              <w:rPr>
                <w:sz w:val="4"/>
                <w:szCs w:val="4"/>
              </w:rPr>
            </w:r>
          </w:p>
        </w:tc>
      </w:tr>
      <w:tr>
        <w:trPr/>
        <w:tc>
          <w:tcPr>
            <w:tcW w:w="4861" w:type="dxa"/>
            <w:tcBorders/>
            <w:shd w:fill="D1FCFC" w:val="clear"/>
            <w:vAlign w:val="bottom"/>
          </w:tcPr>
          <w:p>
            <w:pPr>
              <w:pStyle w:val="TableContents"/>
              <w:bidi w:val="0"/>
              <w:spacing w:before="0" w:after="283"/>
              <w:jc w:val="left"/>
              <w:rPr>
                <w:sz w:val="4"/>
                <w:szCs w:val="4"/>
              </w:rPr>
            </w:pPr>
            <w:r>
              <w:rPr>
                <w:sz w:val="4"/>
                <w:szCs w:val="4"/>
              </w:rPr>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pBdr>
                <w:top w:val="single" w:sz="2" w:space="1" w:color="000000"/>
              </w:pBdr>
              <w:bidi w:val="0"/>
              <w:spacing w:before="0" w:after="0"/>
              <w:jc w:val="left"/>
              <w:rPr/>
            </w:pPr>
            <w:r>
              <w:rPr/>
              <w:t> </w:t>
            </w:r>
          </w:p>
        </w:tc>
        <w:tc>
          <w:tcPr>
            <w:tcW w:w="440" w:type="dxa"/>
            <w:tcBorders/>
            <w:shd w:fill="D1FCFC" w:val="clear"/>
            <w:vAlign w:val="bottom"/>
          </w:tcPr>
          <w:p>
            <w:pPr>
              <w:pStyle w:val="TableContents"/>
              <w:pBdr>
                <w:top w:val="single" w:sz="2" w:space="1" w:color="000000"/>
              </w:pBdr>
              <w:bidi w:val="0"/>
              <w:spacing w:before="0" w:after="0"/>
              <w:jc w:val="left"/>
              <w:rPr/>
            </w:pPr>
            <w:r>
              <w:rPr/>
              <w:t> </w:t>
            </w:r>
          </w:p>
        </w:tc>
        <w:tc>
          <w:tcPr>
            <w:tcW w:w="60" w:type="dxa"/>
            <w:tcBorders/>
            <w:shd w:fill="D1FCFC" w:val="clear"/>
            <w:vAlign w:val="center"/>
          </w:tcPr>
          <w:p>
            <w:pPr>
              <w:pStyle w:val="TableContents"/>
              <w:bidi w:val="0"/>
              <w:spacing w:before="0" w:after="283"/>
              <w:jc w:val="left"/>
              <w:rPr/>
            </w:pPr>
            <w:r>
              <w:rPr/>
              <w:t> </w:t>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sz w:val="4"/>
                <w:szCs w:val="4"/>
              </w:rPr>
            </w:pPr>
            <w:r>
              <w:rPr>
                <w:sz w:val="4"/>
                <w:szCs w:val="4"/>
              </w:rPr>
            </w:r>
          </w:p>
        </w:tc>
        <w:tc>
          <w:tcPr>
            <w:tcW w:w="440" w:type="dxa"/>
            <w:tcBorders/>
            <w:shd w:fill="D1FCFC" w:val="clear"/>
            <w:vAlign w:val="bottom"/>
          </w:tcPr>
          <w:p>
            <w:pPr>
              <w:pStyle w:val="TableContents"/>
              <w:bidi w:val="0"/>
              <w:spacing w:before="0" w:after="283"/>
              <w:jc w:val="left"/>
              <w:rPr>
                <w:sz w:val="4"/>
                <w:szCs w:val="4"/>
              </w:rPr>
            </w:pPr>
            <w:r>
              <w:rPr>
                <w:sz w:val="4"/>
                <w:szCs w:val="4"/>
              </w:rPr>
            </w:r>
          </w:p>
        </w:tc>
        <w:tc>
          <w:tcPr>
            <w:tcW w:w="64" w:type="dxa"/>
            <w:tcBorders/>
            <w:shd w:fill="D1FCFC" w:val="clear"/>
            <w:vAlign w:val="bottom"/>
          </w:tcPr>
          <w:p>
            <w:pPr>
              <w:pStyle w:val="TableContents"/>
              <w:bidi w:val="0"/>
              <w:spacing w:before="0" w:after="283"/>
              <w:jc w:val="left"/>
              <w:rPr>
                <w:sz w:val="4"/>
                <w:szCs w:val="4"/>
              </w:rPr>
            </w:pPr>
            <w:r>
              <w:rPr>
                <w:sz w:val="4"/>
                <w:szCs w:val="4"/>
              </w:rPr>
            </w:r>
          </w:p>
        </w:tc>
      </w:tr>
      <w:tr>
        <w:trPr/>
        <w:tc>
          <w:tcPr>
            <w:tcW w:w="486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9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4.60</w:t>
            </w:r>
          </w:p>
        </w:tc>
        <w:tc>
          <w:tcPr>
            <w:tcW w:w="64" w:type="dxa"/>
            <w:tcBorders/>
            <w:vAlign w:val="bottom"/>
          </w:tcPr>
          <w:p>
            <w:pPr>
              <w:pStyle w:val="TableContents"/>
              <w:bidi w:val="0"/>
              <w:spacing w:before="0" w:after="283"/>
              <w:jc w:val="left"/>
              <w:rPr/>
            </w:pPr>
            <w:r>
              <w:rPr/>
              <w:t> </w:t>
            </w:r>
          </w:p>
        </w:tc>
      </w:tr>
      <w:tr>
        <w:trPr/>
        <w:tc>
          <w:tcPr>
            <w:tcW w:w="486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61" w:type="dxa"/>
            <w:tcBorders/>
            <w:shd w:fill="D1FCFC"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sz w:val="4"/>
                <w:szCs w:val="4"/>
              </w:rPr>
            </w:pPr>
            <w:r>
              <w:rPr>
                <w:sz w:val="4"/>
                <w:szCs w:val="4"/>
              </w:rPr>
            </w:r>
          </w:p>
        </w:tc>
        <w:tc>
          <w:tcPr>
            <w:tcW w:w="440" w:type="dxa"/>
            <w:tcBorders/>
            <w:shd w:fill="D1FCFC" w:val="clear"/>
            <w:vAlign w:val="bottom"/>
          </w:tcPr>
          <w:p>
            <w:pPr>
              <w:pStyle w:val="TableContents"/>
              <w:bidi w:val="0"/>
              <w:spacing w:before="0" w:after="283"/>
              <w:jc w:val="left"/>
              <w:rPr>
                <w:sz w:val="4"/>
                <w:szCs w:val="4"/>
              </w:rPr>
            </w:pPr>
            <w:r>
              <w:rPr>
                <w:sz w:val="4"/>
                <w:szCs w:val="4"/>
              </w:rPr>
            </w:r>
          </w:p>
        </w:tc>
        <w:tc>
          <w:tcPr>
            <w:tcW w:w="60" w:type="dxa"/>
            <w:tcBorders/>
            <w:shd w:fill="D1FCFC" w:val="clear"/>
            <w:vAlign w:val="bottom"/>
          </w:tcPr>
          <w:p>
            <w:pPr>
              <w:pStyle w:val="TableContents"/>
              <w:bidi w:val="0"/>
              <w:spacing w:before="0" w:after="283"/>
              <w:jc w:val="left"/>
              <w:rPr>
                <w:sz w:val="4"/>
                <w:szCs w:val="4"/>
              </w:rPr>
            </w:pPr>
            <w:r>
              <w:rPr>
                <w:sz w:val="4"/>
                <w:szCs w:val="4"/>
              </w:rPr>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pPr>
            <w:r>
              <w:rPr/>
              <w:t>$</w:t>
            </w:r>
          </w:p>
        </w:tc>
        <w:tc>
          <w:tcPr>
            <w:tcW w:w="440" w:type="dxa"/>
            <w:tcBorders/>
            <w:shd w:fill="D1FCFC" w:val="clear"/>
            <w:vAlign w:val="bottom"/>
          </w:tcPr>
          <w:p>
            <w:pPr>
              <w:pStyle w:val="TableContents"/>
              <w:bidi w:val="0"/>
              <w:spacing w:before="0" w:after="283"/>
              <w:jc w:val="right"/>
              <w:rPr/>
            </w:pPr>
            <w:r>
              <w:rPr/>
              <w:t>5.13</w:t>
            </w:r>
          </w:p>
        </w:tc>
        <w:tc>
          <w:tcPr>
            <w:tcW w:w="64" w:type="dxa"/>
            <w:tcBorders/>
            <w:shd w:fill="D1FCFC" w:val="clear"/>
            <w:vAlign w:val="bottom"/>
          </w:tcPr>
          <w:p>
            <w:pPr>
              <w:pStyle w:val="TableContents"/>
              <w:bidi w:val="0"/>
              <w:spacing w:before="0" w:after="283"/>
              <w:jc w:val="left"/>
              <w:rPr/>
            </w:pPr>
            <w:r>
              <w:rPr/>
              <w:t> </w:t>
            </w:r>
          </w:p>
        </w:tc>
      </w:tr>
      <w:tr>
        <w:trPr/>
        <w:tc>
          <w:tcPr>
            <w:tcW w:w="4861" w:type="dxa"/>
            <w:tcBorders/>
            <w:shd w:fill="D1FCFC" w:val="clear"/>
            <w:vAlign w:val="bottom"/>
          </w:tcPr>
          <w:p>
            <w:pPr>
              <w:pStyle w:val="TableContents"/>
              <w:bidi w:val="0"/>
              <w:spacing w:before="0" w:after="283"/>
              <w:jc w:val="left"/>
              <w:rPr>
                <w:sz w:val="4"/>
                <w:szCs w:val="4"/>
              </w:rPr>
            </w:pPr>
            <w:r>
              <w:rPr>
                <w:sz w:val="4"/>
                <w:szCs w:val="4"/>
              </w:rPr>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bidi w:val="0"/>
              <w:spacing w:before="0" w:after="283"/>
              <w:jc w:val="left"/>
              <w:rPr>
                <w:sz w:val="4"/>
                <w:szCs w:val="4"/>
              </w:rPr>
            </w:pPr>
            <w:r>
              <w:rPr>
                <w:sz w:val="4"/>
                <w:szCs w:val="4"/>
              </w:rPr>
            </w:r>
          </w:p>
        </w:tc>
        <w:tc>
          <w:tcPr>
            <w:tcW w:w="440" w:type="dxa"/>
            <w:tcBorders/>
            <w:shd w:fill="D1FCFC" w:val="clear"/>
            <w:vAlign w:val="bottom"/>
          </w:tcPr>
          <w:p>
            <w:pPr>
              <w:pStyle w:val="TableContents"/>
              <w:bidi w:val="0"/>
              <w:spacing w:before="0" w:after="283"/>
              <w:jc w:val="left"/>
              <w:rPr>
                <w:sz w:val="4"/>
                <w:szCs w:val="4"/>
              </w:rPr>
            </w:pPr>
            <w:r>
              <w:rPr>
                <w:sz w:val="4"/>
                <w:szCs w:val="4"/>
              </w:rPr>
            </w:r>
          </w:p>
        </w:tc>
        <w:tc>
          <w:tcPr>
            <w:tcW w:w="60" w:type="dxa"/>
            <w:tcBorders/>
            <w:shd w:fill="D1FCFC" w:val="clear"/>
            <w:vAlign w:val="bottom"/>
          </w:tcPr>
          <w:p>
            <w:pPr>
              <w:pStyle w:val="TableContents"/>
              <w:bidi w:val="0"/>
              <w:spacing w:before="0" w:after="283"/>
              <w:jc w:val="left"/>
              <w:rPr>
                <w:sz w:val="4"/>
                <w:szCs w:val="4"/>
              </w:rPr>
            </w:pPr>
            <w:r>
              <w:rPr>
                <w:sz w:val="4"/>
                <w:szCs w:val="4"/>
              </w:rPr>
            </w:r>
          </w:p>
        </w:tc>
        <w:tc>
          <w:tcPr>
            <w:tcW w:w="395" w:type="dxa"/>
            <w:tcBorders/>
            <w:shd w:fill="D1FCFC" w:val="clear"/>
            <w:vAlign w:val="bottom"/>
          </w:tcPr>
          <w:p>
            <w:pPr>
              <w:pStyle w:val="TableContents"/>
              <w:bidi w:val="0"/>
              <w:spacing w:before="0" w:after="283"/>
              <w:jc w:val="left"/>
              <w:rPr/>
            </w:pPr>
            <w:r>
              <w:rPr/>
              <w:t>  </w:t>
            </w:r>
          </w:p>
        </w:tc>
        <w:tc>
          <w:tcPr>
            <w:tcW w:w="142" w:type="dxa"/>
            <w:tcBorders/>
            <w:shd w:fill="D1FCFC" w:val="clear"/>
            <w:vAlign w:val="bottom"/>
          </w:tcPr>
          <w:p>
            <w:pPr>
              <w:pStyle w:val="TableContents"/>
              <w:pBdr>
                <w:top w:val="double" w:sz="6" w:space="1" w:color="000000"/>
              </w:pBdr>
              <w:bidi w:val="0"/>
              <w:spacing w:before="0" w:after="0"/>
              <w:jc w:val="left"/>
              <w:rPr/>
            </w:pPr>
            <w:r>
              <w:rPr/>
              <w:t> </w:t>
            </w:r>
          </w:p>
        </w:tc>
        <w:tc>
          <w:tcPr>
            <w:tcW w:w="440" w:type="dxa"/>
            <w:tcBorders/>
            <w:shd w:fill="D1FCFC" w:val="clear"/>
            <w:vAlign w:val="bottom"/>
          </w:tcPr>
          <w:p>
            <w:pPr>
              <w:pStyle w:val="TableContents"/>
              <w:pBdr>
                <w:top w:val="double" w:sz="6" w:space="1" w:color="000000"/>
              </w:pBdr>
              <w:bidi w:val="0"/>
              <w:spacing w:before="0" w:after="0"/>
              <w:jc w:val="left"/>
              <w:rPr/>
            </w:pPr>
            <w:r>
              <w:rPr/>
              <w:t> </w:t>
            </w:r>
          </w:p>
        </w:tc>
        <w:tc>
          <w:tcPr>
            <w:tcW w:w="64" w:type="dxa"/>
            <w:tcBorders/>
            <w:shd w:fill="D1FCFC"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 adjusted information is illustrative only and will adjust based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$100.0 million is sold at the assumed offering price of $9.73 per share, the last reported sale price of our common stock on The Nasdaq Global Market on February 26, 2024. The shares sold in this offering, if any, will be sold from time to time at various prices. </w:t>
      </w:r>
    </w:p>
    <w:p>
      <w:pPr>
        <w:pStyle w:val="TextBody"/>
        <w:bidi w:val="0"/>
        <w:spacing w:before="240" w:after="0"/>
        <w:jc w:val="left"/>
        <w:rPr>
          <w:rFonts w:ascii="Times New Roman" w:hAnsi="Times New Roman"/>
          <w:sz w:val="20"/>
        </w:rPr>
      </w:pPr>
      <w:r>
        <w:rPr>
          <w:rFonts w:ascii="Times New Roman" w:hAnsi="Times New Roman"/>
          <w:sz w:val="20"/>
        </w:rPr>
        <w:t xml:space="preserve">The table above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9,972,217 shares of common stock issuable upon exercise of stock options outstanding as of December 31, 2023 at a weighted average exercise price of $8.44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75,017 shares of common stock issuable upon vesting of restricted stock units outstanding as of December 31,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3,157,537, 837,877 and 1,346,125 shares of our common stock available for future issuance as of December 31, 2023 under the 2019 Plan, the Inducement Plan and the ESPP, respectively, as well as any increases in the number of shares of common stock reserved under these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85884_8"/>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Controlled Equity OfferingSM Sales Agreement, or the sales agreement, with Cantor Fitzgerald &amp; Co., or Cantor, and Stifel, Nicolaus &amp; Company, Incorporated, or Stifel. Pursuant to this prospectus, we may offer and sell shares of our common stock having an aggregate gross sales price of up to $100,000,000 from time to time through or to Cantor and Stifel acting as sales agent or principal. </w:t>
      </w:r>
    </w:p>
    <w:p>
      <w:pPr>
        <w:pStyle w:val="TextBody"/>
        <w:bidi w:val="0"/>
        <w:spacing w:before="240" w:after="0"/>
        <w:jc w:val="left"/>
        <w:rPr>
          <w:rFonts w:ascii="Times New Roman" w:hAnsi="Times New Roman"/>
          <w:sz w:val="20"/>
        </w:rPr>
      </w:pPr>
      <w:r>
        <w:rPr>
          <w:rFonts w:ascii="Times New Roman" w:hAnsi="Times New Roman"/>
          <w:sz w:val="20"/>
        </w:rPr>
        <w:t xml:space="preserve">Upon delivery of a placement notice and subject to the terms and conditions of the sales agreement, the designated sales agent may sell shares of our common stock by any method permitted by law deemed to be an at the market offering as defined in Rule 415(a)(4) promulgated under the Securities Act, including block transactions, sales made directly on or through the Exchange or any other existing trading market for the common stock, in negotiated transactions at market prices prevailing at the time of sale or at prices related to such prevailing market prices and/or any other method permitted by law. We may instruct the designated sales agent not to sell common stock if the sales cannot be effected at or above the price designated by us from time to time. We or the designated sales agent may suspend the offering of common stock upon notice and subject to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sales agents commissions, in cash, for their service in acting as agents in the sale of our common stock. Each sales agent will be entitled to compensation at a commission rate equal to 3.0% of the sales price per share sold by such sales agent under the sales agreement. Because there is no minimum offering amount required as a condition to close this offering, the actual total public offering amount, commissions and proceeds to us, if any, are not determinable at this time. Pursuant to the sales agreement, we have also agreed to reimburse each sales agent for certain specified expenses, including the fees and disbursements of their legal counsel in an amount not to exceed (a) $75,000 in connection with the execution of the sales agreement and (b) $25,000 per calendar quarter thereafter pursuant to the terms of the sales agreement. We estimate that the total expenses for the offering, excluding compensation and reimbursements payable to the sales agents under the terms of the sales agreement, will be approximately $0.2 million.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shares of our common stock will occur on the second business day following the date on which any sales are made, or on some other date that is agreed upon by us and the designated sales agent in connection with a particular transaction, in return for payment of the net proceeds to us. Sales of our common stock as contemplated in this prospectus will be settled through the facilities of The Depository Trust Company or by such other means as we and the designated sales agent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designated sales agent will use its commercially reasonable efforts, consistent with its sales and trading practices, to solicit offers to purchase the common stock under the terms and subject to the conditions set forth in the sales agreement. In connection with the sale of the common stock on our behalf, the designated sales agent will be deemed to be an underwriter within the meaning of the Securities Act and the compensation of such sales agent will be deemed to be underwriting commissions or discounts. We have agreed to provide indemnification and contribution to each sales agent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shares of our common stock pursuant to the sales agreement will terminate upon the termination of the sales agreement as permitted therein. We and each sales agent may each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is filed as an exhibit to the registration statement of which this prospectus forms a part and is incorporated by reference in this prospectus. See Where You Can Find More Information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sales agents and their respective affiliates may in the future provide various investment banking, commercial banking and other financial services for us and our affiliates, for which services they may in the future receive customary fees. To the extent required by Regulation M under the Exchange Act, each sales agent will not engage in any market making activities involving our common stock while the offering is ongoing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 electronic format may be made available on a website maintained by each of the sales agents and the sales agents may distribute this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85884_9"/>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Goodwin Procter LLP. Certain legal matters will be passed upon for Cantor and Stifel by Mintz, Levin, Cohn, Ferris, Glovsky and Popeo, P.C. </w:t>
      </w:r>
    </w:p>
    <w:p>
      <w:pPr>
        <w:pStyle w:val="TextBody"/>
        <w:bidi w:val="0"/>
        <w:spacing w:before="480" w:after="0"/>
        <w:jc w:val="center"/>
        <w:rPr>
          <w:rFonts w:ascii="Times New Roman" w:hAnsi="Times New Roman"/>
          <w:b/>
          <w:sz w:val="20"/>
        </w:rPr>
      </w:pPr>
      <w:bookmarkStart w:id="29" w:name="tx785884_10"/>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appearing in Fulcrum Therapeutics, Inc.s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30" w:name="tx785884_11"/>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785884_12"/>
      <w:bookmarkEnd w:id="31"/>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8">
              <w:r>
                <w:rPr>
                  <w:rStyle w:val="InternetLink"/>
                  <w:rFonts w:ascii="Times New Roman" w:hAnsi="Times New Roman"/>
                  <w:sz w:val="20"/>
                </w:rPr>
                <w:t>Form 10-K</w:t>
              </w:r>
            </w:hyperlink>
            <w:r>
              <w:rPr>
                <w:rFonts w:ascii="Times New Roman" w:hAnsi="Times New Roman"/>
                <w:sz w:val="20"/>
              </w:rPr>
              <w:t xml:space="preserve"> for the fiscal year ended December 31, 2023 filed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filed on July  12, 2019, as the description therein has been updated and superseded by the description of our capital stock contained in </w:t>
            </w:r>
            <w:hyperlink r:id="rId10">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2020,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651-8851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 cy="7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323850" cy="79375"/>
                    </a:xfrm>
                    <a:prstGeom prst="rect">
                      <a:avLst/>
                    </a:prstGeom>
                  </pic:spPr>
                </pic:pic>
              </a:graphicData>
            </a:graphic>
          </wp:inline>
        </w:drawing>
      </w:r>
      <w:r>
        <w:rPr/>
        <w:t xml:space="preserve"> </w:t>
      </w:r>
    </w:p>
    <w:p>
      <w:pPr>
        <w:pStyle w:val="TextBody"/>
        <w:bidi w:val="0"/>
        <w:spacing w:before="1200" w:after="0"/>
        <w:jc w:val="center"/>
        <w:rPr>
          <w:rFonts w:ascii="Times New Roman" w:hAnsi="Times New Roman"/>
          <w:b/>
          <w:sz w:val="32"/>
        </w:rPr>
      </w:pPr>
      <w:r>
        <w:rPr>
          <w:rFonts w:ascii="Times New Roman" w:hAnsi="Times New Roman"/>
          <w:b/>
          <w:sz w:val="32"/>
        </w:rPr>
        <w:t xml:space="preserve">Up to $100,000,000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600" w:after="0"/>
        <w:jc w:val="center"/>
        <w:rPr>
          <w:rFonts w:ascii="Times New Roman" w:hAnsi="Times New Roman"/>
          <w:b/>
          <w:sz w:val="28"/>
        </w:rPr>
      </w:pPr>
      <w:r>
        <w:rPr>
          <w:rFonts w:ascii="Times New Roman" w:hAnsi="Times New Roman"/>
          <w:b/>
          <w:sz w:val="28"/>
        </w:rPr>
        <w:t xml:space="preserve">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12"/>
        <w:gridCol w:w="243"/>
        <w:gridCol w:w="1813"/>
        <w:gridCol w:w="243"/>
        <w:gridCol w:w="1816"/>
        <w:gridCol w:w="130"/>
        <w:gridCol w:w="1770"/>
        <w:gridCol w:w="130"/>
        <w:gridCol w:w="2091"/>
        <w:gridCol w:w="130"/>
        <w:gridCol w:w="27"/>
      </w:tblGrid>
      <w:tr>
        <w:trPr/>
        <w:tc>
          <w:tcPr>
            <w:tcW w:w="1812"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r>
      <w:tr>
        <w:trPr/>
        <w:tc>
          <w:tcPr>
            <w:tcW w:w="5927" w:type="dxa"/>
            <w:gridSpan w:val="5"/>
            <w:tcBorders/>
          </w:tcPr>
          <w:p>
            <w:pPr>
              <w:pStyle w:val="TableContents"/>
              <w:bidi w:val="0"/>
              <w:spacing w:before="0" w:after="283"/>
              <w:jc w:val="left"/>
              <w:rPr>
                <w:b/>
              </w:rPr>
            </w:pPr>
            <w:r>
              <w:rPr>
                <w:b/>
              </w:rPr>
              <w:t>Cantor</w:t>
            </w:r>
          </w:p>
        </w:tc>
        <w:tc>
          <w:tcPr>
            <w:tcW w:w="130" w:type="dxa"/>
            <w:tcBorders/>
            <w:vAlign w:val="bottom"/>
          </w:tcPr>
          <w:p>
            <w:pPr>
              <w:pStyle w:val="TableContents"/>
              <w:bidi w:val="0"/>
              <w:spacing w:before="0" w:after="283"/>
              <w:jc w:val="left"/>
              <w:rPr/>
            </w:pPr>
            <w:r>
              <w:rPr/>
              <w:t> </w:t>
            </w:r>
          </w:p>
        </w:tc>
        <w:tc>
          <w:tcPr>
            <w:tcW w:w="1770"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91" w:type="dxa"/>
            <w:tcBorders/>
          </w:tcPr>
          <w:p>
            <w:pPr>
              <w:pStyle w:val="TableContents"/>
              <w:bidi w:val="0"/>
              <w:spacing w:before="0" w:after="283"/>
              <w:jc w:val="right"/>
              <w:rPr>
                <w:b/>
              </w:rPr>
            </w:pPr>
            <w:r>
              <w:rPr>
                <w:b/>
              </w:rPr>
              <w:t>Stifel</w:t>
            </w:r>
          </w:p>
        </w:tc>
        <w:tc>
          <w:tcPr>
            <w:tcW w:w="130" w:type="dxa"/>
            <w:tcBorders/>
            <w:vAlign w:val="bottom"/>
          </w:tcPr>
          <w:p>
            <w:pPr>
              <w:pStyle w:val="TableContents"/>
              <w:bidi w:val="0"/>
              <w:spacing w:before="0" w:after="283"/>
              <w:jc w:val="left"/>
              <w:rPr/>
            </w:pPr>
            <w:r>
              <w:rPr/>
              <w:t> </w:t>
            </w:r>
          </w:p>
        </w:tc>
        <w:tc>
          <w:tcPr>
            <w:tcW w:w="27" w:type="dxa"/>
            <w:tcBorders/>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8150" w:type="dxa"/>
            <w:gridSpan w:val="9"/>
            <w:tcBorders/>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94" w:type="dxa"/>
            <w:gridSpan w:val="7"/>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pPr>
      <w:r>
        <w:rPr/>
        <w:t>   </w:t>
      </w:r>
      <w:r>
        <w:rPr>
          <w:rFonts w:ascii="Times New Roman" w:hAnsi="Times New Roman"/>
          <w:b/>
          <w:sz w:val="20"/>
        </w:rPr>
        <w:t>,</w:t>
      </w:r>
      <w:r>
        <w:rPr>
          <w:rFonts w:ascii="Times New Roman" w:hAnsi="Times New Roman"/>
          <w:sz w:val="20"/>
        </w:rPr>
        <w:t> </w:t>
      </w:r>
      <w:r>
        <w:rPr>
          <w:rFonts w:ascii="Times New Roman" w:hAnsi="Times New Roman"/>
          <w:b/>
          <w:i/>
          <w:sz w:val="20"/>
        </w:rPr>
        <w:t>2024</w:t>
      </w:r>
      <w:r>
        <w:rPr>
          <w:rFonts w:ascii="Times New Roman" w:hAnsi="Times New Roman"/>
          <w:sz w:val="20"/>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and expenses payable by us in connection with the sale of the offered securities being registered hereby, other than underwriting discounts and commissions. All amounts are estimates except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98"/>
        <w:gridCol w:w="398"/>
        <w:gridCol w:w="147"/>
        <w:gridCol w:w="1136"/>
        <w:gridCol w:w="160"/>
      </w:tblGrid>
      <w:tr>
        <w:trPr/>
        <w:tc>
          <w:tcPr>
            <w:tcW w:w="5098"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45,940.50</w:t>
            </w:r>
          </w:p>
        </w:tc>
        <w:tc>
          <w:tcPr>
            <w:tcW w:w="160"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services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of registrants counsel</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agents, trustees and depositarys fees and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w:t>
            </w:r>
          </w:p>
        </w:tc>
        <w:tc>
          <w:tcPr>
            <w:tcW w:w="160"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the number of issuances and accordingly cannot be defined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qualified in its entirety by reference to the complete Delaware General Corporation Law, or DGCL, and the registrants restated certificate of incorporation,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102 of the DGCL permits a corporation to limit or eliminate the personal liability of its directors or officers to the corporation or its stockholders for monetary damages for a breach of fiduciary duty as a director or officer, except, in the case of any director or officer, where the director or officer breached his or her duty of loyalty, failed to act in good faith, engaged in intentional misconduct or knowingly violated a law, or obtained an improper personal benefit; in the case of any director, where the director authorized the payment of a dividend or approved a stock repurchase in violation of Delaware corporate law; or in the case of any officer, in any action by or in the right of the corporation. Our restated certificate of incorporation, as amended, provides that no director or officer shall be personally liable to us or our stockholders for monetary damages for any breach of fiduciary duty as a director or officer, notwithstanding any provision of law imposing such liability, except to the extent that the DGCL prohibits the elimination or limitation of liability of directors or officers for breaches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as amended, provides that we will indemnify each person who was or is a party or threatened to be made a party to any threatened, pending or completed action, suit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herein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as amended,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 </w:t>
      </w:r>
    </w:p>
    <w:p>
      <w:pPr>
        <w:pStyle w:val="TextBody"/>
        <w:bidi w:val="0"/>
        <w:spacing w:before="240" w:after="0"/>
        <w:jc w:val="left"/>
        <w:rPr>
          <w:rFonts w:ascii="Times New Roman" w:hAnsi="Times New Roman"/>
          <w:sz w:val="20"/>
        </w:rPr>
      </w:pPr>
      <w:r>
        <w:rPr>
          <w:rFonts w:ascii="Times New Roman" w:hAnsi="Times New Roman"/>
          <w:sz w:val="20"/>
        </w:rPr>
        <w:t xml:space="preserve">We maintain a general liability insurance policy that covers certain liabilities of our directors and officers arising out of claims based on acts or omissions in their capacities as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8"/>
        <w:gridCol w:w="754"/>
        <w:gridCol w:w="8243"/>
      </w:tblGrid>
      <w:tr>
        <w:trPr/>
        <w:tc>
          <w:tcPr>
            <w:tcW w:w="1208"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8243" w:type="dxa"/>
            <w:tcBorders/>
            <w:vAlign w:val="center"/>
          </w:tcPr>
          <w:p>
            <w:pPr>
              <w:pStyle w:val="TableContents"/>
              <w:bidi w:val="0"/>
              <w:spacing w:before="0" w:after="283"/>
              <w:jc w:val="left"/>
              <w:rPr>
                <w:sz w:val="4"/>
                <w:szCs w:val="4"/>
              </w:rPr>
            </w:pPr>
            <w:r>
              <w:rPr>
                <w:sz w:val="4"/>
                <w:szCs w:val="4"/>
              </w:rPr>
            </w:r>
          </w:p>
        </w:tc>
      </w:tr>
      <w:tr>
        <w:trPr/>
        <w:tc>
          <w:tcPr>
            <w:tcW w:w="1208" w:type="dxa"/>
            <w:tcBorders/>
            <w:vAlign w:val="bottom"/>
          </w:tcPr>
          <w:p>
            <w:pPr>
              <w:pStyle w:val="TableContents"/>
              <w:bidi w:val="0"/>
              <w:spacing w:before="0" w:after="283"/>
              <w:jc w:val="center"/>
              <w:rPr>
                <w:b/>
              </w:rPr>
            </w:pPr>
            <w:r>
              <w:rPr>
                <w:b/>
              </w:rPr>
              <w:t>Exhibit No.</w:t>
            </w:r>
          </w:p>
        </w:tc>
        <w:tc>
          <w:tcPr>
            <w:tcW w:w="754" w:type="dxa"/>
            <w:tcBorders/>
            <w:vAlign w:val="bottom"/>
          </w:tcPr>
          <w:p>
            <w:pPr>
              <w:pStyle w:val="TableContents"/>
              <w:bidi w:val="0"/>
              <w:spacing w:before="0" w:after="283"/>
              <w:jc w:val="left"/>
              <w:rPr/>
            </w:pPr>
            <w:r>
              <w:rPr/>
              <w:t> </w:t>
            </w:r>
          </w:p>
        </w:tc>
        <w:tc>
          <w:tcPr>
            <w:tcW w:w="8243" w:type="dxa"/>
            <w:tcBorders/>
            <w:vAlign w:val="bottom"/>
          </w:tcPr>
          <w:p>
            <w:pPr>
              <w:pStyle w:val="TableContents"/>
              <w:bidi w:val="0"/>
              <w:spacing w:before="0" w:after="283"/>
              <w:jc w:val="left"/>
              <w:rPr>
                <w:b/>
              </w:rPr>
            </w:pPr>
            <w:r>
              <w:rPr>
                <w:b/>
              </w:rPr>
              <w:t>Description</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1.1*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r>
              <w:rPr/>
              <w:t>Form of Underwriting Agreement</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1.2**</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12.htm">
              <w:r>
                <w:rPr>
                  <w:rStyle w:val="InternetLink"/>
                </w:rPr>
                <w:t xml:space="preserve">Controlled Equity OfferingSM Sales Agreement, dated February 27, 2024, by and among the Registrant, Cantor Fitzgerald  &amp; Co. and Stifel, Nicolaus &amp; Company, Incorporated.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3.1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r:id="rId12">
              <w:r>
                <w:rPr>
                  <w:rStyle w:val="InternetLink"/>
                </w:rPr>
                <w:t xml:space="preserve">Restated Certificate of Incorporation of the Registrant (incorporated by reference to Exhibit 3.1 to the Registrants Current Report on Form 8-K filed with the Securities and Exchange Commission on July 22, 2019)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3.2</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r:id="rId13">
              <w:r>
                <w:rPr>
                  <w:rStyle w:val="InternetLink"/>
                </w:rPr>
                <w:t>Certificate of Amendment of the Restated Certificate of Incorporation of the Registrant (incorporated by reference to Exhibit 3.1 to the Current Report on Form 8-K filed with the Securities and Exchange Commission on June 9, 2023</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3.3</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r:id="rId14">
              <w:r>
                <w:rPr>
                  <w:rStyle w:val="InternetLink"/>
                </w:rPr>
                <w:t xml:space="preserve">Amended and Restated Bylaws of the Registrant (incorporated by reference to Exhibit 3.2 to the Registrants Current Report on Form 8-K filed with the Securities and Exchange Commission on July 22, 2019)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3.4</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r:id="rId15">
              <w:r>
                <w:rPr>
                  <w:rStyle w:val="InternetLink"/>
                </w:rPr>
                <w:t xml:space="preserve">Specimen Stock Certificate evidencing shares of common stock (incorporated by reference to Exhibit 4.1 to the Registrants Registration Statement on Form S-1 (File No. 333-232260) filed with the Securities and Exchange Commission on June 21, 2019)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4.1**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41.htm">
              <w:r>
                <w:rPr>
                  <w:rStyle w:val="InternetLink"/>
                </w:rPr>
                <w:t xml:space="preserve">Form of Senior Indenture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4.2**</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42.htm">
              <w:r>
                <w:rPr>
                  <w:rStyle w:val="InternetLink"/>
                </w:rPr>
                <w:t xml:space="preserve">Form of Subordinated Indenture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4.3*</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r>
              <w:rPr/>
              <w:t>Form of Deposit Agreement</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4.4*</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r>
              <w:rPr/>
              <w:t>Form of Warrant Agreement</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4.5*</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r>
              <w:rPr/>
              <w:t>Form of Unit Agreement</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5.1**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51.htm">
              <w:r>
                <w:rPr>
                  <w:rStyle w:val="InternetLink"/>
                </w:rPr>
                <w:t xml:space="preserve">Opinion of Goodwin Procter LLP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 </w:t>
            </w:r>
            <w:r>
              <w:rPr/>
              <w:t>5.2**</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52.htm">
              <w:r>
                <w:rPr>
                  <w:rStyle w:val="InternetLink"/>
                </w:rPr>
                <w:t xml:space="preserve">Opinion of Goodwin Procter LLP relating to the at the market offering prospectus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23.1**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231.htm">
              <w:r>
                <w:rPr>
                  <w:rStyle w:val="InternetLink"/>
                </w:rPr>
                <w:t xml:space="preserve">Consent of Ernst &amp; Young LLP, independent registered public accounting firm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23.2**</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51.htm">
              <w:r>
                <w:rPr>
                  <w:rStyle w:val="InternetLink"/>
                </w:rPr>
                <w:t xml:space="preserve">Consent of Goodwin Procter LLP (included in Exhibit 5.1 to this registration statement)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23.3**</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52.htm">
              <w:r>
                <w:rPr>
                  <w:rStyle w:val="InternetLink"/>
                </w:rPr>
                <w:t xml:space="preserve">Consent of Goodwin Procter LLP (contained in Exhibit 5.2 to this registration statement)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24.1**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sig">
              <w:r>
                <w:rPr>
                  <w:rStyle w:val="InternetLink"/>
                </w:rPr>
                <w:t xml:space="preserve">Power of Attorney (included on the signature page to the registration statement)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25.1***</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r>
              <w:rPr/>
              <w:t>Statement of Eligibility on Form T-1 under the Trust Indenture Act of 1939, as amended, of the Trustee under the Senior Indenture</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25.2***</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r>
              <w:rPr/>
              <w:t>Statement of Eligibility on Form T-1 under the Trust Indenture Act of 1939, as amended, of the Trustee under the Subordinated Indenture</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107**</w:t>
            </w:r>
          </w:p>
        </w:tc>
        <w:tc>
          <w:tcPr>
            <w:tcW w:w="754" w:type="dxa"/>
            <w:tcBorders/>
            <w:vAlign w:val="bottom"/>
          </w:tcPr>
          <w:p>
            <w:pPr>
              <w:pStyle w:val="TableContents"/>
              <w:bidi w:val="0"/>
              <w:spacing w:before="0" w:after="283"/>
              <w:jc w:val="left"/>
              <w:rPr/>
            </w:pPr>
            <w:r>
              <w:rPr/>
              <w:t> </w:t>
            </w:r>
          </w:p>
        </w:tc>
        <w:tc>
          <w:tcPr>
            <w:tcW w:w="8243" w:type="dxa"/>
            <w:tcBorders/>
          </w:tcPr>
          <w:p>
            <w:pPr>
              <w:pStyle w:val="TableContents"/>
              <w:bidi w:val="0"/>
              <w:spacing w:before="0" w:after="283"/>
              <w:jc w:val="left"/>
              <w:rPr/>
            </w:pPr>
            <w:hyperlink w:anchor="d785884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necessary, by amendment or as an exhibit to a document to be incorporated or deemed to be incorporated by reference in this registration statement, including a Current Report on Form 8-K.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pursuant to Section 305(b)(2) of the Trust Indenture Act of 1939.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a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such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such undersigned Registrant or used or referred to by such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such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sig"/>
      <w:bookmarkEnd w:id="3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February 27,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0"/>
        <w:gridCol w:w="3634"/>
      </w:tblGrid>
      <w:tr>
        <w:trPr/>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4" w:type="dxa"/>
            <w:tcBorders>
              <w:bottom w:val="single" w:sz="2" w:space="0" w:color="000000"/>
            </w:tcBorders>
            <w:tcMar>
              <w:bottom w:w="28" w:type="dxa"/>
            </w:tcMar>
          </w:tcPr>
          <w:p>
            <w:pPr>
              <w:pStyle w:val="TableContents"/>
              <w:bidi w:val="0"/>
              <w:spacing w:before="0" w:after="283"/>
              <w:jc w:val="left"/>
              <w:rPr/>
            </w:pPr>
            <w:r>
              <w:rPr/>
              <w:t>/s/ Alex C. Sapir</w:t>
            </w:r>
          </w:p>
        </w:tc>
      </w:tr>
      <w:tr>
        <w:trPr/>
        <w:tc>
          <w:tcPr>
            <w:tcW w:w="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vAlign w:val="bottom"/>
          </w:tcPr>
          <w:p>
            <w:pPr>
              <w:pStyle w:val="TableContents"/>
              <w:bidi w:val="0"/>
              <w:spacing w:before="0" w:after="283"/>
              <w:jc w:val="left"/>
              <w:rPr/>
            </w:pPr>
            <w:r>
              <w:rPr/>
              <w:t>Name: Alex C. Sapir</w:t>
            </w:r>
          </w:p>
        </w:tc>
      </w:tr>
      <w:tr>
        <w:trPr/>
        <w:tc>
          <w:tcPr>
            <w:tcW w:w="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4" w:type="dxa"/>
            <w:tcBorders/>
            <w:vAlign w:val="bottom"/>
          </w:tcPr>
          <w:p>
            <w:pPr>
              <w:pStyle w:val="TableContents"/>
              <w:bidi w:val="0"/>
              <w:spacing w:before="0" w:after="283"/>
              <w:jc w:val="left"/>
              <w:rPr/>
            </w:pPr>
            <w:r>
              <w:rPr/>
              <w:t>Title: 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Alex C. Sapir, Alan A. Musso and Curtis Oltmans and each of them,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9"/>
        <w:gridCol w:w="121"/>
        <w:gridCol w:w="3474"/>
        <w:gridCol w:w="199"/>
        <w:gridCol w:w="2012"/>
      </w:tblGrid>
      <w:tr>
        <w:trPr/>
        <w:tc>
          <w:tcPr>
            <w:tcW w:w="43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r>
      <w:tr>
        <w:trPr/>
        <w:tc>
          <w:tcPr>
            <w:tcW w:w="43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34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20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C. Sapir</w:t>
            </w:r>
          </w:p>
          <w:p>
            <w:pPr>
              <w:pStyle w:val="TableContents"/>
              <w:bidi w:val="0"/>
              <w:spacing w:before="0" w:after="20"/>
              <w:jc w:val="left"/>
              <w:rPr>
                <w:rFonts w:ascii="Times New Roman" w:hAnsi="Times New Roman"/>
                <w:sz w:val="20"/>
              </w:rPr>
            </w:pPr>
            <w:r>
              <w:rPr>
                <w:rFonts w:ascii="Times New Roman" w:hAnsi="Times New Roman"/>
                <w:sz w:val="20"/>
              </w:rPr>
              <w:t>Alex C. Sapir</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A. Musso</w:t>
            </w:r>
          </w:p>
          <w:p>
            <w:pPr>
              <w:pStyle w:val="TableContents"/>
              <w:bidi w:val="0"/>
              <w:spacing w:before="0" w:after="20"/>
              <w:jc w:val="left"/>
              <w:rPr>
                <w:rFonts w:ascii="Times New Roman" w:hAnsi="Times New Roman"/>
                <w:sz w:val="20"/>
              </w:rPr>
            </w:pPr>
            <w:r>
              <w:rPr>
                <w:rFonts w:ascii="Times New Roman" w:hAnsi="Times New Roman"/>
                <w:sz w:val="20"/>
              </w:rPr>
              <w:t>Alan A. Musso</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Greg Tourangeau</w:t>
            </w:r>
          </w:p>
          <w:p>
            <w:pPr>
              <w:pStyle w:val="TableContents"/>
              <w:bidi w:val="0"/>
              <w:spacing w:before="0" w:after="20"/>
              <w:jc w:val="left"/>
              <w:rPr>
                <w:rFonts w:ascii="Times New Roman" w:hAnsi="Times New Roman"/>
                <w:sz w:val="20"/>
              </w:rPr>
            </w:pPr>
            <w:r>
              <w:rPr>
                <w:rFonts w:ascii="Times New Roman" w:hAnsi="Times New Roman"/>
                <w:sz w:val="20"/>
              </w:rPr>
              <w:t>Greg Tourangeau</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0"/>
              <w:jc w:val="center"/>
              <w:rPr>
                <w:rFonts w:ascii="Times New Roman" w:hAnsi="Times New Roman"/>
                <w:sz w:val="20"/>
              </w:rPr>
            </w:pPr>
            <w:r>
              <w:rPr>
                <w:rFonts w:ascii="Times New Roman" w:hAnsi="Times New Roman"/>
                <w:sz w:val="20"/>
              </w:rPr>
              <w:t>Vice President, Finance</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Kate Haviland</w:t>
            </w:r>
          </w:p>
          <w:p>
            <w:pPr>
              <w:pStyle w:val="TableContents"/>
              <w:bidi w:val="0"/>
              <w:spacing w:before="0" w:after="20"/>
              <w:jc w:val="left"/>
              <w:rPr>
                <w:rFonts w:ascii="Times New Roman" w:hAnsi="Times New Roman"/>
                <w:sz w:val="20"/>
              </w:rPr>
            </w:pPr>
            <w:r>
              <w:rPr>
                <w:rFonts w:ascii="Times New Roman" w:hAnsi="Times New Roman"/>
                <w:sz w:val="20"/>
              </w:rPr>
              <w:t>Kate Haviland</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283"/>
              <w:jc w:val="center"/>
              <w:rPr/>
            </w:pPr>
            <w:r>
              <w:rPr/>
              <w:t>Chairman of the Board</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Sonja L. Banks</w:t>
            </w:r>
          </w:p>
          <w:p>
            <w:pPr>
              <w:pStyle w:val="TableContents"/>
              <w:bidi w:val="0"/>
              <w:spacing w:before="0" w:after="20"/>
              <w:jc w:val="left"/>
              <w:rPr>
                <w:rFonts w:ascii="Times New Roman" w:hAnsi="Times New Roman"/>
                <w:sz w:val="20"/>
              </w:rPr>
            </w:pPr>
            <w:r>
              <w:rPr>
                <w:rFonts w:ascii="Times New Roman" w:hAnsi="Times New Roman"/>
                <w:sz w:val="20"/>
              </w:rPr>
              <w:t>Sonja L. Banks</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J. Collins</w:t>
            </w:r>
          </w:p>
          <w:p>
            <w:pPr>
              <w:pStyle w:val="TableContents"/>
              <w:bidi w:val="0"/>
              <w:spacing w:before="0" w:after="20"/>
              <w:jc w:val="left"/>
              <w:rPr>
                <w:rFonts w:ascii="Times New Roman" w:hAnsi="Times New Roman"/>
                <w:sz w:val="20"/>
              </w:rPr>
            </w:pPr>
            <w:r>
              <w:rPr>
                <w:rFonts w:ascii="Times New Roman" w:hAnsi="Times New Roman"/>
                <w:sz w:val="20"/>
              </w:rPr>
              <w:t>James J. Collins</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r>
        <w:trPr>
          <w:trHeight w:val="240" w:hRule="atLeast"/>
        </w:trPr>
        <w:tc>
          <w:tcPr>
            <w:tcW w:w="4399" w:type="dxa"/>
            <w:tcBorders/>
            <w:vAlign w:val="center"/>
          </w:tcPr>
          <w:p>
            <w:pPr>
              <w:pStyle w:val="TableContents"/>
              <w:bidi w:val="0"/>
              <w:spacing w:before="0" w:after="283"/>
              <w:jc w:val="left"/>
              <w:rPr>
                <w:sz w:val="4"/>
                <w:szCs w:val="4"/>
              </w:rPr>
            </w:pPr>
            <w:r>
              <w:rPr>
                <w:sz w:val="4"/>
                <w:szCs w:val="4"/>
              </w:rPr>
            </w:r>
          </w:p>
        </w:tc>
        <w:tc>
          <w:tcPr>
            <w:tcW w:w="3595" w:type="dxa"/>
            <w:gridSpan w:val="2"/>
            <w:tcBorders/>
            <w:vAlign w:val="center"/>
          </w:tcPr>
          <w:p>
            <w:pPr>
              <w:pStyle w:val="TableContents"/>
              <w:bidi w:val="0"/>
              <w:spacing w:before="0" w:after="283"/>
              <w:jc w:val="left"/>
              <w:rPr>
                <w:sz w:val="4"/>
                <w:szCs w:val="4"/>
              </w:rPr>
            </w:pPr>
            <w:r>
              <w:rPr>
                <w:sz w:val="4"/>
                <w:szCs w:val="4"/>
              </w:rPr>
            </w:r>
          </w:p>
        </w:tc>
        <w:tc>
          <w:tcPr>
            <w:tcW w:w="2211" w:type="dxa"/>
            <w:gridSpan w:val="2"/>
            <w:tcBorders/>
            <w:vAlign w:val="center"/>
          </w:tcPr>
          <w:p>
            <w:pPr>
              <w:pStyle w:val="TableContents"/>
              <w:bidi w:val="0"/>
              <w:spacing w:before="0" w:after="283"/>
              <w:jc w:val="left"/>
              <w:rPr>
                <w:sz w:val="4"/>
                <w:szCs w:val="4"/>
              </w:rPr>
            </w:pPr>
            <w:r>
              <w:rPr>
                <w:sz w:val="4"/>
                <w:szCs w:val="4"/>
              </w:rPr>
            </w:r>
          </w:p>
        </w:tc>
      </w:tr>
      <w:tr>
        <w:trPr/>
        <w:tc>
          <w:tcPr>
            <w:tcW w:w="43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Katina Dorton</w:t>
            </w:r>
          </w:p>
          <w:p>
            <w:pPr>
              <w:pStyle w:val="TableContents"/>
              <w:bidi w:val="0"/>
              <w:spacing w:before="0" w:after="20"/>
              <w:jc w:val="left"/>
              <w:rPr>
                <w:rFonts w:ascii="Times New Roman" w:hAnsi="Times New Roman"/>
                <w:sz w:val="20"/>
              </w:rPr>
            </w:pPr>
            <w:r>
              <w:rPr>
                <w:rFonts w:ascii="Times New Roman" w:hAnsi="Times New Roman"/>
                <w:sz w:val="20"/>
              </w:rPr>
              <w:t>Katina Dorton</w:t>
            </w:r>
          </w:p>
        </w:tc>
        <w:tc>
          <w:tcPr>
            <w:tcW w:w="121" w:type="dxa"/>
            <w:tcBorders/>
            <w:vAlign w:val="bottom"/>
          </w:tcPr>
          <w:p>
            <w:pPr>
              <w:pStyle w:val="TableContents"/>
              <w:bidi w:val="0"/>
              <w:spacing w:before="0" w:after="283"/>
              <w:jc w:val="left"/>
              <w:rPr/>
            </w:pPr>
            <w:r>
              <w:rPr/>
              <w:t>  </w:t>
            </w:r>
          </w:p>
        </w:tc>
        <w:tc>
          <w:tcPr>
            <w:tcW w:w="3474"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2012" w:type="dxa"/>
            <w:tcBorders/>
          </w:tcPr>
          <w:p>
            <w:pPr>
              <w:pStyle w:val="TableContents"/>
              <w:bidi w:val="0"/>
              <w:spacing w:before="0" w:after="283"/>
              <w:jc w:val="center"/>
              <w:rPr/>
            </w:pPr>
            <w:r>
              <w:rPr/>
              <w:t>February 27,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421"/>
        <w:gridCol w:w="120"/>
        <w:gridCol w:w="3466"/>
        <w:gridCol w:w="201"/>
        <w:gridCol w:w="1997"/>
      </w:tblGrid>
      <w:tr>
        <w:trPr/>
        <w:tc>
          <w:tcPr>
            <w:tcW w:w="44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44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4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21"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442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Ezekowitz</w:t>
            </w:r>
          </w:p>
          <w:p>
            <w:pPr>
              <w:pStyle w:val="TableContents"/>
              <w:bidi w:val="0"/>
              <w:spacing w:before="0" w:after="20"/>
              <w:jc w:val="left"/>
              <w:rPr>
                <w:rFonts w:ascii="Times New Roman" w:hAnsi="Times New Roman"/>
                <w:sz w:val="20"/>
              </w:rPr>
            </w:pPr>
            <w:r>
              <w:rPr>
                <w:rFonts w:ascii="Times New Roman" w:hAnsi="Times New Roman"/>
                <w:sz w:val="20"/>
              </w:rPr>
              <w:t>Alan Ezekowitz</w:t>
            </w:r>
          </w:p>
        </w:tc>
        <w:tc>
          <w:tcPr>
            <w:tcW w:w="120" w:type="dxa"/>
            <w:tcBorders/>
            <w:vAlign w:val="bottom"/>
          </w:tcPr>
          <w:p>
            <w:pPr>
              <w:pStyle w:val="TableContents"/>
              <w:bidi w:val="0"/>
              <w:spacing w:before="0" w:after="283"/>
              <w:jc w:val="left"/>
              <w:rPr/>
            </w:pPr>
            <w:r>
              <w:rPr/>
              <w:t>  </w:t>
            </w:r>
          </w:p>
        </w:tc>
        <w:tc>
          <w:tcPr>
            <w:tcW w:w="346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center"/>
              <w:rPr/>
            </w:pPr>
            <w:r>
              <w:rPr/>
              <w:t>February 27, 2024</w:t>
            </w:r>
          </w:p>
        </w:tc>
      </w:tr>
      <w:tr>
        <w:trPr>
          <w:trHeight w:val="240" w:hRule="atLeast"/>
        </w:trPr>
        <w:tc>
          <w:tcPr>
            <w:tcW w:w="4421"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442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James Geraghty</w:t>
            </w:r>
          </w:p>
          <w:p>
            <w:pPr>
              <w:pStyle w:val="TableContents"/>
              <w:bidi w:val="0"/>
              <w:spacing w:before="0" w:after="20"/>
              <w:jc w:val="left"/>
              <w:rPr>
                <w:rFonts w:ascii="Times New Roman" w:hAnsi="Times New Roman"/>
                <w:sz w:val="20"/>
              </w:rPr>
            </w:pPr>
            <w:r>
              <w:rPr>
                <w:rFonts w:ascii="Times New Roman" w:hAnsi="Times New Roman"/>
                <w:sz w:val="20"/>
              </w:rPr>
              <w:t>James Geraghty</w:t>
            </w:r>
          </w:p>
        </w:tc>
        <w:tc>
          <w:tcPr>
            <w:tcW w:w="120" w:type="dxa"/>
            <w:tcBorders/>
            <w:vAlign w:val="bottom"/>
          </w:tcPr>
          <w:p>
            <w:pPr>
              <w:pStyle w:val="TableContents"/>
              <w:bidi w:val="0"/>
              <w:spacing w:before="0" w:after="283"/>
              <w:jc w:val="left"/>
              <w:rPr/>
            </w:pPr>
            <w:r>
              <w:rPr/>
              <w:t>  </w:t>
            </w:r>
          </w:p>
        </w:tc>
        <w:tc>
          <w:tcPr>
            <w:tcW w:w="346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center"/>
              <w:rPr/>
            </w:pPr>
            <w:r>
              <w:rPr/>
              <w:t>February 27, 2024</w:t>
            </w:r>
          </w:p>
        </w:tc>
      </w:tr>
      <w:tr>
        <w:trPr>
          <w:trHeight w:val="240" w:hRule="atLeast"/>
        </w:trPr>
        <w:tc>
          <w:tcPr>
            <w:tcW w:w="4421" w:type="dxa"/>
            <w:tcBorders/>
            <w:vAlign w:val="center"/>
          </w:tcPr>
          <w:p>
            <w:pPr>
              <w:pStyle w:val="TableContents"/>
              <w:bidi w:val="0"/>
              <w:spacing w:before="0" w:after="283"/>
              <w:jc w:val="left"/>
              <w:rPr>
                <w:sz w:val="4"/>
                <w:szCs w:val="4"/>
              </w:rPr>
            </w:pPr>
            <w:r>
              <w:rPr>
                <w:sz w:val="4"/>
                <w:szCs w:val="4"/>
              </w:rPr>
            </w:r>
          </w:p>
        </w:tc>
        <w:tc>
          <w:tcPr>
            <w:tcW w:w="3586" w:type="dxa"/>
            <w:gridSpan w:val="2"/>
            <w:tcBorders/>
            <w:vAlign w:val="center"/>
          </w:tcPr>
          <w:p>
            <w:pPr>
              <w:pStyle w:val="TableContents"/>
              <w:bidi w:val="0"/>
              <w:spacing w:before="0" w:after="283"/>
              <w:jc w:val="left"/>
              <w:rPr>
                <w:sz w:val="4"/>
                <w:szCs w:val="4"/>
              </w:rPr>
            </w:pPr>
            <w:r>
              <w:rPr>
                <w:sz w:val="4"/>
                <w:szCs w:val="4"/>
              </w:rPr>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442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J. Gould</w:t>
            </w:r>
          </w:p>
          <w:p>
            <w:pPr>
              <w:pStyle w:val="TableContents"/>
              <w:bidi w:val="0"/>
              <w:spacing w:before="0" w:after="20"/>
              <w:jc w:val="left"/>
              <w:rPr>
                <w:rFonts w:ascii="Times New Roman" w:hAnsi="Times New Roman"/>
                <w:sz w:val="20"/>
              </w:rPr>
            </w:pPr>
            <w:r>
              <w:rPr>
                <w:rFonts w:ascii="Times New Roman" w:hAnsi="Times New Roman"/>
                <w:sz w:val="20"/>
              </w:rPr>
              <w:t>Robert J. Gould</w:t>
            </w:r>
          </w:p>
        </w:tc>
        <w:tc>
          <w:tcPr>
            <w:tcW w:w="120" w:type="dxa"/>
            <w:tcBorders/>
            <w:vAlign w:val="bottom"/>
          </w:tcPr>
          <w:p>
            <w:pPr>
              <w:pStyle w:val="TableContents"/>
              <w:bidi w:val="0"/>
              <w:spacing w:before="0" w:after="283"/>
              <w:jc w:val="left"/>
              <w:rPr/>
            </w:pPr>
            <w:r>
              <w:rPr/>
              <w:t>  </w:t>
            </w:r>
          </w:p>
        </w:tc>
        <w:tc>
          <w:tcPr>
            <w:tcW w:w="3466"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center"/>
              <w:rPr/>
            </w:pPr>
            <w:r>
              <w:rPr/>
              <w:t>February 27,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33" w:name="d785884dex12.htm"/>
      <w:bookmarkStart w:id="34" w:name="ksd785884dex12"/>
      <w:bookmarkEnd w:id="33"/>
      <w:bookmarkEnd w:id="34"/>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Shares of Common Stock </w:t>
      </w:r>
    </w:p>
    <w:p>
      <w:pPr>
        <w:pStyle w:val="TextBody"/>
        <w:bidi w:val="0"/>
        <w:spacing w:before="0" w:after="0"/>
        <w:jc w:val="center"/>
        <w:rPr>
          <w:rFonts w:ascii="Times New Roman" w:hAnsi="Times New Roman"/>
          <w:sz w:val="20"/>
        </w:rPr>
      </w:pPr>
      <w:r>
        <w:rPr>
          <w:rFonts w:ascii="Times New Roman" w:hAnsi="Times New Roman"/>
          <w:sz w:val="20"/>
        </w:rPr>
        <w:t xml:space="preserve">(par value $0.001 per share) </w:t>
      </w:r>
    </w:p>
    <w:p>
      <w:pPr>
        <w:pStyle w:val="TextBody"/>
        <w:bidi w:val="0"/>
        <w:spacing w:before="240" w:after="0"/>
        <w:jc w:val="center"/>
        <w:rPr>
          <w:rFonts w:ascii="Times New Roman" w:hAnsi="Times New Roman"/>
          <w:b/>
          <w:sz w:val="20"/>
        </w:rPr>
      </w:pPr>
      <w:r>
        <w:rPr>
          <w:rFonts w:ascii="Times New Roman" w:hAnsi="Times New Roman"/>
          <w:b/>
          <w:sz w:val="20"/>
        </w:rPr>
        <w:t xml:space="preserve">Controlled Equity OfferingSM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27, 2024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499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787 7th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Fulcrum Therapeutics, Inc., a Delaware corporation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Cantor Fitzgerald &amp; Co. (</w:t>
      </w:r>
      <w:r>
        <w:rPr>
          <w:rFonts w:ascii="Times New Roman" w:hAnsi="Times New Roman"/>
          <w:b/>
          <w:sz w:val="20"/>
          <w:u w:val="single"/>
        </w:rPr>
        <w:t>Cantor</w:t>
      </w:r>
      <w:r>
        <w:rPr>
          <w:rFonts w:ascii="Times New Roman" w:hAnsi="Times New Roman"/>
          <w:sz w:val="20"/>
        </w:rPr>
        <w:t>) and Stifel, Nicolaus &amp; Company, Incorporated (</w:t>
      </w:r>
      <w:r>
        <w:rPr>
          <w:rFonts w:ascii="Times New Roman" w:hAnsi="Times New Roman"/>
          <w:b/>
          <w:sz w:val="20"/>
          <w:u w:val="single"/>
        </w:rPr>
        <w:t>Stifel</w:t>
      </w:r>
      <w:r>
        <w:rPr>
          <w:rFonts w:ascii="Times New Roman" w:hAnsi="Times New Roman"/>
          <w:sz w:val="20"/>
        </w:rPr>
        <w:t>; each individually an </w:t>
      </w:r>
      <w:r>
        <w:rPr>
          <w:rFonts w:ascii="Times New Roman" w:hAnsi="Times New Roman"/>
          <w:b/>
          <w:sz w:val="20"/>
          <w:u w:val="single"/>
        </w:rPr>
        <w:t>Agent</w:t>
      </w:r>
      <w:r>
        <w:rPr>
          <w:rFonts w:ascii="Times New Roman" w:hAnsi="Times New Roman"/>
          <w:sz w:val="20"/>
        </w:rPr>
        <w:t> and together, the </w:t>
      </w:r>
      <w:r>
        <w:rPr>
          <w:rFonts w:ascii="Times New Roman" w:hAnsi="Times New Roman"/>
          <w:b/>
          <w:sz w:val="20"/>
          <w:u w:val="single"/>
        </w:rPr>
        <w:t>Agents</w:t>
      </w:r>
      <w:r>
        <w:rPr>
          <w:rFonts w:ascii="Times New Roman" w:hAnsi="Times New Roman"/>
          <w:sz w:val="20"/>
        </w:rPr>
        <w:t xml:space="preserv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to or through the Agents, as sales agent or principal, shares (the </w:t>
            </w:r>
            <w:r>
              <w:rPr>
                <w:rFonts w:ascii="Times New Roman" w:hAnsi="Times New Roman"/>
                <w:b/>
                <w:sz w:val="20"/>
                <w:u w:val="single"/>
              </w:rPr>
              <w:t>Placement Shares</w:t>
            </w:r>
            <w:r>
              <w:rPr>
                <w:rFonts w:ascii="Times New Roman" w:hAnsi="Times New Roman"/>
                <w:sz w:val="20"/>
              </w:rPr>
              <w:t>) of common stock of the Company, par value $0.001 per share (the </w:t>
            </w:r>
            <w:r>
              <w:rPr>
                <w:rFonts w:ascii="Times New Roman" w:hAnsi="Times New Roman"/>
                <w:b/>
                <w:sz w:val="20"/>
                <w:u w:val="single"/>
              </w:rPr>
              <w:t>Common Stock</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no event shall the Company issue or sell through the Agents such number or dollar amount of Placement Shares that would (a) exceed the number or dollar amount of shares of Common Stock registered on the effective Registration Statement (as defined below) pursuant to which the offering is being made, (b) exceed the number of authorized but unissued shares of Common Stock (less shares of Common Stock issuable upon the exercise, conversion or exchange of any outstanding securities of the Company or otherwise reserved from the Companys authorized capital stock) that are available for issuance under the Restated Certificate of Incorporation of the Company, (c) exceed the number or dollar amount of shares of Common Stock permitted to be sold under Form S-3 (including General Instruction I.B.6 thereof, if applicable) or (d) exceed the number or dollar amount of shares of Common Stock for which the Company has filed a Prospectus Supplement (as defined below) (the lesser of (a), (b), (c) and (d),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hereto agree that compliance with the limitations set forth in this </w:t>
            </w:r>
            <w:r>
              <w:rPr>
                <w:rFonts w:ascii="Times New Roman" w:hAnsi="Times New Roman"/>
                <w:sz w:val="20"/>
                <w:u w:val="single"/>
              </w:rPr>
              <w:t>Section 1</w:t>
            </w:r>
            <w:r>
              <w:rPr>
                <w:rFonts w:ascii="Times New Roman" w:hAnsi="Times New Roman"/>
                <w:sz w:val="20"/>
              </w:rPr>
              <w:t xml:space="preserve"> on the number or dollar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and which will be declared effective by the Securities and Exchange Commission (the </w:t>
            </w:r>
            <w:r>
              <w:rPr>
                <w:rFonts w:ascii="Times New Roman" w:hAnsi="Times New Roman"/>
                <w:b/>
                <w:sz w:val="20"/>
                <w:u w:val="single"/>
              </w:rPr>
              <w:t>Commission</w:t>
            </w:r>
            <w:r>
              <w:rPr>
                <w:rFonts w:ascii="Times New Roman" w:hAnsi="Times New Roman"/>
                <w:sz w:val="20"/>
              </w:rPr>
              <w:t xml:space="preserve">), although nothing in this Agreement shall be construed as requiring the Company to use the Registration Statement to issue Common Stock.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The Company has filed or will file,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hAnsi="Times New Roman"/>
          <w:b/>
          <w:sz w:val="20"/>
          <w:u w:val="single"/>
        </w:rPr>
        <w:t>Exchange Act</w:t>
      </w:r>
      <w:r>
        <w:rPr>
          <w:rFonts w:ascii="Times New Roman" w:hAnsi="Times New Roman"/>
          <w:sz w:val="20"/>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hAnsi="Times New Roman"/>
          <w:b/>
          <w:sz w:val="20"/>
          <w:u w:val="single"/>
        </w:rPr>
        <w:t>Prospectus Supplement</w:t>
      </w:r>
      <w:r>
        <w:rPr>
          <w:rFonts w:ascii="Times New Roman" w:hAnsi="Times New Roman"/>
          <w:sz w:val="20"/>
        </w:rPr>
        <w:t>). The Company will furnish to the Agents, for use by the Agents, copies of the prospectus included as part of such registration statement, as supplemented by the Prospectus Supplement, relating to the Placement Shares to be issued from time to time by the Company.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under the Securities Act,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hAnsi="Times New Roman"/>
          <w:b/>
          <w:sz w:val="20"/>
          <w:u w:val="single"/>
        </w:rPr>
        <w:t>Registration Statement</w:t>
      </w:r>
      <w:r>
        <w:rPr>
          <w:rFonts w:ascii="Times New Roman" w:hAnsi="Times New Roman"/>
          <w:sz w:val="20"/>
        </w:rPr>
        <w:t>. The base prospectus or base prospectuses, including the Incorporated Documents (as defined below), included in the Registration Statement, as it may be supplemented, if necessary, by the Prospectus Supplement, in the form in which such prospectus or prospectuses have most recently been filed by the Company with the Commission pursuant to Rule 424(b) under the Securities Act, together with the then issued Issuer Free Writing Prospectus(es) (as defined below), is herein called the </w:t>
      </w:r>
      <w:r>
        <w:rPr>
          <w:rFonts w:ascii="Times New Roman" w:hAnsi="Times New Roman"/>
          <w:b/>
          <w:sz w:val="20"/>
          <w:u w:val="single"/>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hAnsi="Times New Roman"/>
          <w:b/>
          <w:sz w:val="20"/>
          <w:u w:val="single"/>
        </w:rPr>
        <w:t>Incorporated Documents</w:t>
      </w:r>
      <w:r>
        <w:rPr>
          <w:rFonts w:ascii="Times New Roman" w:hAnsi="Times New Roman"/>
          <w:sz w:val="20"/>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b/>
          <w:sz w:val="20"/>
          <w:u w:val="single"/>
        </w:rPr>
        <w:t>EDGAR</w:t>
      </w:r>
      <w:r>
        <w:rPr>
          <w:rFonts w:ascii="Times New Roman" w:hAnsi="Times New Roman"/>
          <w:sz w:val="20"/>
        </w:rPr>
        <w:t xml:space="preserve">). The Companys obligations under this Agreement to furnish, provide, deliver or make available (and all other references of like import) copies of any filing, report or statement shall be deemed satisfied if the same is filed with the Commission through EDGAR or any successor system.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Placements</w:t>
            </w:r>
            <w:r>
              <w:rPr>
                <w:rFonts w:ascii="Times New Roman" w:hAnsi="Times New Roman"/>
                <w:sz w:val="20"/>
              </w:rPr>
              <w:t>. Each time that the Company wishes to issue and sell Placement Shares hereunder (each, a </w:t>
            </w:r>
            <w:r>
              <w:rPr>
                <w:rFonts w:ascii="Times New Roman" w:hAnsi="Times New Roman"/>
                <w:b/>
                <w:sz w:val="20"/>
                <w:u w:val="single"/>
              </w:rPr>
              <w:t>Placement</w:t>
            </w:r>
            <w:r>
              <w:rPr>
                <w:rFonts w:ascii="Times New Roman" w:hAnsi="Times New Roman"/>
                <w:sz w:val="20"/>
              </w:rPr>
              <w:t>), it will notify one of the Agents that the Company may select in its sole discretion from time to time (such Agent, the </w:t>
            </w:r>
            <w:r>
              <w:rPr>
                <w:rFonts w:ascii="Times New Roman" w:hAnsi="Times New Roman"/>
                <w:b/>
                <w:sz w:val="20"/>
                <w:u w:val="single"/>
              </w:rPr>
              <w:t>Designated Agent</w:t>
            </w:r>
            <w:r>
              <w:rPr>
                <w:rFonts w:ascii="Times New Roman" w:hAnsi="Times New Roman"/>
                <w:sz w:val="20"/>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hAnsi="Times New Roman"/>
                <w:b/>
                <w:sz w:val="20"/>
                <w:u w:val="single"/>
              </w:rPr>
              <w:t>Placement Notice</w:t>
            </w:r>
            <w:r>
              <w:rPr>
                <w:rFonts w:ascii="Times New Roman" w:hAnsi="Times New Roman"/>
                <w:sz w:val="20"/>
              </w:rPr>
              <w:t xml:space="preserve">), the form of which is attached hereto as </w:t>
            </w:r>
            <w:r>
              <w:rPr>
                <w:rFonts w:ascii="Times New Roman" w:hAnsi="Times New Roman"/>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sz w:val="20"/>
                <w:u w:val="single"/>
              </w:rPr>
              <w:t>Schedule 3</w:t>
            </w:r>
            <w:r>
              <w:rPr>
                <w:rFonts w:ascii="Times New Roman" w:hAnsi="Times New Roman"/>
                <w:sz w:val="20"/>
              </w:rPr>
              <w:t xml:space="preserve"> (with a copy to each of the other individuals from the Company listed on such schedule), and shall be addressed to each of the individuals from the Designated Agent as set forth on </w:t>
            </w:r>
            <w:r>
              <w:rPr>
                <w:rFonts w:ascii="Times New Roman" w:hAnsi="Times New Roman"/>
                <w:sz w:val="20"/>
                <w:u w:val="single"/>
              </w:rPr>
              <w:t>Schedule 3</w:t>
            </w:r>
            <w:r>
              <w:rPr>
                <w:rFonts w:ascii="Times New Roman" w:hAnsi="Times New Roman"/>
                <w:sz w:val="20"/>
              </w:rPr>
              <w:t xml:space="preserve">, as such </w:t>
            </w:r>
            <w:r>
              <w:rPr>
                <w:rFonts w:ascii="Times New Roman" w:hAnsi="Times New Roman"/>
                <w:sz w:val="20"/>
                <w:u w:val="single"/>
              </w:rPr>
              <w:t>Schedule 3</w:t>
            </w:r>
            <w:r>
              <w:rPr>
                <w:rFonts w:ascii="Times New Roman" w:hAnsi="Times New Roman"/>
                <w:sz w:val="20"/>
              </w:rPr>
              <w:t xml:space="preserve"> may be amended from time to time. The Placement Notice shall be effective unless and until (i) the Designated Agent declines to accept the terms contained therein for any reason, in its sole discretion, (ii) the entire amount of the Placement Shares thereunder have been sold, (iii) the Company suspends or terminates the Placement Notice, (iv) the Company issues a subsequent Placement Notice with parameters superseding those on the earlier dated Placement Notice or (v) this Agreement has been terminated under the provisions of </w:t>
            </w:r>
            <w:r>
              <w:rPr>
                <w:rFonts w:ascii="Times New Roman" w:hAnsi="Times New Roman"/>
                <w:sz w:val="20"/>
                <w:u w:val="single"/>
              </w:rPr>
              <w:t>Section 12</w:t>
            </w:r>
            <w:r>
              <w:rPr>
                <w:rFonts w:ascii="Times New Roman" w:hAnsi="Times New Roman"/>
                <w:sz w:val="20"/>
              </w:rPr>
              <w:t xml:space="preserve">. The amount of any discount, commission or other compensation to be paid by the Company to the Designated Agent in connection with the sale of the Placement Shares effected through such Designated Agent shall be calculated in accordance with the terms set forth in </w:t>
            </w:r>
            <w:r>
              <w:rPr>
                <w:rFonts w:ascii="Times New Roman" w:hAnsi="Times New Roman"/>
                <w:sz w:val="20"/>
                <w:u w:val="single"/>
              </w:rPr>
              <w:t>Schedule 2</w:t>
            </w:r>
            <w:r>
              <w:rPr>
                <w:rFonts w:ascii="Times New Roman" w:hAnsi="Times New Roman"/>
                <w:sz w:val="20"/>
              </w:rPr>
              <w:t xml:space="preserve">.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Sale of Placement Shares by the Designated Agent</w:t>
            </w:r>
            <w:r>
              <w:rPr>
                <w:rFonts w:ascii="Times New Roman" w:hAnsi="Times New Roman"/>
                <w:sz w:val="20"/>
              </w:rPr>
              <w:t xml:space="preserve">. Subject to the provisions of </w:t>
            </w:r>
            <w:r>
              <w:rPr>
                <w:rFonts w:ascii="Times New Roman" w:hAnsi="Times New Roman"/>
                <w:sz w:val="20"/>
                <w:u w:val="single"/>
              </w:rPr>
              <w:t>Section 5(a)</w:t>
            </w:r>
            <w:r>
              <w:rPr>
                <w:rFonts w:ascii="Times New Roman" w:hAnsi="Times New Roman"/>
                <w:sz w:val="20"/>
              </w:rPr>
              <w:t>, the Designated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 w:hAnsi="Times New Roman"/>
                <w:b/>
                <w:sz w:val="20"/>
                <w:u w:val="single"/>
              </w:rPr>
              <w:t>Exchange</w:t>
            </w:r>
            <w:r>
              <w:rPr>
                <w:rFonts w:ascii="Times New Roman" w:hAnsi="Times New Roman"/>
                <w:sz w:val="20"/>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hAnsi="Times New Roman"/>
                <w:sz w:val="20"/>
                <w:u w:val="single"/>
              </w:rPr>
              <w:t>Section 2</w:t>
            </w:r>
            <w:r>
              <w:rPr>
                <w:rFonts w:ascii="Times New Roman" w:hAnsi="Times New Roman"/>
                <w:sz w:val="20"/>
              </w:rPr>
              <w:t xml:space="preserve"> with respect to such sales, and the Net Proceeds (as defined below) payable to the Company, with an itemization of the deductions made by the Designated Agent (as set forth in </w:t>
            </w:r>
            <w:r>
              <w:rPr>
                <w:rFonts w:ascii="Times New Roman" w:hAnsi="Times New Roman"/>
                <w:sz w:val="20"/>
                <w:u w:val="single"/>
              </w:rPr>
              <w:t>Section 5(b)</w:t>
            </w:r>
            <w:r>
              <w:rPr>
                <w:rFonts w:ascii="Times New Roman" w:hAnsi="Times New Roman"/>
                <w:sz w:val="20"/>
              </w:rPr>
              <w:t>) from the gross proceeds that it receives from such sales. Subject to the terms of the Placement Notice, the Designated Agent may sell Placement Shares by any method permitted by law deemed to be an at the market offering as defined in Rule 415(a)(4) under the Securities Act, including block transactions, sales made directly on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Times New Roman" w:hAnsi="Times New Roman"/>
                <w:b/>
                <w:sz w:val="20"/>
                <w:u w:val="single"/>
              </w:rPr>
              <w:t>Trading Day</w:t>
            </w:r>
            <w:r>
              <w:rPr>
                <w:rFonts w:ascii="Times New Roman" w:hAnsi="Times New Roman"/>
                <w:sz w:val="20"/>
              </w:rPr>
              <w:t xml:space="preserve"> means any day on which Common Stock is traded on the Exchange.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Suspension of Sales</w:t>
            </w:r>
            <w:r>
              <w:rPr>
                <w:rFonts w:ascii="Times New Roman" w:hAnsi="Times New Roman"/>
                <w:sz w:val="20"/>
              </w:rPr>
              <w:t xml:space="preserve">. The Company or the Designated Agent may, upon notice to the other party in writing (including by email correspondence to each of the individuals of the other party set forth on </w:t>
            </w:r>
            <w:r>
              <w:rPr>
                <w:rFonts w:ascii="Times New Roman" w:hAnsi="Times New Roman"/>
                <w:sz w:val="20"/>
                <w:u w:val="single"/>
              </w:rPr>
              <w:t>Schedule 3</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sz w:val="20"/>
                <w:u w:val="single"/>
              </w:rPr>
              <w:t>Schedule 3</w:t>
            </w:r>
            <w:r>
              <w:rPr>
                <w:rFonts w:ascii="Times New Roman" w:hAnsi="Times New Roman"/>
                <w:sz w:val="20"/>
              </w:rPr>
              <w:t>), suspend any sale of Placement Shares (a </w:t>
            </w:r>
            <w:r>
              <w:rPr>
                <w:rFonts w:ascii="Times New Roman" w:hAnsi="Times New Roman"/>
                <w:b/>
                <w:sz w:val="20"/>
                <w:u w:val="single"/>
              </w:rPr>
              <w:t>Suspension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hAnsi="Times New Roman"/>
                <w:sz w:val="20"/>
                <w:u w:val="single"/>
              </w:rPr>
              <w:t>Sections 7(l)</w:t>
            </w:r>
            <w:r>
              <w:rPr>
                <w:rFonts w:ascii="Times New Roman" w:hAnsi="Times New Roman"/>
                <w:sz w:val="20"/>
              </w:rPr>
              <w:t xml:space="preserve">, </w:t>
            </w:r>
            <w:r>
              <w:rPr>
                <w:rFonts w:ascii="Times New Roman" w:hAnsi="Times New Roman"/>
                <w:sz w:val="20"/>
                <w:u w:val="single"/>
              </w:rPr>
              <w:t>7(m)</w:t>
            </w:r>
            <w:r>
              <w:rPr>
                <w:rFonts w:ascii="Times New Roman" w:hAnsi="Times New Roman"/>
                <w:sz w:val="20"/>
              </w:rPr>
              <w:t xml:space="preserve">, and </w:t>
            </w:r>
            <w:r>
              <w:rPr>
                <w:rFonts w:ascii="Times New Roman" w:hAnsi="Times New Roman"/>
                <w:sz w:val="20"/>
                <w:u w:val="single"/>
              </w:rPr>
              <w:t>7(n)</w:t>
            </w:r>
            <w:r>
              <w:rPr>
                <w:rFonts w:ascii="Times New Roman" w:hAnsi="Times New Roman"/>
                <w:sz w:val="20"/>
              </w:rPr>
              <w:t xml:space="preserve"> with respect to the delivery of certificates, opinions, or comfort letters to the Agents, shall be waived.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any other party unless it is made to one of the individuals named on </w:t>
            </w:r>
            <w:r>
              <w:rPr>
                <w:rFonts w:ascii="Times New Roman" w:hAnsi="Times New Roman"/>
                <w:sz w:val="20"/>
                <w:u w:val="single"/>
              </w:rPr>
              <w:t>Schedule 3</w:t>
            </w:r>
            <w:r>
              <w:rPr>
                <w:rFonts w:ascii="Times New Roman" w:hAnsi="Times New Roman"/>
                <w:sz w:val="20"/>
              </w:rPr>
              <w:t xml:space="preserve"> hereto, as such Schedule may be amended from time to time.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(iii) the Agents shall not be obligated to sell or offer to sell any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Sale and Delivery to the Designated Agent; Settlement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Sale of Placement Shares</w:t>
            </w:r>
            <w:r>
              <w:rPr>
                <w:rFonts w:ascii="Times New Roman" w:hAnsi="Times New Roman"/>
                <w:i/>
                <w:sz w:val="20"/>
              </w:rPr>
              <w:t xml:space="preserve">. </w:t>
            </w:r>
            <w:r>
              <w:rPr>
                <w:rFonts w:ascii="Times New Roman" w:hAnsi="Times New Roman"/>
                <w:sz w:val="20"/>
              </w:rPr>
              <w:t xml:space="preserve">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Settlement of Placement Shares</w:t>
            </w:r>
            <w:r>
              <w:rPr>
                <w:rFonts w:ascii="Times New Roman" w:hAnsi="Times New Roman"/>
                <w:i/>
                <w:sz w:val="20"/>
              </w:rPr>
              <w:t xml:space="preserve">. </w:t>
            </w:r>
            <w:r>
              <w:rPr>
                <w:rFonts w:ascii="Times New Roman" w:hAnsi="Times New Roman"/>
                <w:sz w:val="20"/>
              </w:rPr>
              <w:t>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hAnsi="Times New Roman"/>
                <w:b/>
                <w:sz w:val="20"/>
                <w:u w:val="single"/>
              </w:rPr>
              <w:t>Settlement Date</w:t>
            </w:r>
            <w:r>
              <w:rPr>
                <w:rFonts w:ascii="Times New Roman" w:hAnsi="Times New Roman"/>
                <w:sz w:val="20"/>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the Designated Agent, after deduction for (i) the Designated Agents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and (ii) any transaction fees imposed by any Governmental Authority in respect of such sales.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Delivery of Placement Shares</w:t>
            </w:r>
            <w:r>
              <w:rPr>
                <w:rFonts w:ascii="Times New Roman" w:hAnsi="Times New Roman"/>
                <w:sz w:val="20"/>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hAnsi="Times New Roman"/>
                <w:sz w:val="20"/>
                <w:u w:val="single"/>
              </w:rPr>
              <w:t>Section 10(a)</w:t>
            </w:r>
            <w:r>
              <w:rPr>
                <w:rFonts w:ascii="Times New Roman" w:hAnsi="Times New Roman"/>
                <w:sz w:val="20"/>
              </w:rPr>
              <w:t xml:space="preserve"> hereto, it will (i) hold the Designated Agent harmless against any loss, claim, damage, or expense (including reasonable and documented legal fees and expenses), as incurred, arising out of or in connection with such default by the Company or its transfer agent (if applicable) and (ii) pay to the Designated Agent any commission, discount, or other compensation to which it would otherwise have been entitled absent such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Denominations; Registration</w:t>
            </w:r>
            <w:r>
              <w:rPr>
                <w:rFonts w:ascii="Times New Roman" w:hAnsi="Times New Roman"/>
                <w:i/>
                <w:sz w:val="20"/>
              </w:rPr>
              <w:t xml:space="preserve">. </w:t>
            </w:r>
            <w:r>
              <w:rPr>
                <w:rFonts w:ascii="Times New Roman" w:hAnsi="Times New Roman"/>
                <w:sz w:val="20"/>
              </w:rPr>
              <w:t xml:space="preserve">The Company and the Agents each acknowledge and agree that the Placements Shares shall, unless agreed by the Company or required by applicable Laws, not be issued in certificated form. Certificates for the Placement Shares, if any, shall be in such denominations and registered in such names as the Designated Agent may request in writing at least one full Business Day (as defined below) before the applicable Settlement Date. The certificates for the Placement Shares, if any, will be made available by the Company for examination and packaging by the Designated Agent in the City of New York not later than noon (New York time) on the Business Day prior to the applicable Settlement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Limitations on Offering Size</w:t>
            </w:r>
            <w:r>
              <w:rPr>
                <w:rFonts w:ascii="Times New Roman" w:hAnsi="Times New Roman"/>
                <w:i/>
                <w:sz w:val="20"/>
              </w:rPr>
              <w:t xml:space="preserve">. </w:t>
            </w:r>
            <w:r>
              <w:rPr>
                <w:rFonts w:ascii="Times New Roman" w:hAnsi="Times New Roman"/>
                <w:sz w:val="20"/>
              </w:rPr>
              <w:t xml:space="preserve">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number or dollar amount of Placement Shares sold pursuant to this Agreement to exceed the Maximum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Sales Through Designated Agent</w:t>
            </w:r>
            <w:r>
              <w:rPr>
                <w:rFonts w:ascii="Times New Roman" w:hAnsi="Times New Roman"/>
                <w:sz w:val="20"/>
              </w:rPr>
              <w:t xml:space="preserve">. With respect to the offering and sale of Placement Shares pursuant to this Agreement, the Company and Agents agree that any offer to sell Placement Shares, any solicitation of an offer to buy Placement Shares, and any sales of Placement Shares shall only be effected by or through the Designated Agent.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each Agent that as of the date of this Agreement and as of each Applicable Time (as defined below), unless such representation, warranty or agreement specifies a different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and Prospectus</w:t>
            </w:r>
            <w:r>
              <w:rPr>
                <w:rFonts w:ascii="Times New Roman" w:hAnsi="Times New Roman"/>
                <w:sz w:val="20"/>
              </w:rPr>
              <w:t xml:space="preserve">. The Company and the transactions contemplated by this Agreement meet the requirements for and comply with the applicable conditions set forth in Form S-3 (including General Instructions I.A and I.B) under the Securities Act. The Registration Statement has been filed with the Commission and will be declared effective by the Commission under the Securities Act prior to the issuance of any Placement Notices by the Company. As of each Applicable Time, the Registration Statement is effective.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in all material respects. Copies of the Registration Statement, the Prospectus, and any such amendments or supplements and all Incorporated Documents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each Agent has consented. The Common Stock is registered pursuant to Section 12(b) of the Exchange Act and is currently listed on the Exchange under the trading symbol FULC.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Misstatement or Omission</w:t>
            </w:r>
            <w:r>
              <w:rPr>
                <w:rFonts w:ascii="Times New Roman" w:hAnsi="Times New Roman"/>
                <w:sz w:val="20"/>
              </w:rPr>
              <w:t xml:space="preserve">.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(as defined below), did not or will not include an untrue statement of a material fact or omit to state a material fact necessary to make the statements therein, in light of the circumstances under which they were made, not misleading. The Incorporated Documents did not, and any further documents filed and incorporated by reference therein will not, when filed with the Commission, contain an untrue statement of a material fact or omit to state a material fact required to be stated in such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each Agent in writing specifically for use in the preparation thereof, it being understood and agreed that the only such information furnished by each Agent to the Company consists of Agent Information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Conformity with the Securities Act and Exchange Act</w:t>
            </w:r>
            <w:r>
              <w:rPr>
                <w:rFonts w:ascii="Times New Roman" w:hAnsi="Times New Roman"/>
                <w:sz w:val="20"/>
              </w:rPr>
              <w:t xml:space="preserve">. The Registration Statement, the Prospectus, any Issuer Free Writing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Financial Information</w:t>
            </w:r>
            <w:r>
              <w:rPr>
                <w:rFonts w:ascii="Times New Roman" w:hAnsi="Times New Roman"/>
                <w:sz w:val="20"/>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in all material respects and in conformity with U.S. Generally Accepted Accounting Principles (</w:t>
            </w:r>
            <w:r>
              <w:rPr>
                <w:rFonts w:ascii="Times New Roman" w:hAnsi="Times New Roman"/>
                <w:b/>
                <w:sz w:val="20"/>
                <w:u w:val="single"/>
              </w:rPr>
              <w:t>GAAP</w:t>
            </w:r>
            <w:r>
              <w:rPr>
                <w:rFonts w:ascii="Times New Roman" w:hAnsi="Times New Roman"/>
                <w:sz w:val="20"/>
              </w:rPr>
              <w:t xml:space="preserve">) applied on a consistent basis during the periods involved, except (i) the unaudited, interim financial statements, which are subject to normal year-end adjustments and do not contain certain footnotes as permitted by the applicable rules of the Commission and (ii) as otherwise disclosed therein. The other financial and statistical data with respect to the Company and the Subsidiaries contained or incorporated by reference in the Registration Statement, the Prospectus and the Issuer Free Writing Prospectuses, if any,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(including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Conformity with EDGAR Filing</w:t>
            </w:r>
            <w:r>
              <w:rPr>
                <w:rFonts w:ascii="Times New Roman" w:hAnsi="Times New Roman"/>
                <w:sz w:val="20"/>
              </w:rPr>
              <w:t xml:space="preserve">.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Organization</w:t>
            </w:r>
            <w:r>
              <w:rPr>
                <w:rFonts w:ascii="Times New Roman" w:hAnsi="Times New Roman"/>
                <w:sz w:val="20"/>
              </w:rPr>
              <w:t>. The Company and each of its Subsidiaries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and the Subsidiaries taken as a whole, or prevent or materially interfere with the ability of the Company to consummate the transactions contemplated hereby (a </w:t>
            </w:r>
            <w:r>
              <w:rPr>
                <w:rFonts w:ascii="Times New Roman" w:hAnsi="Times New Roman"/>
                <w:b/>
                <w:sz w:val="20"/>
                <w:u w:val="single"/>
              </w:rPr>
              <w:t>Material Adverse Effect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Subsidiaries</w:t>
            </w:r>
            <w:r>
              <w:rPr>
                <w:rFonts w:ascii="Times New Roman" w:hAnsi="Times New Roman"/>
                <w:sz w:val="20"/>
              </w:rPr>
              <w:t xml:space="preserve">. The subsidiaries set forth on </w:t>
            </w:r>
            <w:r>
              <w:rPr>
                <w:rFonts w:ascii="Times New Roman" w:hAnsi="Times New Roman"/>
                <w:sz w:val="20"/>
                <w:u w:val="single"/>
              </w:rPr>
              <w:t>Schedule 4</w:t>
            </w:r>
            <w:r>
              <w:rPr>
                <w:rFonts w:ascii="Times New Roman" w:hAnsi="Times New Roman"/>
                <w:sz w:val="20"/>
              </w:rPr>
              <w:t xml:space="preserve"> (collectively, the </w:t>
            </w:r>
            <w:r>
              <w:rPr>
                <w:rFonts w:ascii="Times New Roman" w:hAnsi="Times New Roman"/>
                <w:b/>
                <w:sz w:val="20"/>
                <w:u w:val="single"/>
              </w:rPr>
              <w:t>Subsidiaries</w:t>
            </w:r>
            <w:r>
              <w:rPr>
                <w:rFonts w:ascii="Times New Roman" w:hAnsi="Times New Roman"/>
                <w:sz w:val="20"/>
              </w:rPr>
              <w:t xml:space="preserve">),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lien, charge, security interest or encumbrance, and all the equity interests of the Subsidiaries are validly issued and are fully paid, nonassessable and free of preemptive and similar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Violations or Default</w:t>
            </w:r>
            <w:r>
              <w:rPr>
                <w:rFonts w:ascii="Times New Roman" w:hAnsi="Times New Roman"/>
                <w:sz w:val="20"/>
              </w:rPr>
              <w:t xml:space="preserve">. Neither the Company nor any of its Subsidiaries is (i) in violation of its charter or by-laws or similar organizational documents; (ii) in default in the due performance or observance of any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(i)</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Material Adverse Change</w:t>
            </w:r>
            <w:r>
              <w:rPr>
                <w:rFonts w:ascii="Times New Roman" w:hAnsi="Times New Roman"/>
                <w:sz w:val="20"/>
              </w:rPr>
              <w:t xml:space="preserve">.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(other than changes in the number of outstanding shares of Common Stock due to the issuance of shares upon the exercise or conversion of securities exercisable for, or convertible into, shares of Common Stock, or the vesting of equity awards) or (v) any dividend or distribution of any kind declared, paid or made on the capital stock of the Company or any Subsidiary, other than in each case of clauses (i) through (v) above, (A) in the ordinary course of business, (B) as otherwise disclosed in the Registration Statement or Prospectus (including any document deemed incorporated by reference therein), or (C) where such matter, item, change or development would not make the statements in the Registration Statement or the Prospectus contain an untrue statement of a material fact or omit to state a material fact required to be stated therein or necessary to make the statements therein not misleading.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Capitalization</w:t>
            </w:r>
            <w:r>
              <w:rPr>
                <w:rFonts w:ascii="Times New Roman" w:hAnsi="Times New Roman"/>
                <w:sz w:val="20"/>
              </w:rPr>
              <w:t xml:space="preserve">. The issued and outstanding shares of capital stock of the Company have been validly issued, are fully paid and nonassessable. The Company has an authorized, issued and outstanding capitalization as set forth in the Registration Statement and the Prospectus as of the dates referred to therein (other than the grant of additional options or other equity awards under the Companys existing equity compensation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Authorization; Enforceability</w:t>
            </w:r>
            <w:r>
              <w:rPr>
                <w:rFonts w:ascii="Times New Roman" w:hAnsi="Times New Roman"/>
                <w:sz w:val="20"/>
              </w:rPr>
              <w:t xml:space="preserve">.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 w:hAnsi="Times New Roman"/>
                <w:sz w:val="20"/>
                <w:u w:val="single"/>
              </w:rPr>
              <w:t>Section 11</w:t>
            </w:r>
            <w:r>
              <w:rPr>
                <w:rFonts w:ascii="Times New Roman" w:hAnsi="Times New Roman"/>
                <w:sz w:val="20"/>
              </w:rPr>
              <w:t xml:space="preserve"> hereof may be limited by federal or state securities laws and public policy considerations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Authorization of Placement Shares</w:t>
            </w:r>
            <w:r>
              <w:rPr>
                <w:rFonts w:ascii="Times New Roman" w:hAnsi="Times New Roman"/>
                <w:sz w:val="20"/>
              </w:rPr>
              <w:t xml:space="preserve">.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Agents or a purchaser), including any statutory or contractual preemptive rights, resale rights, rights of first refusal or other similar rights that have not been validly waived. The Placement Shares, when issued, will conform to the description thereof set forth in or incorporated into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Consents Required</w:t>
            </w:r>
            <w:r>
              <w:rPr>
                <w:rFonts w:ascii="Times New Roman" w:hAnsi="Times New Roman"/>
                <w:sz w:val="20"/>
              </w:rPr>
              <w:t>. No consent, approval, authorization, order, registration or qualification of or with any Governmental Authority is required for the execution, delivery and performance by the Company of this Agreement, and the issuance and sale by the Company of the Placement Shares, except for such consents, approvals, authorizations, orders and registrations or qualifications as may be required under the Securities Act, applicable state securities laws or by the by-laws and rules of the Financial Industry Regulatory Authority (</w:t>
            </w:r>
            <w:r>
              <w:rPr>
                <w:rFonts w:ascii="Times New Roman" w:hAnsi="Times New Roman"/>
                <w:b/>
                <w:sz w:val="20"/>
                <w:u w:val="single"/>
              </w:rPr>
              <w:t>FINRA</w:t>
            </w:r>
            <w:r>
              <w:rPr>
                <w:rFonts w:ascii="Times New Roman" w:hAnsi="Times New Roman"/>
                <w:sz w:val="20"/>
              </w:rPr>
              <w:t xml:space="preserve">) or the Exchange in connection with the sale of the Placement Shares by the Designated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Preferential Rights</w:t>
            </w:r>
            <w:r>
              <w:rPr>
                <w:rFonts w:ascii="Times New Roman" w:hAnsi="Times New Roman"/>
                <w:sz w:val="20"/>
              </w:rPr>
              <w:t xml:space="preserve">. Except as set forth in the Registration Statement and the Prospectus,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for any such rights which have been validly waived or complied with in connection with the issuance and sales of the Placement Shares contemplated hereby.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Independent Public Accounting Firm</w:t>
            </w:r>
            <w:r>
              <w:rPr>
                <w:rFonts w:ascii="Times New Roman" w:hAnsi="Times New Roman"/>
                <w:sz w:val="20"/>
              </w:rPr>
              <w:t>. Ernst &amp; Young LLP (the </w:t>
            </w:r>
            <w:r>
              <w:rPr>
                <w:rFonts w:ascii="Times New Roman" w:hAnsi="Times New Roman"/>
                <w:b/>
                <w:sz w:val="20"/>
                <w:u w:val="single"/>
              </w:rPr>
              <w:t>Accountant</w:t>
            </w:r>
            <w:r>
              <w:rPr>
                <w:rFonts w:ascii="Times New Roman" w:hAnsi="Times New Roman"/>
                <w:sz w:val="20"/>
              </w:rPr>
              <w:t xml:space="preserve">),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Litigation</w:t>
            </w:r>
            <w:r>
              <w:rPr>
                <w:rFonts w:ascii="Times New Roman" w:hAnsi="Times New Roman"/>
                <w:sz w:val="20"/>
              </w:rPr>
              <w:t xml:space="preserve">. Except as set forth in the Registration Statement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if determined adversely to the Company or any of its Subsidiaries, individually or in the aggregate, would have a Material Adverse Effect and, to the Companys knowledge, no such actions, suits, proceedings, audits or investigations are threatened or contemplated by any Governmental Authority or threatened by others; and there are no current or pending audits or investigations, actions, suits or proceedings by or before any Governmental Authority that are required under the Securities Act to be described in the Prospectus that are not so described.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(q)</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Consents and Permits</w:t>
            </w:r>
            <w:r>
              <w:rPr>
                <w:rFonts w:ascii="Times New Roman" w:hAnsi="Times New Roman"/>
                <w:sz w:val="20"/>
              </w:rPr>
              <w:t>. Each of the Company and its Subsidiaries possesses, and is in material compliance with the terms of, all applications, certificates, approvals, clearances, registrations, exemptions, franchises, licenses, permits, consents and other authorizations issued by the appropriate Governmental Authorities and necessary to conduct their respective businesses as currently conducted or as proposed to be conducted as described in the Prospectus (collectively, </w:t>
            </w:r>
            <w:r>
              <w:rPr>
                <w:rFonts w:ascii="Times New Roman" w:hAnsi="Times New Roman"/>
                <w:b/>
                <w:sz w:val="20"/>
                <w:u w:val="single"/>
              </w:rPr>
              <w:t>Licenses</w:t>
            </w:r>
            <w:r>
              <w:rPr>
                <w:rFonts w:ascii="Times New Roman" w:hAnsi="Times New Roman"/>
                <w:sz w:val="20"/>
              </w:rPr>
              <w:t>), including, without limitation, all Licenses required by the Food and Drug Administration (</w:t>
            </w:r>
            <w:r>
              <w:rPr>
                <w:rFonts w:ascii="Times New Roman" w:hAnsi="Times New Roman"/>
                <w:b/>
                <w:sz w:val="20"/>
                <w:u w:val="single"/>
              </w:rPr>
              <w:t>FDA</w:t>
            </w:r>
            <w:r>
              <w:rPr>
                <w:rFonts w:ascii="Times New Roman" w:hAnsi="Times New Roman"/>
                <w:sz w:val="20"/>
              </w:rPr>
              <w:t>), or any component thereof, and/or by any other U.S., state, local or foreign government or drug regulatory agency (collectively, the </w:t>
            </w:r>
            <w:r>
              <w:rPr>
                <w:rFonts w:ascii="Times New Roman" w:hAnsi="Times New Roman"/>
                <w:b/>
                <w:sz w:val="20"/>
                <w:u w:val="single"/>
              </w:rPr>
              <w:t>Regulatory Agencies</w:t>
            </w:r>
            <w:r>
              <w:rPr>
                <w:rFonts w:ascii="Times New Roman" w:hAnsi="Times New Roman"/>
                <w:sz w:val="20"/>
              </w:rPr>
              <w:t xml:space="preserve">), except where a failure to so possess or noncompliance would not, individually or in the aggregate, reasonably be expected to have a Material Adverse Effect. All such Licenses are in full force and effect and none of the Company or its Subsidiaries are in violation of any term or conditions of any such License, except where a failure to be in full force or effect or such violation would not, individually or in the aggregate, reasonably be expected to have a Material Adverse Effect. Each of the Company and its Subsidiaries have fulfilled and performed all of their respective obligations with respect to such Licenses and, no event has occurred which allows, or after notice or lapse of time would allow, revocation or termination thereof or results in any other impairment of the rights of the holder of any such License, except for such failure or occurrence that would not, individually or in the aggregate, reasonably be expected to have a Material Adverse Effect. None of the Company or its Subsidiaries has received any notice of proceedings from the applicable Regulatory Agency proposing to revoke or materially adversely modify any such Licenses and, to the Companys knowledge, no Regulatory Agency has taken any action to limit, suspend or revoke any such License possessed by the Company, except, in either case, as would not reasonably be expected to have a Material Adverse Effect.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Clinical Studies</w:t>
            </w:r>
            <w:r>
              <w:rPr>
                <w:rFonts w:ascii="Times New Roman" w:hAnsi="Times New Roman"/>
                <w:sz w:val="20"/>
              </w:rPr>
              <w:t xml:space="preserve">. None of the Companys product candidates have received marketing approval from any Regulatory Agencies. The pre-clinical studies and clinical trials that are described in the Registration Statement and the Prospectus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or by a licensor, and the results thereof, contained in the Registration Statement and the Prospectus are accurate and complete in all material respects; the Company is not aware of any other pre-clinical studies or clinical trials, the results of which reasonably call into question the results described in the Registration Statement and the Prospectus; and the Company has not received any notices or correspondence from the FDA, any foreign, state or local governmental body exercising comparable authority or ethics committee or similar body requiring the termination, suspension, material modification or clinical hold of any pre-clinical studies or clinical trials conducted by or, to the Companys knowledge, on behalf of the Company or by a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(s)</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Intellectual Property</w:t>
            </w:r>
            <w:r>
              <w:rPr>
                <w:rFonts w:ascii="Times New Roman" w:hAnsi="Times New Roman"/>
                <w:sz w:val="20"/>
              </w:rPr>
              <w:t>. Except as described in the Registration Statement or Prospectus, the Company and each subsidiary owns or has valid and enforceable licenses or other rights to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or the proposed conduct, of the business of the Company in the manner described in the Prospectus (collectively, the </w:t>
            </w:r>
            <w:r>
              <w:rPr>
                <w:rFonts w:ascii="Times New Roman" w:hAnsi="Times New Roman"/>
                <w:b/>
                <w:sz w:val="20"/>
                <w:u w:val="single"/>
              </w:rPr>
              <w:t>Company Intellectual Property</w:t>
            </w:r>
            <w:r>
              <w:rPr>
                <w:rFonts w:ascii="Times New Roman" w:hAnsi="Times New Roman"/>
                <w:sz w:val="20"/>
              </w:rPr>
              <w:t xml:space="preserve">). To the Companys knowledge, there are no rights of third parties to any of the patents, trademarks and copyrights within the Company Intellectual Property disclosed in the Registration Statement and the Prospectus as being owned by the Company and its Subsidiaries and such patents, trademark and copyrights are owned by the Company and its Subsidiaries free and clear of all material liens, security interests, or encumbrances. To the Companys knowledge, the patents, trademarks and copyrights held or licensed by the Company and its Subsidiaries included within the Company Intellectual Property are valid, enforceable and subsisting; and other than as disclosed in the Prospectus, (i) none of the Company or its Subsidiaries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conduct of the business of the Company or its Subsidiaries in the manner described in the Prospectus is infringing, misappropriating, diluting or otherwise violating any intellectual property rights of others, (iii) no action, suit, claim or other proceeding is pending or, to the knowledge of the Company, is threatened, challenging the validity, enforceability, scope, registration, ownership or use of any of the Company Intellectual Property, (iv) no action, suit, claim or other proceeding is pending or, to the knowledge of the Company, is threatened, challenging the Companys and its Subsidiaries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or its Subsidiaries products, proposed products, processes or Company Intellectual Property, (vi) to the knowledge of the Company, the development, manufacture, sale, and any currently proposed use of any of the products, proposed products or processes of the Company and its Subsidiaries referred to in the Prospectus, in the current or proposed conduct of the business of the Company, do not currently, and will not upon commercialization, to the knowledge of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Company, infringe any right or valid patent claim of any third party in any material respect, (vii) to the Companys knowledge, no third party has any ownership right in or to any Company Intellectual Property in any field of use that is exclusively licensed to the Company or its Subsidiaries, other an any licensor to the Company or its Subsidiaries of such Company Intellectual Property, (viii) no employee, consultant or independent contractor of the Company or its Subsidiaries is, to the Companys knowledge,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commercially reasonable measures to protect its material confidential information and material trade secrets and to maintain and safeguard the material Company Intellectual Property, including the execution of appropriate nondisclosure and confidentiality agreements and (x) the Company has complied with the material terms of each agreement pursuant to which the Company Intellectual Property has been licensed to the Company, and any such agreements are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Patents</w:t>
            </w:r>
            <w:r>
              <w:rPr>
                <w:rFonts w:ascii="Times New Roman" w:hAnsi="Times New Roman"/>
                <w:sz w:val="20"/>
              </w:rPr>
              <w:t>. All patents and patent applications owned by or licensed to the Company and its Subsidiaries or under which the Company and its Subsidiaries have rights have, to the knowledge of the Company, been duly and properly filed and maintained ; to the knowledge of the Company, there are no material defects in any of the patents or patent applications disclosed in the Registration Statement and the Prospectus as being owned by the Company or its Subsidiaries; to the knowledge of the Company, the parties prosecuting such applications have complied with their duty of candor and disclosure to the United States Patent and Trademark Office (the </w:t>
            </w:r>
            <w:r>
              <w:rPr>
                <w:rFonts w:ascii="Times New Roman" w:hAnsi="Times New Roman"/>
                <w:b/>
                <w:sz w:val="20"/>
                <w:u w:val="single"/>
              </w:rPr>
              <w:t>USPTO</w:t>
            </w:r>
            <w:r>
              <w:rPr>
                <w:rFonts w:ascii="Times New Roman" w:hAnsi="Times New Roman"/>
                <w:sz w:val="20"/>
              </w:rPr>
              <w:t xml:space="preserve">)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(u)</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Market Capitalization</w:t>
            </w:r>
            <w:r>
              <w:rPr>
                <w:rFonts w:ascii="Times New Roman" w:hAnsi="Times New Roman"/>
                <w:sz w:val="20"/>
              </w:rPr>
              <w:t xml:space="preserve">. At the time the Registration Statement was, or will be, originally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FINRA Matters</w:t>
            </w:r>
            <w:r>
              <w:rPr>
                <w:rFonts w:ascii="Times New Roman" w:hAnsi="Times New Roman"/>
                <w:sz w:val="20"/>
              </w:rPr>
              <w:t xml:space="preserve">. The information provided to each Agent by the Company, its counsel, and its officers and directors for purposes of each Agents compliance with applicable FINRA rules in connection with the offering of the Shares is true, complete, and correct and compliant with FINRAs rules in all material respects. The Company meets the definition of the term experienced issuer specified in FINRA Rule 5110(j)(6).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Certain Market Activities</w:t>
            </w:r>
            <w:r>
              <w:rPr>
                <w:rFonts w:ascii="Times New Roman" w:hAnsi="Times New Roman"/>
                <w:sz w:val="20"/>
              </w:rPr>
              <w:t xml:space="preserve">. Neither the Company, nor any of the Subsidiaries, nor, to the knowledge of the Company,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(x)</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Broker/Dealer Relationships</w:t>
            </w:r>
            <w:r>
              <w:rPr>
                <w:rFonts w:ascii="Times New Roman" w:hAnsi="Times New Roman"/>
                <w:sz w:val="20"/>
              </w:rPr>
              <w:t xml:space="preserve">.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(y)</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Reliance</w:t>
            </w:r>
            <w:r>
              <w:rPr>
                <w:rFonts w:ascii="Times New Roman" w:hAnsi="Times New Roman"/>
                <w:sz w:val="20"/>
              </w:rPr>
              <w:t xml:space="preserve">. The Company has not relied upon the Agents or legal counsel for the Agents for any legal, tax or accounting advice in connection with the offering and sale of the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(z)</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Taxes</w:t>
            </w:r>
            <w:r>
              <w:rPr>
                <w:rFonts w:ascii="Times New Roman" w:hAnsi="Times New Roman"/>
                <w:sz w:val="20"/>
              </w:rPr>
              <w:t xml:space="preserve">. The Company and each of its Subsidiaries have timely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individually or in the aggregate,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Title to Real and Personal Property</w:t>
            </w:r>
            <w:r>
              <w:rPr>
                <w:rFonts w:ascii="Times New Roman" w:hAnsi="Times New Roman"/>
                <w:sz w:val="20"/>
              </w:rPr>
              <w:t xml:space="preserve">. The Company and the Subsidiaries do not own any real property and have good and marketable title to all personal property owned by them, in each case free and clear of all liens, encumbrances and defects except such as are described in the Prospectus or such as do not materially affect the value of such property and do not materially interfere with the use made and proposed to be made of such property by the Company and the Subsidiaries; and any real property and buildings held under lease by the Company and the Subsidiaries are held by them under valid, subsisting and enforceable leases with such exceptions as are not material and do not materially interfere with the use made and proposed to be made of such property and buildings by the Company and the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Environmental Laws</w:t>
            </w:r>
            <w:r>
              <w:rPr>
                <w:rFonts w:ascii="Times New Roman" w:hAnsi="Times New Roman"/>
                <w:sz w:val="20"/>
              </w:rPr>
              <w:t>. The Company and each of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u w:val="single"/>
              </w:rPr>
              <w:t>Environmental Laws</w:t>
            </w:r>
            <w:r>
              <w:rPr>
                <w:rFonts w:ascii="Times New Roman" w:hAnsi="Times New Roman"/>
                <w:sz w:val="20"/>
              </w:rPr>
              <w:t xml:space="preserve">),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have a material adverse effect on the Company and its Subsidiaries, taken as a whole.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Disclosure Controls</w:t>
            </w:r>
            <w:r>
              <w:rPr>
                <w:rFonts w:ascii="Times New Roman" w:hAnsi="Times New Roman"/>
                <w:sz w:val="20"/>
              </w:rPr>
              <w:t xml:space="preserve">. 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Sarbanes-Oxley</w:t>
            </w:r>
            <w:r>
              <w:rPr>
                <w:rFonts w:ascii="Times New Roman" w:hAnsi="Times New Roman"/>
                <w:sz w:val="20"/>
              </w:rPr>
              <w:t>. There is and has been no failure on the part of the Company or, to the knowledge of the Company, any of the Companys directors or officers, in their capacities as such, to comply in all material respects with any applicable provisions of the Sarbanes-Oxley Act of 2002, as amended and the rules and regulations promulgated in connection therewith (the </w:t>
            </w:r>
            <w:r>
              <w:rPr>
                <w:rFonts w:ascii="Times New Roman" w:hAnsi="Times New Roman"/>
                <w:b/>
                <w:sz w:val="20"/>
                <w:u w:val="single"/>
              </w:rPr>
              <w:t>Sarbanes-Oxley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Finders Fees</w:t>
            </w:r>
            <w:r>
              <w:rPr>
                <w:rFonts w:ascii="Times New Roman" w:hAnsi="Times New Roman"/>
                <w:sz w:val="20"/>
              </w:rPr>
              <w:t xml:space="preserve">. Neither the Company nor any of the Subsidiaries has incurred any liability for any finders fees, brokerage commissions or similar payments in connection with the transactions herein contemplated, except as may otherwise exist with respect to the Agents pursuant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Labor Disputes</w:t>
            </w:r>
            <w:r>
              <w:rPr>
                <w:rFonts w:ascii="Times New Roman" w:hAnsi="Times New Roman"/>
                <w:sz w:val="20"/>
              </w:rPr>
              <w:t xml:space="preserve">. No labor disturbance by or dispute with employees of the Company or any of its Subsidiaries exists or, to the knowledge of the Company, is threatened which would result in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Investment Company Act</w:t>
            </w:r>
            <w:r>
              <w:rPr>
                <w:rFonts w:ascii="Times New Roman" w:hAnsi="Times New Roman"/>
                <w:sz w:val="20"/>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hAnsi="Times New Roman"/>
                <w:b/>
                <w:sz w:val="20"/>
                <w:u w:val="single"/>
              </w:rPr>
              <w:t>Investment Company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Operations</w:t>
            </w:r>
            <w:r>
              <w:rPr>
                <w:rFonts w:ascii="Times New Roman" w:hAnsi="Times New Roman"/>
                <w:sz w:val="20"/>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hAnsi="Times New Roman"/>
                <w:b/>
                <w:sz w:val="20"/>
                <w:u w:val="single"/>
              </w:rPr>
              <w:t>Money Laundering Laws</w:t>
            </w:r>
            <w:r>
              <w:rPr>
                <w:rFonts w:ascii="Times New Roman" w:hAnsi="Times New Roman"/>
                <w:sz w:val="20"/>
              </w:rPr>
              <w:t xml:space="preserve">); and no action, suit or proceeding by or before any Governmental Authority involving the Company or any of its Subsidiaries with respect to the Money Laundering Laws is pending or, to the knowledge of the Company, threatened.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Off-Balance Sheet Arrangements</w:t>
            </w:r>
            <w:r>
              <w:rPr>
                <w:rFonts w:ascii="Times New Roman" w:hAnsi="Times New Roman"/>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hAnsi="Times New Roman"/>
                <w:b/>
                <w:sz w:val="20"/>
                <w:u w:val="single"/>
              </w:rPr>
              <w:t>Off-Balance Sheet Transaction</w:t>
            </w:r>
            <w:r>
              <w:rPr>
                <w:rFonts w:ascii="Times New Roman" w:hAnsi="Times New Roman"/>
                <w:sz w:val="20"/>
              </w:rPr>
              <w:t xml:space="preserve">) that would reasonably be expected to affect materially the Companys liquidity or the availability of or requirements for its capital resources required to be described in the Prospectus which have not been described as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Underwriter Agreements</w:t>
            </w:r>
            <w:r>
              <w:rPr>
                <w:rFonts w:ascii="Times New Roman" w:hAnsi="Times New Roman"/>
                <w:sz w:val="20"/>
              </w:rPr>
              <w:t xml:space="preserve">. The Company is not a party to any agreement with an agent or underwriter for any other at the market or continuous equity transaction.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ERISA</w:t>
            </w:r>
            <w:r>
              <w:rPr>
                <w:rFonts w:ascii="Times New Roman" w:hAnsi="Times New Roman"/>
                <w:sz w:val="20"/>
              </w:rPr>
              <w:t>. Except (A) as described in the Prospectus or (B) as would not, singly or in the aggregate, reasonably be expected to have a material adverse effect on the Company and its subsidiaries, taken as a whole, each employee benefit plan, within the meaning of Section 3(3) of the Employee Retirement Income Security Act of 1974, as amended (</w:t>
            </w:r>
            <w:r>
              <w:rPr>
                <w:rFonts w:ascii="Times New Roman" w:hAnsi="Times New Roman"/>
                <w:b/>
                <w:sz w:val="20"/>
                <w:u w:val="single"/>
              </w:rPr>
              <w:t>ERISA</w:t>
            </w:r>
            <w:r>
              <w:rPr>
                <w:rFonts w:ascii="Times New Roman" w:hAnsi="Times New Roman"/>
                <w:sz w:val="20"/>
              </w:rPr>
              <w:t>), that the Company or any member of its Controlled Group (defined as any organization which is under common control with the Company within the meaning of Section 414 of the Internal Revenue Code of 1986, as amended (the </w:t>
            </w:r>
            <w:r>
              <w:rPr>
                <w:rFonts w:ascii="Times New Roman" w:hAnsi="Times New Roman"/>
                <w:b/>
                <w:sz w:val="20"/>
              </w:rPr>
              <w:t>Code</w:t>
            </w:r>
            <w:r>
              <w:rPr>
                <w:rFonts w:ascii="Times New Roman" w:hAnsi="Times New Roman"/>
                <w:sz w:val="20"/>
              </w:rPr>
              <w:t xml:space="preserve">)) sponsors or maintains has been maintained, in all material respects, in compliance with its terms and the requirements of any applicable statutes, orders, rules and regulations, including but not limited to ERISA and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Forward-Looking Statements</w:t>
            </w:r>
            <w:r>
              <w:rPr>
                <w:rFonts w:ascii="Times New Roman" w:hAnsi="Times New Roman"/>
                <w:sz w:val="20"/>
              </w:rPr>
              <w:t>. No forward-looking statement (within the meaning of Section 27A of the Securities Act and Section 21E of the Exchange Act) (a </w:t>
            </w:r>
            <w:r>
              <w:rPr>
                <w:rFonts w:ascii="Times New Roman" w:hAnsi="Times New Roman"/>
                <w:b/>
                <w:sz w:val="20"/>
                <w:u w:val="single"/>
              </w:rPr>
              <w:t>Forward-Looking Statement</w:t>
            </w:r>
            <w:r>
              <w:rPr>
                <w:rFonts w:ascii="Times New Roman" w:hAnsi="Times New Roman"/>
                <w:sz w:val="20"/>
              </w:rPr>
              <w:t xml:space="preserve">) contained in the Registration Statement and the Prospectus has been made or reaffirmed without a reasonable basis or has been disclosed other than in good faith.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(mm)</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Agent Purchases</w:t>
            </w:r>
            <w:r>
              <w:rPr>
                <w:rFonts w:ascii="Times New Roman" w:hAnsi="Times New Roman"/>
                <w:sz w:val="20"/>
              </w:rPr>
              <w:t xml:space="preserve">. The Company acknowledges and agrees that each Agent has informed the Company that such Agent may, to the extent permitted under the Securities Act and the Exchange Act, purchase and sell Common Stock for its own account while this Agreement is in effect, </w:t>
            </w:r>
            <w:r>
              <w:rPr>
                <w:rFonts w:ascii="Times New Roman" w:hAnsi="Times New Roman"/>
                <w:i/>
                <w:sz w:val="20"/>
              </w:rPr>
              <w:t>provided</w:t>
            </w:r>
            <w:r>
              <w:rPr>
                <w:rFonts w:ascii="Times New Roman" w:hAnsi="Times New Roman"/>
                <w:sz w:val="20"/>
              </w:rPr>
              <w:t xml:space="preserve">, that (i) no such purchase or sales shall take place while a Placement Notice is in effect (except to the extent the Agents may engage in sales of Placement Shares purchased or deemed purchased from the Company as a riskless principal or in a similar capacity) and (ii) the Company shall not be deemed to have authorized or consented to any such purchases or sales by such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(nn)</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Margin Rules</w:t>
            </w:r>
            <w:r>
              <w:rPr>
                <w:rFonts w:ascii="Times New Roman" w:hAnsi="Times New Roman"/>
                <w:sz w:val="20"/>
              </w:rPr>
              <w:t xml:space="preserve">.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Insurance</w:t>
            </w:r>
            <w:r>
              <w:rPr>
                <w:rFonts w:ascii="Times New Roman" w:hAnsi="Times New Roman"/>
                <w:sz w:val="20"/>
              </w:rPr>
              <w:t xml:space="preserve">. The Company and each of its Subsidiaries carry, or are covered by, insurance in such amounts and covering such risks as the Company and each of its Subsidiaries reasonably believe are adequate for the conduct of their business and as is customary for companies engaged in similar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(pp)</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Improper Practices</w:t>
            </w:r>
            <w:r>
              <w:rPr>
                <w:rFonts w:ascii="Times New Roman" w:hAnsi="Times New Roman"/>
                <w:sz w:val="20"/>
              </w:rPr>
              <w:t>. Neither the Company nor any of its Subsidiaries, nor any director, officer, or employee of the Company or any of its Subsidiaries nor, to the knowledge of the Company, any agent, affiliate or other person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applicable provision of the U.S. Foreign Corrupt Practices Act of 1977, as amended, or the rules and regulations thereunder, the Bribery Act 2010 of the United Kingdom or any other applicable anti-corruption, anti-bribery or related law, statute or regulation (collectively, </w:t>
            </w:r>
            <w:r>
              <w:rPr>
                <w:rFonts w:ascii="Times New Roman" w:hAnsi="Times New Roman"/>
                <w:b/>
                <w:sz w:val="20"/>
                <w:u w:val="single"/>
              </w:rPr>
              <w:t>Anti-Corruption Laws</w:t>
            </w:r>
            <w:r>
              <w:rPr>
                <w:rFonts w:ascii="Times New Roman" w:hAnsi="Times New Roman"/>
                <w:sz w:val="20"/>
              </w:rPr>
              <w:t xml:space="preserve">);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its Subsidiaries will use, directly or indirectly, the proceeds of the offering in furtherance of an offer, payment, promise to pay, or authorization of the payment or giving of money, or anything else of value, to any person in violation of Anti-Corruption Laws.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(qq)</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Status Under the Securities Act</w:t>
            </w:r>
            <w:r>
              <w:rPr>
                <w:rFonts w:ascii="Times New Roman" w:hAnsi="Times New Roman"/>
                <w:sz w:val="20"/>
              </w:rPr>
              <w:t xml:space="preserve">. The Company was not and is not an ineligible issuer as defined in Rule 405 under the Securities Act at the times specified in Rules 164 and 433 under the Securities Act in connection with the offering of the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(rr)</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Misstatement or Omission in an Issuer Free Writing Prospectus</w:t>
            </w:r>
            <w:r>
              <w:rPr>
                <w:rFonts w:ascii="Times New Roman" w:hAnsi="Times New Roman"/>
                <w:sz w:val="20"/>
              </w:rPr>
              <w:t xml:space="preserve">. Each Issuer Free Writing Prospectus, as of its issue date and as of each Applicable Time (as defined in </w:t>
            </w:r>
            <w:r>
              <w:rPr>
                <w:rFonts w:ascii="Times New Roman" w:hAnsi="Times New Roman"/>
                <w:sz w:val="20"/>
                <w:u w:val="single"/>
              </w:rPr>
              <w:t>Section 23</w:t>
            </w:r>
            <w:r>
              <w:rPr>
                <w:rFonts w:ascii="Times New Roman" w:hAnsi="Times New Roman"/>
                <w:sz w:val="20"/>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each Agent specifically for use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(ss)</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Conflicts</w:t>
            </w:r>
            <w:r>
              <w:rPr>
                <w:rFonts w:ascii="Times New Roman" w:hAnsi="Times New Roman"/>
                <w:sz w:val="20"/>
              </w:rPr>
              <w:t xml:space="preserve">.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is a party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 except where such violation would not reasonably be expected to have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Sanctions</w:t>
            </w:r>
            <w:r>
              <w:rPr>
                <w:rFonts w:ascii="Times New Roman" w:hAnsi="Times New Roman"/>
                <w:sz w:val="20"/>
              </w:rPr>
              <w:t>. (i) The Company represents that, neither the Company nor any of its Subsidiaries (collectively, the </w:t>
            </w:r>
            <w:r>
              <w:rPr>
                <w:rFonts w:ascii="Times New Roman" w:hAnsi="Times New Roman"/>
                <w:b/>
                <w:sz w:val="20"/>
                <w:u w:val="single"/>
              </w:rPr>
              <w:t>Entity</w:t>
            </w:r>
            <w:r>
              <w:rPr>
                <w:rFonts w:ascii="Times New Roman" w:hAnsi="Times New Roman"/>
                <w:sz w:val="20"/>
              </w:rPr>
              <w:t>) or any director, officer, employee of the Company or any of its Subsidiaries, nor, to the knowledge of the Company, any agent, affiliate or representative of the Entity, is a government, individual, or entity (in this paragraph (tt), </w:t>
            </w:r>
            <w:r>
              <w:rPr>
                <w:rFonts w:ascii="Times New Roman" w:hAnsi="Times New Roman"/>
                <w:b/>
                <w:sz w:val="20"/>
                <w:u w:val="single"/>
              </w:rPr>
              <w:t>Person</w:t>
            </w:r>
            <w:r>
              <w:rPr>
                <w:rFonts w:ascii="Times New Roman" w:hAnsi="Times New Roman"/>
                <w:sz w:val="20"/>
              </w:rPr>
              <w:t xml:space="preserve">) that is, or is owned or controlled by a Person that is: </w:t>
            </w:r>
          </w:p>
        </w:tc>
      </w:tr>
    </w:tbl>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Treasurys Office of Foreign Assets Control (</w:t>
      </w:r>
      <w:r>
        <w:rPr>
          <w:rFonts w:ascii="Times New Roman" w:hAnsi="Times New Roman"/>
          <w:b/>
          <w:sz w:val="20"/>
          <w:u w:val="single"/>
        </w:rPr>
        <w:t>OFAC</w:t>
      </w:r>
      <w:r>
        <w:rPr>
          <w:rFonts w:ascii="Times New Roman" w:hAnsi="Times New Roman"/>
          <w:sz w:val="20"/>
        </w:rPr>
        <w:t>), the United Nations Security Council, the European Union, Her Majestys Treasury, or other relevant sanctions authorities, including, without limitation, designation on OFACs Specially Designated Nationals and Blocked Persons List or OFACs Foreign Sanctions Evaders List (as amended, collectively, </w:t>
      </w:r>
      <w:r>
        <w:rPr>
          <w:rFonts w:ascii="Times New Roman" w:hAnsi="Times New Roman"/>
          <w:b/>
          <w:sz w:val="20"/>
          <w:u w:val="single"/>
        </w:rPr>
        <w:t>Sanctions</w:t>
      </w:r>
      <w:r>
        <w:rPr>
          <w:rFonts w:ascii="Times New Roman" w:hAnsi="Times New Roman"/>
          <w:sz w:val="20"/>
        </w:rPr>
        <w:t xml:space="preserve">), nor </w:t>
      </w:r>
    </w:p>
    <w:p>
      <w:pPr>
        <w:pStyle w:val="TextBody"/>
        <w:bidi w:val="0"/>
        <w:spacing w:before="120" w:after="0"/>
        <w:jc w:val="left"/>
        <w:rPr>
          <w:rFonts w:ascii="Times New Roman" w:hAnsi="Times New Roman"/>
          <w:sz w:val="20"/>
        </w:rPr>
      </w:pPr>
      <w:r>
        <w:rPr>
          <w:rFonts w:ascii="Times New Roman" w:hAnsi="Times New Roman"/>
          <w:sz w:val="20"/>
        </w:rPr>
        <w:t>(B) located, organized or resident in a country or territory that is the subject of Sanctions that broadly prohibit dealings with that country or territory (including, without limitation, Cuba, Iran, North Korea, Syria, the so-called Donetsk Peoples Republic, the so-called Luhansk Peoples Republic and the Crimea Region of the Ukraine) (the </w:t>
      </w:r>
      <w:r>
        <w:rPr>
          <w:rFonts w:ascii="Times New Roman" w:hAnsi="Times New Roman"/>
          <w:b/>
          <w:sz w:val="20"/>
        </w:rPr>
        <w:t>Sanctioned Countries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Entity represents and covenants that it will not, directly or indirectly, knowingly use the proceeds of the offering, or knowingly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is a Sanctioned Country;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The Entity represents and covenants that, except as disclosed in the Registration Statement and the Prospectus, for the past 5 years, it has not knowingly engaged in, is not now knowingly engaging in, and will not knowingly engage in, any dealings or transactions with any Person, or in any country or territory, that at the time of the dealing or transaction is or was the subject of Sanctions or is or was a Sanctioned Country.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(uu)</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Compliance with Data Privacy Laws</w:t>
            </w:r>
            <w:r>
              <w:rPr>
                <w:rFonts w:ascii="Times New Roman" w:hAnsi="Times New Roman"/>
                <w:sz w:val="20"/>
              </w:rPr>
              <w:t>.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with jurisdiction over the Company,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hAnsi="Times New Roman"/>
                <w:b/>
                <w:sz w:val="20"/>
                <w:u w:val="single"/>
              </w:rPr>
              <w:t>Data Security Obligations</w:t>
            </w:r>
            <w:r>
              <w:rPr>
                <w:rFonts w:ascii="Times New Roman" w:hAnsi="Times New Roman"/>
                <w:sz w:val="20"/>
              </w:rPr>
              <w:t>, and such data, </w:t>
            </w:r>
            <w:r>
              <w:rPr>
                <w:rFonts w:ascii="Times New Roman" w:hAnsi="Times New Roman"/>
                <w:b/>
                <w:sz w:val="20"/>
                <w:u w:val="single"/>
              </w:rPr>
              <w:t>Confidential</w:t>
            </w:r>
            <w:r>
              <w:rPr>
                <w:rFonts w:ascii="Times New Roman" w:hAnsi="Times New Roman"/>
                <w:sz w:val="20"/>
                <w:u w:val="single"/>
              </w:rPr>
              <w:t> </w:t>
            </w:r>
            <w:r>
              <w:rPr>
                <w:rFonts w:ascii="Times New Roman" w:hAnsi="Times New Roman"/>
                <w:b/>
                <w:sz w:val="20"/>
                <w:u w:val="single"/>
              </w:rPr>
              <w:t>Data</w:t>
            </w:r>
            <w:r>
              <w:rPr>
                <w:rFonts w:ascii="Times New Roman" w:hAnsi="Times New Roman"/>
                <w:sz w:val="20"/>
              </w:rPr>
              <w:t xml:space="preserve">). The Company has not received any notification of or complaint regarding and is unaware of any other facts that, individually or in the aggregate, would reasonably indicate material non-compliance with any Data Security Obligation; and there is no action, suit or proceeding by or before any court or governmental agency, authority or body pending or, to the Companys knowledge, threatened alleging material non-compliance with any Data Security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Compliance with Health Care Laws</w:t>
            </w:r>
            <w:r>
              <w:rPr>
                <w:rFonts w:ascii="Times New Roman" w:hAnsi="Times New Roman"/>
                <w:sz w:val="20"/>
              </w:rPr>
              <w:t>. The Company and its Subsidiaries, and to the Companys knowledge, their respective directors, officers and employees, are, and at all times have been, in compliance with applicable Health Care Laws (as defined herein) including, but not limited to, the rules and regulations of the FDA, the U.S. Department of Health and Human Services Office of Inspector General, the Centers for Medicare &amp; Medicaid Services, the Office for Civil Rights,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except for such noncompliance that would not, individually or in the aggregate, reasonably be expected to have a Material Adverse Effect. For purposes of this Agreement, </w:t>
            </w:r>
            <w:r>
              <w:rPr>
                <w:rFonts w:ascii="Times New Roman" w:hAnsi="Times New Roman"/>
                <w:b/>
                <w:sz w:val="20"/>
                <w:u w:val="single"/>
              </w:rPr>
              <w:t>Health Care Laws</w:t>
            </w:r>
            <w:r>
              <w:rPr>
                <w:rFonts w:ascii="Times New Roman" w:hAnsi="Times New Roman"/>
                <w:sz w:val="20"/>
              </w:rPr>
              <w:t xml:space="preserve"> shall mean, as applicable, the federal Anti-kickback Statute (42 U.S.C. § 1320a-7b(b)), the Physician Payments Sunshine Act (42 U.S.C. § 1320a-7h), the civil False Claims Act (31 U.S.C. §§ 3729 et seq.), the criminal False Claims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(42 U.S.C. § 1320a-7b(a)), applicable criminal laws relating to health care fraud and abuse, the exclusion laws (42 U.S.C. § 1320a-7), the civil monetary penalties law (42 U.S.C. § 1320a-7a), the health care fraud criminal provisions under the Health Insurance Portability and Accountability Act of 1996 (42 U.S.C. §§ 1320d et seq.) (</w:t>
            </w:r>
            <w:r>
              <w:rPr>
                <w:b/>
                <w:u w:val="single"/>
              </w:rPr>
              <w:t>HIPAA</w:t>
            </w:r>
            <w:r>
              <w:rPr/>
              <w:t>), the exclusion laws (42 U.S.C. § 1320a-7), the civil monetary penalties law (42 U.S.C. § 1320a-7a), HIPAA, as amended by the Health Information Technology for Economic and Clinical Health Act (42 U.S.C. §§ 17921 et seq.), the Federal Food, Drug, and Cosmetic Act (21 U.S.C. §§ 301 et seq.), the Patient Protection and Affordable Care Act of 2010 (Pub. Law 111-148), as amended by the Health Care and Education Reconciliation Act of 2010 (Pub. Law 111-152), and the regulations promulgated pursuant to the aforementioned statutes. None of the Company or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None of the Company or its Subsidiaries has received any written notification, correspondence or any other written communication, including, without limitation, any Form FDA 483, notice of adverse finding, warning letter, untitled letter or other correspondence or notice from the FDA or any similar regulatory authority, or any notification of any pending or, to the Companys knowledge, threatened claim, suit, proceeding, hearing, enforcement, investigation, arbitration or other action, from any governmental authority of alleging material non-compliance by, or material liability of, the Company or its Subsidiaries under any Health Care Laws.</w:t>
            </w:r>
            <w:r>
              <w:rPr>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pPr>
            <w:r>
              <w:rPr/>
              <w:t>(ww)</w:t>
            </w:r>
          </w:p>
        </w:tc>
        <w:tc>
          <w:tcPr>
            <w:tcW w:w="974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Statistical and Market-Related Data</w:t>
            </w:r>
            <w:r>
              <w:rPr>
                <w:rFonts w:ascii="Times New Roman" w:hAnsi="Times New Roman"/>
                <w:sz w:val="20"/>
              </w:rPr>
              <w:t xml:space="preserve">. Nothing has come to the attention of the Company that has caused the Company to believe that the statistical and market-related data included in the Registration Statement and Prospectus is not based on or derived from sources that are reliable and accurate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(xx)</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u w:val="single"/>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b/>
                <w:sz w:val="20"/>
                <w:u w:val="single"/>
              </w:rPr>
              <w:t>Personal Data</w:t>
            </w:r>
            <w:r>
              <w:rPr>
                <w:rFonts w:ascii="Times New Roman" w:hAnsi="Times New Roman"/>
                <w:sz w:val="20"/>
              </w:rPr>
              <w:t xml:space="preserve">))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(yy)</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Emerging Growth Company Status</w:t>
            </w:r>
            <w:r>
              <w:rPr>
                <w:rFonts w:ascii="Times New Roman" w:hAnsi="Times New Roman"/>
                <w:sz w:val="20"/>
              </w:rPr>
              <w:t>. From the time of the initial filing of the Companys first registration statement with the Commission through the date hereof, the Company has been and is an emerging growth company, as defined in Section 2(a) of the Securities Act (an </w:t>
            </w:r>
            <w:r>
              <w:rPr>
                <w:rFonts w:ascii="Times New Roman" w:hAnsi="Times New Roman"/>
                <w:b/>
                <w:sz w:val="20"/>
                <w:u w:val="single"/>
              </w:rPr>
              <w:t>Emerging Growth Company</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an officer of the Company and delivered to the Agents or to counsel for the Agents pursuant to or in connection with this Agreement shall be deemed to be a representation and warranty by the Company, as applicable, to each Agent as to the matters set forth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Covenants of the Company</w:t>
            </w:r>
            <w:r>
              <w:rPr>
                <w:rFonts w:ascii="Times New Roman" w:hAnsi="Times New Roman"/>
                <w:sz w:val="20"/>
              </w:rPr>
              <w:t xml:space="preserve">. The Company covenants and agrees with each Agent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Amendments</w:t>
            </w:r>
            <w:r>
              <w:rPr>
                <w:rFonts w:ascii="Times New Roman" w:hAnsi="Times New Roman"/>
                <w:sz w:val="20"/>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any document to be incorporated therein by reference, has been filed with the Commission and/or has become effective or any subsequent supplement to the Prospectus related to the Placement Shares has been filed and of any request by the Commission for any amendment or supplement to the Registration Statement (insofar as it relates to the transactions contemplated hereby)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other than any document to be incorporated therein by reference, relating to the Placement Shares or a security convertible into the Placement Shares unless a copy thereof has been submitted to Agents within a reasonable period of time before the filing and the Agents have not reasonably objected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failure of the Agents to make such objection shall not relieve the Company of any obligation or liability hereunder, or affect the Agents right to rely on the representations and warranties made by the Company in this Agreement, (B) the Company has no obligation to provide the Agents any advance copy of such filing or to provide the Agents an opportunity to object to such filing if the filing does not name the Agents or does not relate to a Placement or other transaction contemplated hereunder and (C) the only remedy the Agents shall have with respect to the failure by the Company to provide the Agents with such copy or the filing of such amendment or supplement despite an Agents objection shall be to cease making sales under this Agreement); (iv) the Company will furnish to the Agents at the time of filing thereof a copy of any document that upon filing is deemed to be incorporated by reference into the Registration Statement or Prospectus, except for those documents available via EDGAR; and (v) the Company will cause each amendment or supplement to the Prospectus, other than any document to be incorporated therein by reference, to be filed with the Commission as required pursuant to the applicable paragraph of Rule 424(b) under the Securities Act (the determination to file or not file any amendment or supplement with the Commission under this </w:t>
            </w:r>
            <w:r>
              <w:rPr>
                <w:rFonts w:ascii="Times New Roman" w:hAnsi="Times New Roman"/>
                <w:sz w:val="20"/>
                <w:u w:val="single"/>
              </w:rPr>
              <w:t>Section 7(a)</w:t>
            </w:r>
            <w:r>
              <w:rPr>
                <w:rFonts w:ascii="Times New Roman" w:hAnsi="Times New Roman"/>
                <w:sz w:val="20"/>
              </w:rPr>
              <w:t xml:space="preserve">, based on the Companys reasonable opinion or reasonable objections, shall be made exclusively by the Company).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Commission Stop Orders</w:t>
            </w:r>
            <w:r>
              <w:rPr>
                <w:rFonts w:ascii="Times New Roman" w:hAnsi="Times New Roman"/>
                <w:sz w:val="20"/>
              </w:rPr>
              <w:t xml:space="preserve">.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 in all cases, solely to the extent any such request relates to the transactions contemplated 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similar rule), the Company will use commercially reasonable efforts to comply in all material respects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Agents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Designated Agent to suspend the offering of Placement Shares during such period and the Company will promptly amend or supplement the Registration Statement or Prospectus (at the expense of the Company) so as to correct such statement or omission or effect such compliance (it being acknowledged that the Company may delay the filing of any amendment or supplement, if, in the judgment of the Company, it is in the best interest of the Company); </w:t>
            </w:r>
            <w:r>
              <w:rPr>
                <w:rFonts w:ascii="Times New Roman" w:hAnsi="Times New Roman"/>
                <w:i/>
                <w:sz w:val="20"/>
              </w:rPr>
              <w:t>provided</w:t>
            </w:r>
            <w:r>
              <w:rPr>
                <w:rFonts w:ascii="Times New Roman" w:hAnsi="Times New Roman"/>
                <w:sz w:val="20"/>
              </w:rPr>
              <w:t xml:space="preserve"> that if such suspension shall occur prior to the Settlement Date for any sale of Placement Shares, such Placement Shares shall settle in accordance with the provisions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Listing of Placement Shares</w:t>
            </w:r>
            <w:r>
              <w:rPr>
                <w:rFonts w:ascii="Times New Roman" w:hAnsi="Times New Roman"/>
                <w:sz w:val="20"/>
              </w:rPr>
              <w:t xml:space="preserve">. Prior to the date of the first Placement Notice, the Company shall have filed a Listing of Additional Shares Notification Form with the Exchange.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Delivery of Registration Statement and Prospectus</w:t>
            </w:r>
            <w:r>
              <w:rPr>
                <w:rFonts w:ascii="Times New Roman" w:hAnsi="Times New Roman"/>
                <w:sz w:val="20"/>
              </w:rPr>
              <w:t xml:space="preserve">. The Company will furnish to the Agents and their counsel (at the expense of the Company) copies of the Registration Statement, the Prospectus (including the Incorporated Documents)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furnish any document (other than the Prospectus) to the Agents to the extent such document is available on EDGAR or any successor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Earning Statement</w:t>
            </w:r>
            <w:r>
              <w:rPr>
                <w:rFonts w:ascii="Times New Roman" w:hAnsi="Times New Roman"/>
                <w:sz w:val="20"/>
              </w:rPr>
              <w:t xml:space="preserve">. The Company will make generally available to its security holders as soon as practicable, but in any event not later than 15 months after the end of the Companys current fiscal quarter, an earning statement (which need not be audited) covering a 12-month period that satisfies the provisions of Section 11(a) and Rule 158 under the Securities Act; </w:t>
            </w:r>
            <w:r>
              <w:rPr>
                <w:rFonts w:ascii="Times New Roman" w:hAnsi="Times New Roman"/>
                <w:i/>
                <w:sz w:val="20"/>
              </w:rPr>
              <w:t>provided</w:t>
            </w:r>
            <w:r>
              <w:rPr>
                <w:rFonts w:ascii="Times New Roman" w:hAnsi="Times New Roman"/>
                <w:sz w:val="20"/>
              </w:rPr>
              <w:t xml:space="preserve"> that the Company will be deemed to have made available such statement to its security holders at the time and to the extent it is available on EDGAR or any successor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of Other Sales</w:t>
            </w:r>
            <w:r>
              <w:rPr>
                <w:rFonts w:ascii="Times New Roman" w:hAnsi="Times New Roman"/>
                <w:sz w:val="20"/>
              </w:rPr>
              <w:t xml:space="preserve">.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(5th) Trading Day immediately prior to the date on which any Placement Notice is delivered to Agents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restrictions will not be required in connection with the Companys issuance or sale of (i) Common Stock, restricted stock, restricted stock units, options and other equity awards pursuant to any employee or director stock option or benefits plan, long-term incentive plan, inducement award under the Exchange rules, stock ownership plan, dividend reinvestment plan (but not Common Stock subject to a waiver to exceed plan limits in its dividend reinvestment plan) or other compensation plan of the Company whether now in effect or hereafter implemented (including any modification of any outstanding options or other equity awards), (ii) Common Stock issuable upon conversion of securities or the exercise of warrants, options, restricted stock units or other rights in effect or outstanding (including any amendment(s) or modifications to the foregoing), and disclosed in filings by the Company available on EDGAR or otherwise in writing to the Agents, (iii) Common Stock pursuant to a registration statement on Form S-8, and (iv) Common Stock or securities convertible into or exchangeable for shares of Common Stock as consideration for mergers, acquisitions, other business combinations, joint ventures or strategic alliances, marketing or distribution arrangements, collaboration agreements, co-promotion agreements or intellectual property license agreements occurring after the date of this Agreement which are not issued for the primary purpose of capital raising.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Change of Circumstances</w:t>
            </w:r>
            <w:r>
              <w:rPr>
                <w:rFonts w:ascii="Times New Roman" w:hAnsi="Times New Roman"/>
                <w:sz w:val="20"/>
              </w:rPr>
              <w:t xml:space="preserve">.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Due Diligence Cooperation</w:t>
            </w:r>
            <w:r>
              <w:rPr>
                <w:rFonts w:ascii="Times New Roman" w:hAnsi="Times New Roman"/>
                <w:sz w:val="20"/>
              </w:rPr>
              <w:t xml:space="preserve">. The Company will cooperate with any reasonable due diligence review conducted by the Agents or their respective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Required Filings Relating to Placement of Placement Shares</w:t>
            </w:r>
            <w:r>
              <w:rPr>
                <w:rFonts w:ascii="Times New Roman" w:hAnsi="Times New Roman"/>
                <w:sz w:val="20"/>
              </w:rPr>
              <w:t>. The Company shall disclose, either in its quarterly reports on Form 10-Q and in its annual report on Form 10-K to be filed by the Company with the Commission from time to time, the number of Placement Shares sold through the Designated Agent or Agents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the Company will prepare a prospectus supplement containing, or include in such other filing permitted by the Securities Act or Exchange Act (each an </w:t>
            </w:r>
            <w:r>
              <w:rPr>
                <w:rFonts w:ascii="Times New Roman" w:hAnsi="Times New Roman"/>
                <w:b/>
                <w:sz w:val="20"/>
              </w:rPr>
              <w:t>Interim Prospectus Supplement</w:t>
            </w:r>
            <w:r>
              <w:rPr>
                <w:rFonts w:ascii="Times New Roman" w:hAnsi="Times New Roman"/>
                <w:sz w:val="20"/>
              </w:rPr>
              <w:t xml:space="preserve">), such summary information and, subject to this Section 7, file such Interim Prospectus Supplement pursuant to Rule 424(b) under the Securities Act (and within the time periods required by Rule 424(b) and Rule 430B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 Dates; Certificate</w:t>
            </w:r>
            <w:r>
              <w:rPr>
                <w:rFonts w:ascii="Times New Roman" w:hAnsi="Times New Roman"/>
                <w:sz w:val="20"/>
              </w:rPr>
              <w:t xml:space="preserve">. (1) Prior to the date of the first Placement Notice and (2) each time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 </w:t>
      </w:r>
    </w:p>
    <w:p>
      <w:pPr>
        <w:pStyle w:val="TextBody"/>
        <w:bidi w:val="0"/>
        <w:spacing w:before="120" w:after="0"/>
        <w:jc w:val="left"/>
        <w:rPr>
          <w:rFonts w:ascii="Times New Roman" w:hAnsi="Times New Roman"/>
          <w:sz w:val="20"/>
        </w:rPr>
      </w:pPr>
      <w:r>
        <w:rPr>
          <w:rFonts w:ascii="Times New Roman" w:hAnsi="Times New Roman"/>
          <w:sz w:val="20"/>
        </w:rPr>
        <w:t xml:space="preserve">(ii) files an annual report on Form 10-K under the Exchange Act (including any Form 10-K/A containing amended financial information or a material amendment to the previously filed Form 10-K); </w:t>
      </w:r>
    </w:p>
    <w:p>
      <w:pPr>
        <w:pStyle w:val="TextBody"/>
        <w:bidi w:val="0"/>
        <w:spacing w:before="120" w:after="0"/>
        <w:jc w:val="left"/>
        <w:rPr>
          <w:rFonts w:ascii="Times New Roman" w:hAnsi="Times New Roman"/>
          <w:sz w:val="20"/>
        </w:rPr>
      </w:pPr>
      <w:r>
        <w:rPr>
          <w:rFonts w:ascii="Times New Roman" w:hAnsi="Times New Roman"/>
          <w:sz w:val="20"/>
        </w:rPr>
        <w:t xml:space="preserve">(iii) files its quarterly reports on Form 10-Q under the Exchange Act; or </w:t>
      </w:r>
    </w:p>
    <w:p>
      <w:pPr>
        <w:pStyle w:val="TextBody"/>
        <w:bidi w:val="0"/>
        <w:spacing w:before="120" w:after="0"/>
        <w:jc w:val="left"/>
        <w:rPr>
          <w:rFonts w:ascii="Times New Roman" w:hAnsi="Times New Roman"/>
          <w:sz w:val="20"/>
        </w:rPr>
      </w:pPr>
      <w:r>
        <w:rPr>
          <w:rFonts w:ascii="Times New Roman" w:hAnsi="Times New Roman"/>
          <w:sz w:val="20"/>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b/>
          <w:sz w:val="20"/>
          <w:u w:val="single"/>
        </w:rPr>
        <w:t>Representation Date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furnish the Agents (but in the case of clause (iv) above only if the Agents reasonably determine that the information contained in such Form 8-K is material) with a certificate dated the Representation Date, in the form and substance reasonably satisfactory to the Agents and their counsel, substantially in the form as attached hereto as </w:t>
      </w:r>
      <w:r>
        <w:rPr>
          <w:rFonts w:ascii="Times New Roman" w:hAnsi="Times New Roman"/>
          <w:sz w:val="20"/>
          <w:u w:val="single"/>
        </w:rPr>
        <w:t>Schedule 5</w:t>
      </w:r>
      <w:r>
        <w:rPr>
          <w:rFonts w:ascii="Times New Roman" w:hAnsi="Times New Roman"/>
          <w:sz w:val="20"/>
        </w:rPr>
        <w:t xml:space="preserve">, modified, as necessary, to relate to the Registration Statement and the Prospectus as amended or supplemented. The requirement to provide a certificate under this </w:t>
      </w:r>
      <w:r>
        <w:rPr>
          <w:rFonts w:ascii="Times New Roman" w:hAnsi="Times New Roman"/>
          <w:sz w:val="20"/>
          <w:u w:val="single"/>
        </w:rPr>
        <w:t>Section 7(l)</w:t>
      </w:r>
      <w:r>
        <w:rPr>
          <w:rFonts w:ascii="Times New Roman" w:hAnsi="Times New Roman"/>
          <w:sz w:val="20"/>
        </w:rPr>
        <w:t xml:space="preserve"> shall be automatically waived for any Representation Date occurring at a time when no Placement Notice is outstanding or a Suspension is in effect, which waiver shall continue until the earlier to occur of the date the Company delivers a Placement Notice to the Agents (which for such calendar quarter shall be considered a Representation Date) and the next occurring Representation Date to which a waiver does not apply. Notwithstanding the foregoing, if the Company subsequently decides to sell Placement Shares following a Representation Date when the Company relied on a waiver and did not provide the Agents with a certificate under this </w:t>
      </w:r>
      <w:r>
        <w:rPr>
          <w:rFonts w:ascii="Times New Roman" w:hAnsi="Times New Roman"/>
          <w:sz w:val="20"/>
          <w:u w:val="single"/>
        </w:rPr>
        <w:t>Section 7(l)</w:t>
      </w:r>
      <w:r>
        <w:rPr>
          <w:rFonts w:ascii="Times New Roman" w:hAnsi="Times New Roman"/>
          <w:sz w:val="20"/>
        </w:rPr>
        <w:t xml:space="preserve">, then before the Company delivers the Placement Notice or the Agents sell any Placement Shares pursuant to such Placement Notice, the Company shall provide the Agents with a certificate in conformity with this </w:t>
      </w:r>
      <w:r>
        <w:rPr>
          <w:rFonts w:ascii="Times New Roman" w:hAnsi="Times New Roman"/>
          <w:sz w:val="20"/>
          <w:u w:val="single"/>
        </w:rPr>
        <w:t>Section 7(l)</w:t>
      </w:r>
      <w:r>
        <w:rPr>
          <w:rFonts w:ascii="Times New Roman" w:hAnsi="Times New Roman"/>
          <w:sz w:val="20"/>
        </w:rPr>
        <w:t xml:space="preserve"> dated as of the date of such Placement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Legal Opinion</w:t>
            </w:r>
            <w:r>
              <w:rPr>
                <w:rFonts w:ascii="Times New Roman" w:hAnsi="Times New Roman"/>
                <w:sz w:val="20"/>
              </w:rPr>
              <w:t xml:space="preserve">. (1) Prior to the date of the first Placement Notice and (2) within five (5) Trading Days of each Representation Date with respect to which the Company is obligated to deliver a certificate pursuant to </w:t>
            </w:r>
            <w:r>
              <w:rPr>
                <w:rFonts w:ascii="Times New Roman" w:hAnsi="Times New Roman"/>
                <w:sz w:val="20"/>
                <w:u w:val="single"/>
              </w:rPr>
              <w:t>Section 7(l)</w:t>
            </w:r>
            <w:r>
              <w:rPr>
                <w:rFonts w:ascii="Times New Roman" w:hAnsi="Times New Roman"/>
                <w:sz w:val="20"/>
              </w:rPr>
              <w:t xml:space="preserve"> for which no waiver is applicable and excluding the date of this Agreement, (i) the Company shall cause to be furnished to the Agents (A) a written opinion and negative assurance letter of Goodwin Procter LLP (</w:t>
            </w:r>
            <w:r>
              <w:rPr>
                <w:rFonts w:ascii="Times New Roman" w:hAnsi="Times New Roman"/>
                <w:b/>
                <w:sz w:val="20"/>
                <w:u w:val="single"/>
              </w:rPr>
              <w:t>Company Counsel</w:t>
            </w:r>
            <w:r>
              <w:rPr>
                <w:rFonts w:ascii="Times New Roman" w:hAnsi="Times New Roman"/>
                <w:sz w:val="20"/>
              </w:rPr>
              <w:t>), or other counsel satisfactory to the Agents, in form and substance reasonably satisfactory to the Agents and their counsel, substantially similar to the form previously provided to the Agents and their counsel, modified, as necessary, to relate to the Registration Statement and the Prospectus as then amended or supplemented; and (ii) Mintz, Levin, Cohn, Ferris, Glovsky and Popeo, P.C. (</w:t>
            </w:r>
            <w:r>
              <w:rPr>
                <w:rFonts w:ascii="Times New Roman" w:hAnsi="Times New Roman"/>
                <w:b/>
                <w:sz w:val="20"/>
                <w:u w:val="single"/>
              </w:rPr>
              <w:t>Agent Counsel</w:t>
            </w:r>
            <w:r>
              <w:rPr>
                <w:rFonts w:ascii="Times New Roman" w:hAnsi="Times New Roman"/>
                <w:sz w:val="20"/>
              </w:rPr>
              <w:t xml:space="preserve">), counsel to the Agents, shall furnish a written opinion and negative assurance letter of Agent Counsel; </w:t>
            </w:r>
            <w:r>
              <w:rPr>
                <w:rFonts w:ascii="Times New Roman" w:hAnsi="Times New Roman"/>
                <w:i/>
                <w:sz w:val="20"/>
              </w:rPr>
              <w:t>provided</w:t>
            </w:r>
            <w:r>
              <w:rPr>
                <w:rFonts w:ascii="Times New Roman" w:hAnsi="Times New Roman"/>
                <w:sz w:val="20"/>
              </w:rPr>
              <w:t>, that in lieu of such opinions for subsequent periodic filings under the Exchange Act, counsel may furnish the Agents with a letter (a </w:t>
            </w:r>
            <w:r>
              <w:rPr>
                <w:rFonts w:ascii="Times New Roman" w:hAnsi="Times New Roman"/>
                <w:b/>
                <w:sz w:val="20"/>
                <w:u w:val="single"/>
              </w:rPr>
              <w:t>Reliance Letter</w:t>
            </w:r>
            <w:r>
              <w:rPr>
                <w:rFonts w:ascii="Times New Roman" w:hAnsi="Times New Roman"/>
                <w:sz w:val="20"/>
              </w:rPr>
              <w:t xml:space="preserve">) to the effect that the Agents may rely on a prior opinion delivered under this </w:t>
            </w:r>
            <w:r>
              <w:rPr>
                <w:rFonts w:ascii="Times New Roman" w:hAnsi="Times New Roman"/>
                <w:sz w:val="20"/>
                <w:u w:val="single"/>
              </w:rPr>
              <w:t>Section 7(m)</w:t>
            </w:r>
            <w:r>
              <w:rPr>
                <w:rFonts w:ascii="Times New Roman" w:hAnsi="Times New Roman"/>
                <w:sz w:val="20"/>
              </w:rPr>
              <w:t xml:space="preserve"> to the same extent as if it were dated the date of such letter (except that statements in such prior opinion shall be deemed to relate to the Registration Statement and the Prospectus as amended or supplemented as of the date of the Reliance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(n)</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Comfort Letter</w:t>
            </w:r>
            <w:r>
              <w:rPr>
                <w:rFonts w:ascii="Times New Roman" w:hAnsi="Times New Roman"/>
                <w:sz w:val="20"/>
              </w:rPr>
              <w:t xml:space="preserve">. (1) Prior to the date of the first Placement Notice and (2) within five (5) Trading Days of each Representation Date with respect to which the Company is obligated to deliver a certificate pursuant to </w:t>
            </w:r>
            <w:r>
              <w:rPr>
                <w:rFonts w:ascii="Times New Roman" w:hAnsi="Times New Roman"/>
                <w:sz w:val="20"/>
                <w:u w:val="single"/>
              </w:rPr>
              <w:t>Section 7(l)</w:t>
            </w:r>
            <w:r>
              <w:rPr>
                <w:rFonts w:ascii="Times New Roman" w:hAnsi="Times New Roman"/>
                <w:sz w:val="20"/>
              </w:rPr>
              <w:t xml:space="preserve"> and for which no waiver is applicable and excluding the date of this Agreement, the Company shall cause its independent registered public accounting firm to furnish the Agents letters (the </w:t>
            </w:r>
            <w:r>
              <w:rPr>
                <w:rFonts w:ascii="Times New Roman" w:hAnsi="Times New Roman"/>
                <w:b/>
                <w:sz w:val="20"/>
                <w:u w:val="single"/>
              </w:rPr>
              <w:t>Comfort Letters</w:t>
            </w:r>
            <w:r>
              <w:rPr>
                <w:rFonts w:ascii="Times New Roman" w:hAnsi="Times New Roman"/>
                <w:sz w:val="20"/>
              </w:rPr>
              <w:t xml:space="preserve">), dated the date the Comfort Letter is delivered, which shall meet the requirements set forth in this Section 7(n); </w:t>
            </w:r>
            <w:r>
              <w:rPr>
                <w:rFonts w:ascii="Times New Roman" w:hAnsi="Times New Roman"/>
                <w:i/>
                <w:sz w:val="20"/>
              </w:rPr>
              <w:t>provided</w:t>
            </w:r>
            <w:r>
              <w:rPr>
                <w:rFonts w:ascii="Times New Roman" w:hAnsi="Times New Roman"/>
                <w:sz w:val="20"/>
              </w:rPr>
              <w:t>, that if requested by the Agent, the Company shall cause a Comfort Letter to be furnished to the Agent within ten (10) Trading Days of the date of occurrence of any material transaction or event requiring the filing of a Current Report on Form 8-K containing financial information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Public Company Accounting Oversight Board (</w:t>
            </w:r>
            <w:r>
              <w:rPr>
                <w:rFonts w:ascii="Times New Roman" w:hAnsi="Times New Roman"/>
                <w:b/>
                <w:sz w:val="20"/>
                <w:u w:val="single"/>
              </w:rPr>
              <w:t>PCAOB</w:t>
            </w:r>
            <w:r>
              <w:rPr>
                <w:rFonts w:ascii="Times New Roman" w:hAnsi="Times New Roman"/>
                <w:sz w:val="20"/>
              </w:rPr>
              <w:t xml:space="preserve">), (ii) stating, as of such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date, the conclusions and findings of such firm with respect to the financial information and other matters ordinarily covered by accountants comfort letters to underwriters in connection with registered public offerings (the first such letter, the </w:t>
            </w:r>
            <w:r>
              <w:rPr>
                <w:b/>
                <w:u w:val="single"/>
              </w:rPr>
              <w:t>Initial Comfort Letter</w:t>
            </w:r>
            <w:r>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Market Activities; Compliance with Regulation M</w:t>
            </w:r>
            <w:r>
              <w:rPr>
                <w:rFonts w:ascii="Times New Roman" w:hAnsi="Times New Roman"/>
                <w:sz w:val="20"/>
              </w:rPr>
              <w:t xml:space="preserve">. The Company will not, directly or indirectly, (i) take any action designed to cause or result in, or that constitutes or would reasonably be expected to constitute, the stabilization or manipulation of the price of any security of the Company to facilitate the sale or resale of Placement Shares or (ii) sell, bid for, or purchase the Placement Shares in violation of Regulation M, or pay anyone any compensation for soliciting purchases of the Placement Shares other than the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(q)</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Offer to Sell</w:t>
            </w:r>
            <w:r>
              <w:rPr>
                <w:rFonts w:ascii="Times New Roman" w:hAnsi="Times New Roman"/>
                <w:sz w:val="20"/>
              </w:rPr>
              <w:t xml:space="preserve">. Other than an Issuer Free Writing Prospectus approved in advance by the Company and the Agents in their capacity as agents hereunder, none of the Agents 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(r)</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Blue Sky and Other Qualifications</w:t>
            </w:r>
            <w:r>
              <w:rPr>
                <w:rFonts w:ascii="Times New Roman" w:hAnsi="Times New Roman"/>
                <w:i/>
                <w:sz w:val="20"/>
              </w:rPr>
              <w:t xml:space="preserve">. </w:t>
            </w:r>
            <w:r>
              <w:rPr>
                <w:rFonts w:ascii="Times New Roman" w:hAnsi="Times New Roman"/>
                <w:sz w:val="20"/>
              </w:rPr>
              <w:t xml:space="preserve">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reasonably designate and to maintain such qualifications and exemptions in effect for so long as required for the distribution of the Placement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(s)</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Sarbanes-Oxley Act</w:t>
            </w:r>
            <w:r>
              <w:rPr>
                <w:rFonts w:ascii="Times New Roman" w:hAnsi="Times New Roman"/>
                <w:sz w:val="20"/>
              </w:rPr>
              <w:t xml:space="preserve">.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Secretarys Certificate; Further Documentation</w:t>
            </w:r>
            <w:r>
              <w:rPr>
                <w:rFonts w:ascii="Times New Roman" w:hAnsi="Times New Roman"/>
                <w:sz w:val="20"/>
              </w:rPr>
              <w:t xml:space="preserve">. Prior to the date of the first Placement Notice, the Company shall deliver to the Agent a certificate of the Secretary of the Company and attested to by an executive officer of the Company, dated as of such date, certifying as to (i) the Restated Certificate of Incorporation of the Company, dated as of July 22, 2019 (as may be amended, restated or modified from time to time),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the later of (i) each Representation Date with respect to which the Company is obligated to deliver a certificate pursuant to </w:t>
            </w:r>
            <w:r>
              <w:rPr>
                <w:rFonts w:ascii="Times New Roman" w:hAnsi="Times New Roman"/>
                <w:sz w:val="20"/>
                <w:u w:val="single"/>
              </w:rPr>
              <w:t>Section 7(l)</w:t>
            </w:r>
            <w:r>
              <w:rPr>
                <w:rFonts w:ascii="Times New Roman" w:hAnsi="Times New Roman"/>
                <w:sz w:val="20"/>
              </w:rPr>
              <w:t xml:space="preserve"> for which no waiver is applicable or (ii) the date such request from the Agent is received by the Company, the Company shall have furnished to the Agent such further information, certificates and documents as the Agent may reasonably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(u)</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Emerging Growth Company Status</w:t>
            </w:r>
            <w:r>
              <w:rPr>
                <w:rFonts w:ascii="Times New Roman" w:hAnsi="Times New Roman"/>
                <w:sz w:val="20"/>
              </w:rPr>
              <w:t xml:space="preserve">. The Company will promptly notify the Agent if the Company ceases to be an Emerging Growth Company at any time during the term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Payment of Expenses</w:t>
            </w:r>
            <w:r>
              <w:rPr>
                <w:rFonts w:ascii="Times New Roman" w:hAnsi="Times New Roman"/>
                <w:sz w:val="20"/>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Designated Agent or Agents, including any stock or other transfer taxes and any capital duties, stamp duties or other duties or taxes payable upon the sale, issuance or delivery of the Placement Shares to the Designated Agent or Agents, (iv) the fees and disbursements of the counsel, accountants and other advisors to the Company, (v) the reasonable and documented fees and expenses of the Agents including but not limited to the fees and expenses of the counsel to the Agents, payable upon the execution of this Agreement, (a) in an amount not to exceed $75,000 in connection with the execution of this Agreement and (b) in an amount not to exceed $25,000 per calendar quarter thereafter payable in connection with each Representation Date with respect to which the Company is obligated to deliver a certificate pursuant to </w:t>
            </w:r>
            <w:r>
              <w:rPr>
                <w:rFonts w:ascii="Times New Roman" w:hAnsi="Times New Roman"/>
                <w:sz w:val="20"/>
                <w:u w:val="single"/>
              </w:rPr>
              <w:t>Section 7(l)</w:t>
            </w:r>
            <w:r>
              <w:rPr>
                <w:rFonts w:ascii="Times New Roman" w:hAnsi="Times New Roman"/>
                <w:sz w:val="20"/>
              </w:rPr>
              <w:t xml:space="preserve"> for which no waiver is applicable and excluding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date of this Agreement, (vi) the qualification or exemption of the Placement Shares under state securities laws in accordance with the provisions of </w:t>
            </w:r>
            <w:r>
              <w:rPr>
                <w:u w:val="single"/>
              </w:rPr>
              <w:t>Section 7(r)</w:t>
            </w:r>
            <w:r>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reasonable and documented fees of the Agents counsel (subject to the cap, set forth in clause (v) above), and (xi) the fees and expenses incurred in connection with the listing of the Placement Shares on the Exchange. The Company agrees to pay the reasonable and documented fees and expenses of counsel to the Agents set forth in clause (v) above by wire transfer of immediately available funds directly to such counsel upon presentation of an invoice containing the requisite payment information prepared by such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Conditions to Agents Obligations</w:t>
            </w:r>
            <w:r>
              <w:rPr>
                <w:rFonts w:ascii="Times New Roman" w:hAnsi="Times New Roman"/>
                <w:sz w:val="20"/>
              </w:rPr>
              <w:t xml:space="preserve">. The obligations of the Agents hereunder with respect to a Placement will be subject to (i) the accuracy and completeness of the representations and warranties made by the Company herein as of the date of this Agreement and each Applicable Time, (ii) the due performance by the Company of its obligations hereunder, (iii) the completion by the Agents of a due diligence review satisfactory to each Agent in its reasonable judgment, and (iv) the continuing satisfaction (or waiver by each Agents in its sole discretion) of the following additional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Effective</w:t>
            </w:r>
            <w:r>
              <w:rPr>
                <w:rFonts w:ascii="Times New Roman" w:hAnsi="Times New Roman"/>
                <w:sz w:val="20"/>
              </w:rPr>
              <w:t xml:space="preserve">. The Registration Statement shall have become effective and shall be available for the (i) resale of all Placement Shares issued to the Agent and not yet sold by the Agent and (ii) sale of all Placement Shares contemplated to be issued by any Placement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that have not been made;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material document incorporated or deemed to be incorporated therein by reference untrue in any material respect or that requires the making of any changes in the Registration Statement, the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 material fact required to be stated therein or necessary to make the statements therein, in the light of the circumstances under which they were made, not misleading.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Misstatement or Material Omission</w:t>
            </w:r>
            <w:r>
              <w:rPr>
                <w:rFonts w:ascii="Times New Roman" w:hAnsi="Times New Roman"/>
                <w:sz w:val="20"/>
              </w:rPr>
              <w:t xml:space="preserve">.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in the authorized capital stock of the Company or any Material Adverse Effect, the effect of which, in the case of any such case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Legal Opinions</w:t>
            </w:r>
            <w:r>
              <w:rPr>
                <w:rFonts w:ascii="Times New Roman" w:hAnsi="Times New Roman"/>
                <w:sz w:val="20"/>
              </w:rPr>
              <w:t xml:space="preserve">. The Agents shall have received the opinions and negative assurance letters required to be delivered pursuant to </w:t>
            </w:r>
            <w:r>
              <w:rPr>
                <w:rFonts w:ascii="Times New Roman" w:hAnsi="Times New Roman"/>
                <w:sz w:val="20"/>
                <w:u w:val="single"/>
              </w:rPr>
              <w:t>Section 7(m)</w:t>
            </w:r>
            <w:r>
              <w:rPr>
                <w:rFonts w:ascii="Times New Roman" w:hAnsi="Times New Roman"/>
                <w:sz w:val="20"/>
              </w:rPr>
              <w:t xml:space="preserve"> on or before the date on which such delivery of such opinions is required pursuant to </w:t>
            </w:r>
            <w:r>
              <w:rPr>
                <w:rFonts w:ascii="Times New Roman" w:hAnsi="Times New Roman"/>
                <w:sz w:val="20"/>
                <w:u w:val="single"/>
              </w:rPr>
              <w:t>Section 7(m)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Comfort Letter</w:t>
            </w:r>
            <w:r>
              <w:rPr>
                <w:rFonts w:ascii="Times New Roman" w:hAnsi="Times New Roman"/>
                <w:sz w:val="20"/>
              </w:rPr>
              <w:t xml:space="preserve">. The Agents shall have received the Comfort Letter required to be delivered pursuant to </w:t>
            </w:r>
            <w:r>
              <w:rPr>
                <w:rFonts w:ascii="Times New Roman" w:hAnsi="Times New Roman"/>
                <w:sz w:val="20"/>
                <w:u w:val="single"/>
              </w:rPr>
              <w:t>Section 7(n)</w:t>
            </w:r>
            <w:r>
              <w:rPr>
                <w:rFonts w:ascii="Times New Roman" w:hAnsi="Times New Roman"/>
                <w:sz w:val="20"/>
              </w:rPr>
              <w:t xml:space="preserve"> on or before the date on which such delivery of such Comfort Letter is required pursuant to </w:t>
            </w:r>
            <w:r>
              <w:rPr>
                <w:rFonts w:ascii="Times New Roman" w:hAnsi="Times New Roman"/>
                <w:sz w:val="20"/>
                <w:u w:val="single"/>
              </w:rPr>
              <w:t>Section 7(n)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 Certificate</w:t>
            </w:r>
            <w:r>
              <w:rPr>
                <w:rFonts w:ascii="Times New Roman" w:hAnsi="Times New Roman"/>
                <w:sz w:val="20"/>
              </w:rPr>
              <w:t xml:space="preserve">. The Agents shall have received the certificate required to be delivered pursuant to </w:t>
            </w:r>
            <w:r>
              <w:rPr>
                <w:rFonts w:ascii="Times New Roman" w:hAnsi="Times New Roman"/>
                <w:sz w:val="20"/>
                <w:u w:val="single"/>
              </w:rPr>
              <w:t>Section 7(l)</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Suspension</w:t>
            </w:r>
            <w:r>
              <w:rPr>
                <w:rFonts w:ascii="Times New Roman" w:hAnsi="Times New Roman"/>
                <w:sz w:val="20"/>
              </w:rPr>
              <w:t xml:space="preserve">. Trading in the Common Stock shall not have been suspended on the Exchange and the Common Stock shall not have been delisted from the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7(l)</w:t>
            </w:r>
            <w:r>
              <w:rPr>
                <w:rFonts w:ascii="Times New Roman" w:hAnsi="Times New Roman"/>
                <w:sz w:val="20"/>
              </w:rPr>
              <w:t xml:space="preserve">, the Company shall have furnished to the Agents such appropriate further information, certificates, letters and other documents as the Agents may reasonably request pursuant to the terms hereof. All such certificates, letters and other documents will be in compliance with the provisions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FINRA</w:t>
            </w:r>
            <w:r>
              <w:rPr>
                <w:rFonts w:ascii="Times New Roman" w:hAnsi="Times New Roman"/>
                <w:sz w:val="20"/>
              </w:rPr>
              <w:t xml:space="preserve">. If applicable, FINRA shall have raised no objection to the terms of this offering and the amount of compensation allowable or payable to the Agents as described in the Prospectus.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(m)</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Termination Event</w:t>
            </w:r>
            <w:r>
              <w:rPr>
                <w:rFonts w:ascii="Times New Roman" w:hAnsi="Times New Roman"/>
                <w:sz w:val="20"/>
              </w:rPr>
              <w:t xml:space="preserve">. There shall not have occurred any event that would permit the Agents to terminate this Agreement pursuant to </w:t>
            </w:r>
            <w:r>
              <w:rPr>
                <w:rFonts w:ascii="Times New Roman" w:hAnsi="Times New Roman"/>
                <w:sz w:val="20"/>
                <w:u w:val="single"/>
              </w:rPr>
              <w:t>Section 12(a)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Indemnification and Contribution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Indemnification</w:t>
      </w:r>
      <w:r>
        <w:rPr>
          <w:rFonts w:ascii="Times New Roman" w:hAnsi="Times New Roman"/>
          <w:sz w:val="20"/>
        </w:rPr>
        <w:t xml:space="preserve">. The Company agrees to indemnify and hold harmless each Agent, its affiliates and their and their affiliates respective partners, members, directors, officers, employees and agents and each person, if any, who controls the applicable Agent or any affiliate within the meaning of Section 15 of the Securities Act or Section 20 of the Exchange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reasonable and documented expense,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(ii) against any and all loss, liability, claim, damage and reasonable and documented expense,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hAnsi="Times New Roman"/>
          <w:i/>
          <w:sz w:val="20"/>
        </w:rPr>
        <w:t>provided</w:t>
      </w:r>
      <w:r>
        <w:rPr>
          <w:rFonts w:ascii="Times New Roman" w:hAnsi="Times New Roman"/>
          <w:sz w:val="20"/>
        </w:rPr>
        <w:t xml:space="preserve"> that (subject to </w:t>
      </w:r>
      <w:r>
        <w:rPr>
          <w:rFonts w:ascii="Times New Roman" w:hAnsi="Times New Roman"/>
          <w:sz w:val="20"/>
          <w:u w:val="single"/>
        </w:rPr>
        <w:t>Section 10(d)</w:t>
      </w:r>
      <w:r>
        <w:rPr>
          <w:rFonts w:ascii="Times New Roman" w:hAnsi="Times New Roman"/>
          <w:sz w:val="20"/>
        </w:rPr>
        <w:t xml:space="preserve"> below) any such settlement is effected with the written consent of the Company, which consent shall not unreasonably be delayed or withheld; and </w:t>
      </w:r>
    </w:p>
    <w:p>
      <w:pPr>
        <w:pStyle w:val="TextBody"/>
        <w:bidi w:val="0"/>
        <w:spacing w:before="240" w:after="0"/>
        <w:jc w:val="left"/>
        <w:rPr>
          <w:rFonts w:ascii="Times New Roman" w:hAnsi="Times New Roman"/>
          <w:sz w:val="20"/>
        </w:rPr>
      </w:pPr>
      <w:r>
        <w:rPr>
          <w:rFonts w:ascii="Times New Roman" w:hAnsi="Times New Roman"/>
          <w:sz w:val="20"/>
        </w:rPr>
        <w:t xml:space="preserve">(iii) against any and all reasonable and documented expenses,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solely to the extent that any such expense is not paid under (i) or (ii) above,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any loss, liability, claim, damage or expense to the extent arising out of any untrue statement or omission or alleged untrue statement or omission made in reliance upon and in conformity with the Agent Information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Agents</w:t>
      </w:r>
      <w:r>
        <w:rPr>
          <w:rFonts w:ascii="Times New Roman" w:hAnsi="Times New Roman"/>
          <w:sz w:val="20"/>
        </w:rPr>
        <w:t xml:space="preserve">. Each Agent agrees, severally and not jointly,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hAnsi="Times New Roman"/>
          <w:sz w:val="20"/>
          <w:u w:val="single"/>
        </w:rPr>
        <w:t>Section 10(a)</w:t>
      </w:r>
      <w:r>
        <w:rPr>
          <w:rFonts w:ascii="Times New Roman" w:hAnsi="Times New Roman"/>
          <w:sz w:val="20"/>
        </w:rPr>
        <w:t xml:space="preserve">, as incurred, but only with respect to untrue statements or omissions,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each Agent has furnished to the Company expressly for use in the Registration Statement, the Prospectus, any Prospectus Supplement or any Issuer Free Writing Prospectus (or any amendment or supplement thereto) are the statements set forth in the eighth and ninth paragraphs under the caption Plan of Distribution in the Prospectus (the </w:t>
      </w:r>
      <w:r>
        <w:rPr>
          <w:rFonts w:ascii="Times New Roman" w:hAnsi="Times New Roman"/>
          <w:b/>
          <w:sz w:val="20"/>
          <w:u w:val="single"/>
        </w:rPr>
        <w:t>Agent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Section 10</w:t>
      </w:r>
      <w:r>
        <w:rPr>
          <w:rFonts w:ascii="Times New Roman" w:hAnsi="Times New Roman"/>
          <w:sz w:val="20"/>
        </w:rPr>
        <w:t xml:space="preserve"> will, promptly after receipt of notice of commencement of any action against such party in respect of which a claim is to be made against an indemnifying party or parties under this </w:t>
      </w:r>
      <w:r>
        <w:rPr>
          <w:rFonts w:ascii="Times New Roman" w:hAnsi="Times New Roman"/>
          <w:sz w:val="20"/>
          <w:u w:val="single"/>
        </w:rPr>
        <w:t>Section 10</w:t>
      </w:r>
      <w:r>
        <w:rPr>
          <w:rFonts w:ascii="Times New Roman" w:hAnsi="Times New Roman"/>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10</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10</w:t>
      </w:r>
      <w:r>
        <w:rPr>
          <w:rFonts w:ascii="Times New Roman" w:hAnsi="Times New Roman"/>
          <w:sz w:val="20"/>
        </w:rPr>
        <w:t xml:space="preserve"> unless, and only to the extent that, such omission results in the forfeiture of material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reasonable documented fees, disbursements and other charges will be reimbursed by the indemnifying party promptly as they are incurred. An indemnifying party will not, in any event, be liable for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10</w:t>
      </w:r>
      <w:r>
        <w:rPr>
          <w:rFonts w:ascii="Times New Roman" w:hAnsi="Times New Roman"/>
          <w:sz w:val="20"/>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 Without Consent if Failure to Reimburse</w:t>
      </w:r>
      <w:r>
        <w:rPr>
          <w:rFonts w:ascii="Times New Roman" w:hAnsi="Times New Roman"/>
          <w:i/>
          <w:sz w:val="20"/>
        </w:rPr>
        <w:t xml:space="preserve">. </w:t>
      </w:r>
      <w:r>
        <w:rPr>
          <w:rFonts w:ascii="Times New Roman" w:hAnsi="Times New Roman"/>
          <w:sz w:val="20"/>
        </w:rPr>
        <w:t xml:space="preserve">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hAnsi="Times New Roman"/>
          <w:sz w:val="20"/>
          <w:u w:val="single"/>
        </w:rPr>
        <w:t>Section 10(a)(ii)</w:t>
      </w:r>
      <w:r>
        <w:rPr>
          <w:rFonts w:ascii="Times New Roman" w:hAnsi="Times New Roman"/>
          <w:sz w:val="20"/>
        </w:rPr>
        <w:t xml:space="preserve"> or </w:t>
      </w:r>
      <w:r>
        <w:rPr>
          <w:rFonts w:ascii="Times New Roman" w:hAnsi="Times New Roman"/>
          <w:sz w:val="20"/>
          <w:u w:val="single"/>
        </w:rPr>
        <w:t>Section 10(b)</w:t>
      </w:r>
      <w:r>
        <w:rPr>
          <w:rFonts w:ascii="Times New Roman" w:hAnsi="Times New Roman"/>
          <w:sz w:val="20"/>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10</w:t>
      </w:r>
      <w:r>
        <w:rPr>
          <w:rFonts w:ascii="Times New Roman" w:hAnsi="Times New Roman"/>
          <w:sz w:val="20"/>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an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hAnsi="Times New Roman"/>
          <w:sz w:val="20"/>
          <w:u w:val="single"/>
        </w:rPr>
        <w:t>Section 10(e)</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10(e)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to include, for the purpose of this </w:t>
      </w:r>
      <w:r>
        <w:rPr>
          <w:rFonts w:ascii="Times New Roman" w:hAnsi="Times New Roman"/>
          <w:sz w:val="20"/>
          <w:u w:val="single"/>
        </w:rPr>
        <w:t>Section 10(e)</w:t>
      </w:r>
      <w:r>
        <w:rPr>
          <w:rFonts w:ascii="Times New Roman" w:hAnsi="Times New Roman"/>
          <w:sz w:val="20"/>
        </w:rPr>
        <w:t xml:space="preserve">, any legal or other expenses reasonably incurred by such indemnified party in connection with investigating or defending any such action or claim to the extent consistent with </w:t>
      </w:r>
      <w:r>
        <w:rPr>
          <w:rFonts w:ascii="Times New Roman" w:hAnsi="Times New Roman"/>
          <w:sz w:val="20"/>
          <w:u w:val="single"/>
        </w:rPr>
        <w:t>Section 10(c)</w:t>
      </w:r>
      <w:r>
        <w:rPr>
          <w:rFonts w:ascii="Times New Roman" w:hAnsi="Times New Roman"/>
          <w:sz w:val="20"/>
        </w:rPr>
        <w:t xml:space="preserve"> hereof. Notwithstanding the foregoing provisions of this </w:t>
      </w:r>
      <w:r>
        <w:rPr>
          <w:rFonts w:ascii="Times New Roman" w:hAnsi="Times New Roman"/>
          <w:sz w:val="20"/>
          <w:u w:val="single"/>
        </w:rPr>
        <w:t>Section 10(e)</w:t>
      </w:r>
      <w:r>
        <w:rPr>
          <w:rFonts w:ascii="Times New Roman" w:hAnsi="Times New Roman"/>
          <w:sz w:val="20"/>
        </w:rPr>
        <w:t xml:space="preserve">, no Agent shall be required to contribute any amount in excess of the commissions received by it under this Agreement and no person found guilty of fraudulent misrepresentation (within the meaning of </w:t>
      </w:r>
      <w:r>
        <w:rPr>
          <w:rFonts w:ascii="Times New Roman" w:hAnsi="Times New Roman"/>
          <w:sz w:val="20"/>
          <w:u w:val="single"/>
        </w:rPr>
        <w:t>Section 11(f)</w:t>
      </w:r>
      <w:r>
        <w:rPr>
          <w:rFonts w:ascii="Times New Roman" w:hAnsi="Times New Roman"/>
          <w:sz w:val="20"/>
        </w:rPr>
        <w:t xml:space="preserve"> of the Securities Act) will be entitled to contribution from any person who was not guilty of such fraudulent misrepresentation. For purposes of this </w:t>
      </w:r>
      <w:r>
        <w:rPr>
          <w:rFonts w:ascii="Times New Roman" w:hAnsi="Times New Roman"/>
          <w:sz w:val="20"/>
          <w:u w:val="single"/>
        </w:rPr>
        <w:t>Section 10(e)</w:t>
      </w:r>
      <w:r>
        <w:rPr>
          <w:rFonts w:ascii="Times New Roman" w:hAnsi="Times New Roman"/>
          <w:sz w:val="20"/>
        </w:rPr>
        <w:t xml:space="preserve">, any person who controls a party to this Agreement within the meaning of the Securities Act, any affiliates of an Agent and any officers, directors, partners, employees or agents of such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10(e)</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10(e)</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10(c)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10(c)</w:t>
      </w:r>
      <w:r>
        <w:rPr>
          <w:rFonts w:ascii="Times New Roman" w:hAnsi="Times New Roman"/>
          <w:sz w:val="20"/>
        </w:rPr>
        <w:t xml:space="preserve"> hereof. The Agents respective obligations to contribute pursuant to this Section 10(e) are several in proportion to the respective number of Placement Shares they have sold hereunder, and not joint.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10</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employees or controlling persons), (ii) delivery and acceptance of the Placement Shares and payment therefor or (iii) any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Agent may terminate this Agreement with respect to its rights and obligations under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u w:val="single"/>
              </w:rPr>
              <w:t>Section 8</w:t>
            </w:r>
            <w:r>
              <w:rPr/>
              <w:t xml:space="preserve"> (Payment of Expenses), </w:t>
            </w:r>
            <w:r>
              <w:rPr>
                <w:u w:val="single"/>
              </w:rPr>
              <w:t>Section 10</w:t>
            </w:r>
            <w:r>
              <w:rPr/>
              <w:t xml:space="preserve"> (Indemnification and Contribution), </w:t>
            </w:r>
            <w:r>
              <w:rPr>
                <w:u w:val="single"/>
              </w:rPr>
              <w:t>Section 11</w:t>
            </w:r>
            <w:r>
              <w:rPr/>
              <w:t xml:space="preserve"> (Representations and Agreements to Survive Delivery), </w:t>
            </w:r>
            <w:r>
              <w:rPr>
                <w:u w:val="single"/>
              </w:rPr>
              <w:t>Section 17</w:t>
            </w:r>
            <w:r>
              <w:rPr/>
              <w:t xml:space="preserve"> (Governing Law and Time; Waiver of Jury Trial) and </w:t>
            </w:r>
            <w:r>
              <w:rPr>
                <w:u w:val="single"/>
              </w:rPr>
              <w:t>Section 18</w:t>
            </w:r>
            <w:r>
              <w:rPr/>
              <w:t xml:space="preserve"> (Consent to Jurisdiction) hereof shall remain in full force and effect notwithstanding such termination. If an Agent elects to terminate this Agreement as provided in this </w:t>
            </w:r>
            <w:r>
              <w:rPr>
                <w:u w:val="single"/>
              </w:rPr>
              <w:t>Section 12(a)</w:t>
            </w:r>
            <w:r>
              <w:rPr/>
              <w:t xml:space="preserve">, such Agent shall provide the required notice as specified in </w:t>
            </w:r>
            <w:r>
              <w:rPr>
                <w:u w:val="single"/>
              </w:rPr>
              <w:t>Section 13</w:t>
            </w:r>
            <w:r>
              <w:rPr/>
              <w:t xml:space="preserve"> (Notices). For the avoidance of doubt, the termination by one Agent of its rights and obligations under this Agreement pursuant to this Section 12(a) shall not affect the rights and obligations of the other Agents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the right, by giving ten (10) days notice as hereinafter specified to terminate this Agreement with respect to one or both Agents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For the avoidance of doubt, the termination by the Company of this Agreement with respect to one Agent shall not affect the rights and obligations of the other Agents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Agent shall have the right, by giving ten (10) days notice as hereinafter specified to terminate this Agreement with respect to itself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shall remain in full force and effect unless terminated pursuant to </w:t>
            </w:r>
            <w:r>
              <w:rPr>
                <w:rFonts w:ascii="Times New Roman" w:hAnsi="Times New Roman"/>
                <w:sz w:val="20"/>
                <w:u w:val="single"/>
              </w:rPr>
              <w:t>Sections 12(a)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or otherwise by mutual agreement of the parties;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termination by mutual agreement shall in all cases be deemed to provide that </w:t>
            </w: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shall remain in full force and effect. Upon termination of this Agreement, the Company shall not have any liability to an Agent for any discount, commission or other compensation with respect to any Placement Shares not otherwise sold by an Agent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this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and if sent to the Agents, shall be delivered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499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Capital Markets </w:t>
      </w:r>
    </w:p>
    <w:p>
      <w:pPr>
        <w:pStyle w:val="TextBody"/>
        <w:bidi w:val="0"/>
        <w:spacing w:before="0" w:after="0"/>
        <w:jc w:val="left"/>
        <w:rPr>
          <w:rFonts w:ascii="Times New Roman" w:hAnsi="Times New Roman"/>
          <w:sz w:val="20"/>
        </w:rPr>
      </w:pPr>
      <w:r>
        <w:rPr>
          <w:rFonts w:ascii="Times New Roman" w:hAnsi="Times New Roman"/>
          <w:sz w:val="20"/>
        </w:rPr>
        <w:t xml:space="preserve">E- mail: CFCEO@cantor.com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499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legal-IBD@cantor.com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787 Seventh Avenue, 12th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Equity Capital Markets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One Financial Center, </w:t>
      </w:r>
    </w:p>
    <w:p>
      <w:pPr>
        <w:pStyle w:val="TextBody"/>
        <w:bidi w:val="0"/>
        <w:spacing w:before="0" w:after="0"/>
        <w:jc w:val="left"/>
        <w:rPr>
          <w:rFonts w:ascii="Times New Roman" w:hAnsi="Times New Roman"/>
          <w:sz w:val="20"/>
        </w:rPr>
      </w:pPr>
      <w:r>
        <w:rPr>
          <w:rFonts w:ascii="Times New Roman" w:hAnsi="Times New Roman"/>
          <w:sz w:val="20"/>
        </w:rPr>
        <w:t xml:space="preserve">Boston , Massachusetts 02111 </w:t>
      </w:r>
    </w:p>
    <w:p>
      <w:pPr>
        <w:pStyle w:val="TextBody"/>
        <w:bidi w:val="0"/>
        <w:spacing w:before="0" w:after="0"/>
        <w:jc w:val="left"/>
        <w:rPr>
          <w:rFonts w:ascii="Times New Roman" w:hAnsi="Times New Roman"/>
          <w:sz w:val="20"/>
        </w:rPr>
      </w:pPr>
      <w:r>
        <w:rPr>
          <w:rFonts w:ascii="Times New Roman" w:hAnsi="Times New Roman"/>
          <w:sz w:val="20"/>
        </w:rPr>
        <w:t xml:space="preserve">Attention:  John Rudy, Esq. </w:t>
      </w:r>
    </w:p>
    <w:p>
      <w:pPr>
        <w:pStyle w:val="TextBody"/>
        <w:bidi w:val="0"/>
        <w:spacing w:before="0" w:after="0"/>
        <w:jc w:val="left"/>
        <w:rPr>
          <w:rFonts w:ascii="Times New Roman" w:hAnsi="Times New Roman"/>
          <w:sz w:val="20"/>
        </w:rPr>
      </w:pPr>
      <w:r>
        <w:rPr>
          <w:rFonts w:ascii="Times New Roman" w:hAnsi="Times New Roman"/>
          <w:sz w:val="20"/>
        </w:rPr>
        <w:t xml:space="preserve">E-mail:      jrudy@mintz.com </w:t>
      </w:r>
    </w:p>
    <w:p>
      <w:pPr>
        <w:pStyle w:val="TextBody"/>
        <w:bidi w:val="0"/>
        <w:spacing w:before="120" w:after="0"/>
        <w:jc w:val="left"/>
        <w:rPr>
          <w:rFonts w:ascii="Times New Roman" w:hAnsi="Times New Roman"/>
          <w:sz w:val="20"/>
        </w:rPr>
      </w:pPr>
      <w:r>
        <w:rPr>
          <w:rFonts w:ascii="Times New Roman" w:hAnsi="Times New Roman"/>
          <w:sz w:val="20"/>
        </w:rPr>
        <w:t xml:space="preserve">and if to the Company, shall be delivered to: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left"/>
        <w:rPr>
          <w:rFonts w:ascii="Times New Roman" w:hAnsi="Times New Roman"/>
          <w:sz w:val="20"/>
        </w:rPr>
      </w:pPr>
      <w:r>
        <w:rPr>
          <w:rFonts w:ascii="Times New Roman" w:hAnsi="Times New Roman"/>
          <w:sz w:val="20"/>
        </w:rPr>
        <w:t xml:space="preserve">Attention:  Curt Oltmans </w:t>
      </w:r>
    </w:p>
    <w:p>
      <w:pPr>
        <w:pStyle w:val="TextBody"/>
        <w:bidi w:val="0"/>
        <w:spacing w:before="0" w:after="0"/>
        <w:jc w:val="left"/>
        <w:rPr>
          <w:rFonts w:ascii="Times New Roman" w:hAnsi="Times New Roman"/>
          <w:sz w:val="20"/>
        </w:rPr>
      </w:pPr>
      <w:r>
        <w:rPr>
          <w:rFonts w:ascii="Times New Roman" w:hAnsi="Times New Roman"/>
          <w:sz w:val="20"/>
        </w:rPr>
        <w:t xml:space="preserve">E-mail:      coltmans@fulcrumtx.com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Three Embarcadero Center, 28th Floor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94111 </w:t>
      </w:r>
    </w:p>
    <w:p>
      <w:pPr>
        <w:pStyle w:val="TextBody"/>
        <w:bidi w:val="0"/>
        <w:spacing w:before="0" w:after="0"/>
        <w:jc w:val="left"/>
        <w:rPr>
          <w:rFonts w:ascii="Times New Roman" w:hAnsi="Times New Roman"/>
          <w:sz w:val="20"/>
        </w:rPr>
      </w:pPr>
      <w:r>
        <w:rPr>
          <w:rFonts w:ascii="Times New Roman" w:hAnsi="Times New Roman"/>
          <w:sz w:val="20"/>
        </w:rPr>
        <w:t xml:space="preserve">Attention:  Marianne C. Sarrazin, Esq. </w:t>
      </w:r>
    </w:p>
    <w:p>
      <w:pPr>
        <w:pStyle w:val="TextBody"/>
        <w:bidi w:val="0"/>
        <w:spacing w:before="0" w:after="0"/>
        <w:jc w:val="left"/>
        <w:rPr>
          <w:rFonts w:ascii="Times New Roman" w:hAnsi="Times New Roman"/>
          <w:sz w:val="20"/>
        </w:rPr>
      </w:pPr>
      <w:r>
        <w:rPr>
          <w:rFonts w:ascii="Times New Roman" w:hAnsi="Times New Roman"/>
          <w:sz w:val="20"/>
        </w:rPr>
        <w:t xml:space="preserve">E-mail:      msarrazin@goodwinlaw.com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Exchange and commercial banks in the City of New York are open for business. </w:t>
      </w:r>
    </w:p>
    <w:p>
      <w:pPr>
        <w:pStyle w:val="TextBody"/>
        <w:bidi w:val="0"/>
        <w:spacing w:before="240" w:after="0"/>
        <w:jc w:val="left"/>
        <w:rPr>
          <w:rFonts w:ascii="Times New Roman" w:hAnsi="Times New Roman"/>
          <w:sz w:val="20"/>
        </w:rPr>
      </w:pPr>
      <w:r>
        <w:rPr>
          <w:rFonts w:ascii="Times New Roman" w:hAnsi="Times New Roman"/>
          <w:sz w:val="20"/>
        </w:rPr>
        <w:t>An electronic communication (</w:t>
      </w:r>
      <w:r>
        <w:rPr>
          <w:rFonts w:ascii="Times New Roman" w:hAnsi="Times New Roman"/>
          <w:b/>
          <w:sz w:val="20"/>
          <w:u w:val="single"/>
        </w:rPr>
        <w:t>Electronic Notice</w:t>
      </w:r>
      <w:r>
        <w:rPr>
          <w:rFonts w:ascii="Times New Roman" w:hAnsi="Times New Roman"/>
          <w:sz w:val="20"/>
        </w:rPr>
        <w:t xml:space="preserve">) shall be deemed written notice for purposes of this </w:t>
      </w:r>
      <w:r>
        <w:rPr>
          <w:rFonts w:ascii="Times New Roman" w:hAnsi="Times New Roman"/>
          <w:sz w:val="20"/>
          <w:u w:val="single"/>
        </w:rPr>
        <w:t>Section 13</w:t>
      </w:r>
      <w:r>
        <w:rPr>
          <w:rFonts w:ascii="Times New Roman" w:hAnsi="Times New Roman"/>
          <w:sz w:val="20"/>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hAnsi="Times New Roman"/>
          <w:b/>
          <w:sz w:val="20"/>
          <w:u w:val="single"/>
        </w:rPr>
        <w:t>Nonelectronic Notic</w:t>
      </w:r>
      <w:r>
        <w:rPr>
          <w:rFonts w:ascii="Times New Roman" w:hAnsi="Times New Roman"/>
          <w:b/>
          <w:sz w:val="20"/>
        </w:rPr>
        <w:t>e</w:t>
      </w:r>
      <w:r>
        <w:rPr>
          <w:rFonts w:ascii="Times New Roman" w:hAnsi="Times New Roman"/>
          <w:sz w:val="20"/>
        </w:rPr>
        <w:t xml:space="preserve">) which shall be sent to the requesting party within ten (10) days of receipt of the written request for Nonelectronic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each Agent and their respective successors and the parties referred to in </w:t>
            </w:r>
            <w:r>
              <w:rPr>
                <w:rFonts w:ascii="Times New Roman" w:hAnsi="Times New Roman"/>
                <w:sz w:val="20"/>
                <w:u w:val="single"/>
              </w:rPr>
              <w:t>Section 10</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each Agent may assign its rights and obligations hereunder to an affiliate thereof without obtaining the Companys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Adjustments for Stock Splits</w:t>
            </w:r>
            <w:r>
              <w:rPr>
                <w:rFonts w:ascii="Times New Roman" w:hAnsi="Times New Roman"/>
                <w:sz w:val="20"/>
              </w:rPr>
              <w:t xml:space="preserve">. The parties acknowledge and agree that all share-related numbers contained in this Agreement shall be adjusted to take into account any stock split, stock dividend or similar event effected with respect to the Placement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 Amendment; Severability; Waiver</w:t>
            </w:r>
            <w:r>
              <w:rPr>
                <w:rFonts w:ascii="Times New Roman" w:hAnsi="Times New Roman"/>
                <w:sz w:val="20"/>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GOVERNING LAW AND TIME; WAIVER OF JURY TRIAL</w:t>
            </w:r>
            <w:r>
              <w:rPr>
                <w:rFonts w:ascii="Times New Roman" w:hAnsi="Times New Roman"/>
                <w:b/>
                <w:sz w:val="20"/>
              </w:rPr>
              <w:t>.</w:t>
            </w:r>
            <w:r>
              <w:rPr>
                <w:rFonts w:ascii="Times New Roman" w:hAnsi="Times New Roman"/>
                <w:sz w:val="20"/>
              </w:rPr>
              <w:t xml:space="preserve"> </w:t>
            </w:r>
            <w:r>
              <w:rPr>
                <w:rFonts w:ascii="Times New Roman" w:hAnsi="Times New Roman"/>
                <w:b/>
                <w:sz w:val="20"/>
              </w:rPr>
              <w:t>THIS AGREEMENT SHALL BE GOVERNED BY AND CONSTRUED IN ACCORDANCE WITH THE LAWS OF THE STATE OF NEW YORK WITHOUT REGARD TO THE PRINCIPLES OF CONFLICTS OF LAWS. SPECIFIED TIMES OF DAY REFER TO NEW YORK CITY TIME.</w:t>
            </w:r>
            <w:r>
              <w:rPr>
                <w:rFonts w:ascii="Times New Roman" w:hAnsi="Times New Roman"/>
                <w:sz w:val="20"/>
              </w:rPr>
              <w:t xml:space="preserve"> </w:t>
            </w:r>
            <w:r>
              <w:rPr>
                <w:rFonts w:ascii="Times New Roman" w:hAnsi="Times New Roman"/>
                <w:b/>
                <w:sz w:val="20"/>
              </w:rPr>
              <w:t>EACH PARTY HEREBY IRREVOCABLY WAIVES, TO THE FULLEST EXTENT PERMITTED BY APPLICABLE LAW, ANY AND ALL RIGHT TO TRIAL BY JURY IN ANY LEGAL PROCEEDING ARISING OUT OF OR RELATING TO THIS AGREEMENT OR THE TRANSACTIONS CONTEMPLATED HEREBY.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CONSENT TO JURISDICTION</w:t>
            </w:r>
            <w:r>
              <w:rPr>
                <w:rFonts w:ascii="Times New Roman" w:hAnsi="Times New Roman"/>
                <w:b/>
                <w:sz w:val="20"/>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Construction</w:t>
            </w:r>
            <w:r>
              <w:rPr>
                <w:rFonts w:ascii="Times New Roman" w:hAnsi="Times New Roman"/>
                <w:sz w:val="20"/>
              </w:rPr>
              <w:t xml:space="preserve">.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Permitted Free Writing Prospectuses</w:t>
            </w:r>
            <w:r>
              <w:rPr>
                <w:rFonts w:ascii="Times New Roman" w:hAnsi="Times New Roman"/>
                <w:sz w:val="20"/>
              </w:rPr>
              <w:t xml:space="preserve">. The Company represents, warrants and agrees that, unless it obtains the prior written consent of each Agent, which shall not be unreasonably withheld, conditioned or delayed, and each Agent represents, warrants and agrees that, unless it obtains the prior 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hAnsi="Times New Roman"/>
                <w:sz w:val="20"/>
                <w:u w:val="single"/>
              </w:rPr>
              <w:t>Exhibit 21</w:t>
            </w:r>
            <w:r>
              <w:rPr>
                <w:rFonts w:ascii="Times New Roman" w:hAnsi="Times New Roman"/>
                <w:sz w:val="20"/>
              </w:rPr>
              <w:t xml:space="preserve"> hereto are Permitted Free Writing Prospectuses.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Absence of Fiduciary Relationship</w:t>
            </w:r>
            <w:r>
              <w:rPr>
                <w:rFonts w:ascii="Times New Roman" w:hAnsi="Times New Roman"/>
                <w:sz w:val="20"/>
              </w:rPr>
              <w:t xml:space="preserve">. The Company acknowledges and agrees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such Agent, on the other hand, has been or will be created in respect of any of the transactions contemplated by this Agreement, irrespective of whether or not each Agent has advised or is advising the Company on other matters, and the Agent has no obligation to the Company with respect to the transactions contemplated by this Agreement except the obligations expressly set forth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capable of evaluating and understanding, and understands and accepts, the terms, risks and conditions of the transactions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aware that each Agent and its affiliates are engaged in a broad range of transactions which may involve interests that differ from those of the Company and such Agent and its affiliates have no obligation to disclose such interests and transactions to the Company by virtue of any fiduciary, advisory or agency relationship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waives, to the fullest extent permitted by law, any claims it may have against each Agent or its affiliates for breach of fiduciary duty or alleged breach of fiduciary duty in connection with the sale of Placement Shares under this Agreement and agrees that each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As used in this Agreement, the following terms have the respective meanings set forth below: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Applicable Time</w:t>
      </w:r>
      <w:r>
        <w:rPr>
          <w:rFonts w:ascii="Times New Roman" w:hAnsi="Times New Roman"/>
          <w:sz w:val="20"/>
        </w:rPr>
        <w:t xml:space="preserve"> means (i) each Representation Date, (ii) the time of each sale of any Placement Shares pursuant to this Agreement and (iii) each Settlement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Governmental Authority</w:t>
      </w:r>
      <w:r>
        <w:rPr>
          <w:rFonts w:ascii="Times New Roman" w:hAnsi="Times New Roman"/>
          <w:sz w:val="20"/>
        </w:rPr>
        <w:t xml:space="preserve">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 in each case, having jurisdiction over the Company, its Subsidiaries or any of their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Issuer Free Writing Prospectus</w:t>
      </w:r>
      <w:r>
        <w:rPr>
          <w:rFonts w:ascii="Times New Roman" w:hAnsi="Times New Roman"/>
          <w:sz w:val="20"/>
        </w:rPr>
        <w:t xml:space="preserve">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Law</w:t>
      </w:r>
      <w:r>
        <w:rPr>
          <w:rFonts w:ascii="Times New Roman" w:hAnsi="Times New Roman"/>
          <w:sz w:val="20"/>
        </w:rPr>
        <w:t xml:space="preserve"> means any and all laws, including all federal, state, local, municipal, national or foreign statutes, codes, ordinances, guidelines, decrees, rules, regulations and by-laws and all judicial, arbitral, administrative, ministerial, departmental or regulatory judgments, orders, directives, decisions, rulings or awards or other requirements of any Governmental Authority, binding on or affecting the person referred to in the context in which the term is used and rules, regulations and policies of any stock exchange on which securities of the Company are listed for trading; 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Rule 164</w:t>
      </w:r>
      <w:r>
        <w:rPr>
          <w:rFonts w:ascii="Times New Roman" w:hAnsi="Times New Roman"/>
          <w:sz w:val="20"/>
        </w:rPr>
        <w:t>, </w:t>
      </w:r>
      <w:r>
        <w:rPr>
          <w:rFonts w:ascii="Times New Roman" w:hAnsi="Times New Roman"/>
          <w:b/>
          <w:sz w:val="20"/>
          <w:u w:val="single"/>
        </w:rPr>
        <w:t>Rule 172</w:t>
      </w:r>
      <w:r>
        <w:rPr>
          <w:rFonts w:ascii="Times New Roman" w:hAnsi="Times New Roman"/>
          <w:sz w:val="20"/>
        </w:rPr>
        <w:t>, </w:t>
      </w:r>
      <w:r>
        <w:rPr>
          <w:rFonts w:ascii="Times New Roman" w:hAnsi="Times New Roman"/>
          <w:b/>
          <w:sz w:val="20"/>
          <w:u w:val="single"/>
        </w:rPr>
        <w:t>Rule 405</w:t>
      </w:r>
      <w:r>
        <w:rPr>
          <w:rFonts w:ascii="Times New Roman" w:hAnsi="Times New Roman"/>
          <w:sz w:val="20"/>
        </w:rPr>
        <w:t>, </w:t>
      </w:r>
      <w:r>
        <w:rPr>
          <w:rFonts w:ascii="Times New Roman" w:hAnsi="Times New Roman"/>
          <w:b/>
          <w:sz w:val="20"/>
          <w:u w:val="single"/>
        </w:rPr>
        <w:t>Rule 415</w:t>
      </w:r>
      <w:r>
        <w:rPr>
          <w:rFonts w:ascii="Times New Roman" w:hAnsi="Times New Roman"/>
          <w:sz w:val="20"/>
        </w:rPr>
        <w:t>, </w:t>
      </w:r>
      <w:r>
        <w:rPr>
          <w:rFonts w:ascii="Times New Roman" w:hAnsi="Times New Roman"/>
          <w:b/>
          <w:sz w:val="20"/>
          <w:u w:val="single"/>
        </w:rPr>
        <w:t>Rule 424</w:t>
      </w:r>
      <w:r>
        <w:rPr>
          <w:rFonts w:ascii="Times New Roman" w:hAnsi="Times New Roman"/>
          <w:sz w:val="20"/>
        </w:rPr>
        <w:t>, </w:t>
      </w:r>
      <w:r>
        <w:rPr>
          <w:rFonts w:ascii="Times New Roman" w:hAnsi="Times New Roman"/>
          <w:b/>
          <w:sz w:val="20"/>
          <w:u w:val="single"/>
        </w:rPr>
        <w:t>Rule</w:t>
      </w:r>
      <w:r>
        <w:rPr>
          <w:rFonts w:ascii="Times New Roman" w:hAnsi="Times New Roman"/>
          <w:sz w:val="20"/>
          <w:u w:val="single"/>
        </w:rPr>
        <w:t> </w:t>
      </w:r>
      <w:r>
        <w:rPr>
          <w:rFonts w:ascii="Times New Roman" w:hAnsi="Times New Roman"/>
          <w:b/>
          <w:sz w:val="20"/>
          <w:u w:val="single"/>
        </w:rPr>
        <w:t>424(b)</w:t>
      </w:r>
      <w:r>
        <w:rPr>
          <w:rFonts w:ascii="Times New Roman" w:hAnsi="Times New Roman"/>
          <w:sz w:val="20"/>
        </w:rPr>
        <w:t>, </w:t>
      </w:r>
      <w:r>
        <w:rPr>
          <w:rFonts w:ascii="Times New Roman" w:hAnsi="Times New Roman"/>
          <w:b/>
          <w:sz w:val="20"/>
          <w:u w:val="single"/>
        </w:rPr>
        <w:t>Rule</w:t>
      </w:r>
      <w:r>
        <w:rPr>
          <w:rFonts w:ascii="Times New Roman" w:hAnsi="Times New Roman"/>
          <w:sz w:val="20"/>
          <w:u w:val="single"/>
        </w:rPr>
        <w:t> </w:t>
      </w:r>
      <w:r>
        <w:rPr>
          <w:rFonts w:ascii="Times New Roman" w:hAnsi="Times New Roman"/>
          <w:b/>
          <w:sz w:val="20"/>
          <w:u w:val="single"/>
        </w:rPr>
        <w:t>430B</w:t>
      </w:r>
      <w:r>
        <w:rPr>
          <w:rFonts w:ascii="Times New Roman" w:hAnsi="Times New Roman"/>
          <w:sz w:val="20"/>
        </w:rPr>
        <w:t>, and </w:t>
      </w:r>
      <w:r>
        <w:rPr>
          <w:rFonts w:ascii="Times New Roman" w:hAnsi="Times New Roman"/>
          <w:b/>
          <w:sz w:val="20"/>
          <w:u w:val="single"/>
        </w:rPr>
        <w:t>Rule</w:t>
      </w:r>
      <w:r>
        <w:rPr>
          <w:rFonts w:ascii="Times New Roman" w:hAnsi="Times New Roman"/>
          <w:sz w:val="20"/>
          <w:u w:val="single"/>
        </w:rPr>
        <w:t> </w:t>
      </w:r>
      <w:r>
        <w:rPr>
          <w:rFonts w:ascii="Times New Roman" w:hAnsi="Times New Roman"/>
          <w:b/>
          <w:sz w:val="20"/>
          <w:u w:val="single"/>
        </w:rPr>
        <w:t>433</w:t>
      </w:r>
      <w:r>
        <w:rPr>
          <w:rFonts w:ascii="Times New Roman" w:hAnsi="Times New Roman"/>
          <w:sz w:val="20"/>
        </w:rPr>
        <w:t xml:space="preserve"> refer to such rules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the Agents, please so indicate in the space provided below for that purpose, whereupon this letter shall constitute a binding agreement between the Company and the Agents.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FULCRUM THERAPEUTICS, INC.</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C. Sapir</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Alex C. Sapir</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CANTOR FITZGERALD &amp; CO.</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Sage Kelly</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Sage Kelly</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Senior Managing Director and Head of Investment Banking</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STIFEL, NICOLAUS &amp; COMPANY, INCORPORATED</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 Clausman</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Ken Clausman</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Placement Notice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8"/>
        <w:gridCol w:w="120"/>
        <w:gridCol w:w="8497"/>
      </w:tblGrid>
      <w:tr>
        <w:trPr/>
        <w:tc>
          <w:tcPr>
            <w:tcW w:w="15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97" w:type="dxa"/>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From:</w:t>
            </w:r>
          </w:p>
        </w:tc>
        <w:tc>
          <w:tcPr>
            <w:tcW w:w="120"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283"/>
              <w:jc w:val="left"/>
              <w:rPr/>
            </w:pPr>
            <w:r>
              <w:rPr/>
              <w:t>Fulcrum Therapeutics</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To:</w:t>
            </w:r>
          </w:p>
        </w:tc>
        <w:tc>
          <w:tcPr>
            <w:tcW w:w="120"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0"/>
              <w:jc w:val="left"/>
              <w:rPr>
                <w:rFonts w:ascii="Times New Roman" w:hAnsi="Times New Roman"/>
                <w:sz w:val="20"/>
              </w:rPr>
            </w:pPr>
            <w:r>
              <w:rPr>
                <w:rFonts w:ascii="Times New Roman" w:hAnsi="Times New Roman"/>
                <w:sz w:val="20"/>
              </w:rPr>
              <w:t>[Cantor Fitzgerald &amp; Co.][Stifel, Nicolaus &amp; Company, Incorporated]</w:t>
            </w:r>
          </w:p>
          <w:p>
            <w:pPr>
              <w:pStyle w:val="TableContents"/>
              <w:bidi w:val="0"/>
              <w:spacing w:before="0" w:after="20"/>
              <w:jc w:val="left"/>
              <w:rPr>
                <w:rFonts w:ascii="Times New Roman" w:hAnsi="Times New Roman"/>
                <w:sz w:val="20"/>
              </w:rPr>
            </w:pPr>
            <w:r>
              <w:rPr>
                <w:rFonts w:ascii="Times New Roman" w:hAnsi="Times New Roman"/>
                <w:sz w:val="20"/>
              </w:rPr>
              <w:t>Attention: [ ]</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Subject:</w:t>
            </w:r>
          </w:p>
        </w:tc>
        <w:tc>
          <w:tcPr>
            <w:tcW w:w="120"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283"/>
              <w:jc w:val="left"/>
              <w:rPr/>
            </w:pPr>
            <w:r>
              <w:rPr/>
              <w:t>Placement Notice</w:t>
            </w:r>
          </w:p>
        </w:tc>
      </w:tr>
      <w:tr>
        <w:trPr>
          <w:trHeight w:val="120" w:hRule="atLeast"/>
        </w:trPr>
        <w:tc>
          <w:tcPr>
            <w:tcW w:w="1588" w:type="dxa"/>
            <w:tcBorders/>
            <w:vAlign w:val="center"/>
          </w:tcPr>
          <w:p>
            <w:pPr>
              <w:pStyle w:val="TableContents"/>
              <w:bidi w:val="0"/>
              <w:spacing w:before="0" w:after="283"/>
              <w:jc w:val="left"/>
              <w:rPr>
                <w:sz w:val="4"/>
                <w:szCs w:val="4"/>
              </w:rPr>
            </w:pPr>
            <w:r>
              <w:rPr>
                <w:sz w:val="4"/>
                <w:szCs w:val="4"/>
              </w:rPr>
            </w:r>
          </w:p>
        </w:tc>
        <w:tc>
          <w:tcPr>
            <w:tcW w:w="8617" w:type="dxa"/>
            <w:gridSpan w:val="2"/>
            <w:tcBorders/>
            <w:vAlign w:val="center"/>
          </w:tcPr>
          <w:p>
            <w:pPr>
              <w:pStyle w:val="TableContents"/>
              <w:bidi w:val="0"/>
              <w:spacing w:before="0" w:after="283"/>
              <w:jc w:val="left"/>
              <w:rPr>
                <w:sz w:val="4"/>
                <w:szCs w:val="4"/>
              </w:rPr>
            </w:pPr>
            <w:r>
              <w:rPr>
                <w:sz w:val="4"/>
                <w:szCs w:val="4"/>
              </w:rPr>
            </w:r>
          </w:p>
        </w:tc>
      </w:tr>
      <w:tr>
        <w:trPr/>
        <w:tc>
          <w:tcPr>
            <w:tcW w:w="1588"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20" w:type="dxa"/>
            <w:tcBorders/>
            <w:vAlign w:val="bottom"/>
          </w:tcPr>
          <w:p>
            <w:pPr>
              <w:pStyle w:val="TableContents"/>
              <w:bidi w:val="0"/>
              <w:spacing w:before="0" w:after="283"/>
              <w:jc w:val="left"/>
              <w:rPr/>
            </w:pPr>
            <w:r>
              <w:rPr/>
              <w:t>  </w:t>
            </w:r>
          </w:p>
        </w:tc>
        <w:tc>
          <w:tcPr>
            <w:tcW w:w="8497" w:type="dxa"/>
            <w:tcBorders/>
          </w:tcPr>
          <w:p>
            <w:pPr>
              <w:pStyle w:val="TableContents"/>
              <w:bidi w:val="0"/>
              <w:spacing w:before="0" w:after="283"/>
              <w:jc w:val="left"/>
              <w:rPr/>
            </w:pPr>
            <w:r>
              <w:rPr/>
              <w:t>[ ], 202[ ]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Sales Agreement between Fulcrum Therapeutics, Inc., a Delaware corporation (the </w:t>
      </w:r>
      <w:r>
        <w:rPr>
          <w:rFonts w:ascii="Times New Roman" w:hAnsi="Times New Roman"/>
          <w:b/>
          <w:sz w:val="20"/>
          <w:u w:val="single"/>
        </w:rPr>
        <w:t>Company</w:t>
      </w:r>
      <w:r>
        <w:rPr>
          <w:rFonts w:ascii="Times New Roman" w:hAnsi="Times New Roman"/>
          <w:sz w:val="20"/>
        </w:rPr>
        <w:t>), and Cantor Fitzgerald &amp; Co. (</w:t>
      </w:r>
      <w:r>
        <w:rPr>
          <w:rFonts w:ascii="Times New Roman" w:hAnsi="Times New Roman"/>
          <w:b/>
          <w:sz w:val="20"/>
          <w:u w:val="single"/>
        </w:rPr>
        <w:t>Cantor</w:t>
      </w:r>
      <w:r>
        <w:rPr>
          <w:rFonts w:ascii="Times New Roman" w:hAnsi="Times New Roman"/>
          <w:sz w:val="20"/>
        </w:rPr>
        <w:t>) and Stifel, Nicolaus &amp; Company, Incorporated (</w:t>
      </w:r>
      <w:r>
        <w:rPr>
          <w:rFonts w:ascii="Times New Roman" w:hAnsi="Times New Roman"/>
          <w:b/>
          <w:sz w:val="20"/>
          <w:u w:val="single"/>
        </w:rPr>
        <w:t>Stifel</w:t>
      </w:r>
      <w:r>
        <w:rPr>
          <w:rFonts w:ascii="Times New Roman" w:hAnsi="Times New Roman"/>
          <w:sz w:val="20"/>
        </w:rPr>
        <w:t>; each individually an </w:t>
      </w:r>
      <w:r>
        <w:rPr>
          <w:rFonts w:ascii="Times New Roman" w:hAnsi="Times New Roman"/>
          <w:b/>
          <w:sz w:val="20"/>
          <w:u w:val="single"/>
        </w:rPr>
        <w:t>Agent</w:t>
      </w:r>
      <w:r>
        <w:rPr>
          <w:rFonts w:ascii="Times New Roman" w:hAnsi="Times New Roman"/>
          <w:sz w:val="20"/>
        </w:rPr>
        <w:t> and together, the </w:t>
      </w:r>
      <w:r>
        <w:rPr>
          <w:rFonts w:ascii="Times New Roman" w:hAnsi="Times New Roman"/>
          <w:b/>
          <w:sz w:val="20"/>
          <w:u w:val="single"/>
        </w:rPr>
        <w:t>Agents</w:t>
      </w:r>
      <w:r>
        <w:rPr>
          <w:rFonts w:ascii="Times New Roman" w:hAnsi="Times New Roman"/>
          <w:sz w:val="20"/>
        </w:rPr>
        <w:t>), dated February 27, 2024, the Company hereby requests that [</w:t>
      </w:r>
      <w:r>
        <w:rPr>
          <w:rFonts w:ascii="Times New Roman" w:hAnsi="Times New Roman"/>
          <w:i/>
          <w:sz w:val="20"/>
        </w:rPr>
        <w:t>Identify Designated Agent</w:t>
      </w:r>
      <w:r>
        <w:rPr>
          <w:rFonts w:ascii="Times New Roman" w:hAnsi="Times New Roman"/>
          <w:sz w:val="20"/>
        </w:rPr>
        <w:t xml:space="preserve">] sell up to [ ] of the Companys common stock, par value $0.001 per share, at a minimum market price of $[ ] per share, during the time period beginning [month, day, time] and ending [month, day, time].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Compensation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to the Designated Agent in cash, upon each sale of Placement Shares pursuant to this Agreement, an amount equal to 3.0% of the aggregate gross proceeds from each sale of Placement Shares by the Designated Agent.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Parties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Alan Musso (amusso@fulcrumtx.com) </w:t>
      </w:r>
    </w:p>
    <w:p>
      <w:pPr>
        <w:pStyle w:val="TextBody"/>
        <w:bidi w:val="0"/>
        <w:spacing w:before="240" w:after="0"/>
        <w:jc w:val="left"/>
        <w:rPr>
          <w:rFonts w:ascii="Times New Roman" w:hAnsi="Times New Roman"/>
          <w:sz w:val="20"/>
        </w:rPr>
      </w:pPr>
      <w:r>
        <w:rPr>
          <w:rFonts w:ascii="Times New Roman" w:hAnsi="Times New Roman"/>
          <w:sz w:val="20"/>
        </w:rPr>
        <w:t xml:space="preserve">Curt Oltmans (coltmans@fulcrumtx.com) </w:t>
      </w:r>
    </w:p>
    <w:p>
      <w:pPr>
        <w:pStyle w:val="TextBody"/>
        <w:bidi w:val="0"/>
        <w:spacing w:before="240" w:after="0"/>
        <w:jc w:val="left"/>
        <w:rPr>
          <w:rFonts w:ascii="Times New Roman" w:hAnsi="Times New Roman"/>
          <w:sz w:val="20"/>
        </w:rPr>
      </w:pPr>
      <w:r>
        <w:rPr>
          <w:rFonts w:ascii="Times New Roman" w:hAnsi="Times New Roman"/>
          <w:sz w:val="20"/>
        </w:rPr>
        <w:t xml:space="preserve">Greg Tourangeau (gtourangeau@fulcrumtx.com) </w:t>
      </w:r>
    </w:p>
    <w:p>
      <w:pPr>
        <w:pStyle w:val="TextBody"/>
        <w:bidi w:val="0"/>
        <w:spacing w:before="240" w:after="0"/>
        <w:jc w:val="left"/>
        <w:rPr>
          <w:rFonts w:ascii="Times New Roman" w:hAnsi="Times New Roman"/>
          <w:sz w:val="20"/>
        </w:rPr>
      </w:pPr>
      <w:r>
        <w:rPr>
          <w:rFonts w:ascii="Times New Roman" w:hAnsi="Times New Roman"/>
          <w:sz w:val="20"/>
        </w:rPr>
        <w:t xml:space="preserve">Alex Sapir (asapir@fulcrumtx.com)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Cantor </w:t>
      </w:r>
    </w:p>
    <w:p>
      <w:pPr>
        <w:pStyle w:val="TextBody"/>
        <w:bidi w:val="0"/>
        <w:spacing w:before="240" w:after="0"/>
        <w:jc w:val="left"/>
        <w:rPr>
          <w:rFonts w:ascii="Times New Roman" w:hAnsi="Times New Roman"/>
          <w:sz w:val="20"/>
        </w:rPr>
      </w:pPr>
      <w:r>
        <w:rPr>
          <w:rFonts w:ascii="Times New Roman" w:hAnsi="Times New Roman"/>
          <w:sz w:val="20"/>
        </w:rPr>
        <w:t xml:space="preserve">Sameer Vasudev (svasudev@cantor.com) </w:t>
      </w:r>
    </w:p>
    <w:p>
      <w:pPr>
        <w:pStyle w:val="TextBody"/>
        <w:bidi w:val="0"/>
        <w:spacing w:before="24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CFCEO@cantor.com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Stifel </w:t>
      </w:r>
    </w:p>
    <w:p>
      <w:pPr>
        <w:pStyle w:val="TextBody"/>
        <w:bidi w:val="0"/>
        <w:spacing w:before="240" w:after="0"/>
        <w:jc w:val="left"/>
        <w:rPr>
          <w:rFonts w:ascii="Times New Roman" w:hAnsi="Times New Roman"/>
          <w:sz w:val="20"/>
        </w:rPr>
      </w:pPr>
      <w:r>
        <w:rPr>
          <w:rFonts w:ascii="Times New Roman" w:hAnsi="Times New Roman"/>
          <w:sz w:val="20"/>
        </w:rPr>
        <w:t xml:space="preserve">Daniel Covatta (dcovatta@stifel.com) </w:t>
      </w:r>
    </w:p>
    <w:p>
      <w:pPr>
        <w:pStyle w:val="TextBody"/>
        <w:bidi w:val="0"/>
        <w:spacing w:before="0" w:after="0"/>
        <w:jc w:val="left"/>
        <w:rPr>
          <w:rFonts w:ascii="Times New Roman" w:hAnsi="Times New Roman"/>
          <w:sz w:val="20"/>
        </w:rPr>
      </w:pPr>
      <w:r>
        <w:rPr>
          <w:rFonts w:ascii="Times New Roman" w:hAnsi="Times New Roman"/>
          <w:sz w:val="20"/>
        </w:rPr>
        <w:t xml:space="preserve">Mark White (whitem@stifel.com) </w:t>
      </w:r>
    </w:p>
    <w:p>
      <w:pPr>
        <w:pStyle w:val="TextBody"/>
        <w:bidi w:val="0"/>
        <w:spacing w:before="0" w:after="0"/>
        <w:jc w:val="left"/>
        <w:rPr>
          <w:rFonts w:ascii="Times New Roman" w:hAnsi="Times New Roman"/>
          <w:sz w:val="20"/>
        </w:rPr>
      </w:pPr>
      <w:r>
        <w:rPr>
          <w:rFonts w:ascii="Times New Roman" w:hAnsi="Times New Roman"/>
          <w:sz w:val="20"/>
        </w:rPr>
        <w:t xml:space="preserve">Suzanne Hill (sahill@stifel.com)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Subsidiaries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Incorporated by reference to Exhibit 21.1 of the Companys most recently filed Form 10-K, as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Representation Date Certificate Pursuant to Section 7(l) </w:t>
      </w:r>
    </w:p>
    <w:p>
      <w:pPr>
        <w:pStyle w:val="TextBody"/>
        <w:bidi w:val="0"/>
        <w:spacing w:before="240" w:after="0"/>
        <w:jc w:val="left"/>
        <w:rPr>
          <w:rFonts w:ascii="Times New Roman" w:hAnsi="Times New Roman"/>
          <w:sz w:val="20"/>
        </w:rPr>
      </w:pPr>
      <w:r>
        <w:rPr>
          <w:rFonts w:ascii="Times New Roman" w:hAnsi="Times New Roman"/>
          <w:sz w:val="20"/>
        </w:rPr>
        <w:t>The undersigned, the duly qualified and elected [ ], of Fulcrum Therapeutics, Inc., a Delaware corporation (the </w:t>
      </w:r>
      <w:r>
        <w:rPr>
          <w:rFonts w:ascii="Times New Roman" w:hAnsi="Times New Roman"/>
          <w:b/>
          <w:sz w:val="20"/>
          <w:u w:val="single"/>
        </w:rPr>
        <w:t>Company</w:t>
      </w:r>
      <w:r>
        <w:rPr>
          <w:rFonts w:ascii="Times New Roman" w:hAnsi="Times New Roman"/>
          <w:sz w:val="20"/>
        </w:rPr>
        <w:t xml:space="preserve">), does hereby certify solely in such capacity and on behalf of the Company and not in [his/her] individual capacity, pursuant to </w:t>
      </w:r>
      <w:r>
        <w:rPr>
          <w:rFonts w:ascii="Times New Roman" w:hAnsi="Times New Roman"/>
          <w:sz w:val="20"/>
          <w:u w:val="single"/>
        </w:rPr>
        <w:t>Section 7(l)</w:t>
      </w:r>
      <w:r>
        <w:rPr>
          <w:rFonts w:ascii="Times New Roman" w:hAnsi="Times New Roman"/>
          <w:sz w:val="20"/>
        </w:rPr>
        <w:t xml:space="preserve"> of the Sales Agreement, dated February 27, 2024 (the </w:t>
      </w:r>
      <w:r>
        <w:rPr>
          <w:rFonts w:ascii="Times New Roman" w:hAnsi="Times New Roman"/>
          <w:b/>
          <w:sz w:val="20"/>
          <w:u w:val="single"/>
        </w:rPr>
        <w:t>Sales Agreement</w:t>
      </w:r>
      <w:r>
        <w:rPr>
          <w:rFonts w:ascii="Times New Roman" w:hAnsi="Times New Roman"/>
          <w:sz w:val="20"/>
        </w:rPr>
        <w:t xml:space="preserve">), between the Company, Cantor Fitzgerald &amp; Co. and Stifel, Nicolaus &amp; Company, Incorporated, that to the best of the knowledge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Company in </w:t>
      </w:r>
      <w:r>
        <w:rPr>
          <w:rFonts w:ascii="Times New Roman" w:hAnsi="Times New Roman"/>
          <w:sz w:val="20"/>
          <w:u w:val="single"/>
        </w:rPr>
        <w:t>Section 6</w:t>
      </w:r>
      <w:r>
        <w:rPr>
          <w:rFonts w:ascii="Times New Roman" w:hAnsi="Times New Roman"/>
          <w:sz w:val="20"/>
        </w:rPr>
        <w:t xml:space="preserve"> of the Sales Agreement are true and correct, in all material respects,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representations and warranties also shall be qualified by the disclosure included or incorporated by reference in the Registration Statement and Prospectus;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pursuant to the Sales Agreement at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without definition shall have the meanings given to such terms in the Sales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3"/>
        <w:gridCol w:w="161"/>
        <w:gridCol w:w="2278"/>
      </w:tblGrid>
      <w:tr>
        <w:trPr/>
        <w:tc>
          <w:tcPr>
            <w:tcW w:w="164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FULCRUM THERAPEUTICS, INC. </w:t>
            </w:r>
          </w:p>
        </w:tc>
      </w:tr>
      <w:tr>
        <w:trPr>
          <w:trHeight w:val="240" w:hRule="atLeast"/>
        </w:trPr>
        <w:tc>
          <w:tcPr>
            <w:tcW w:w="1643" w:type="dxa"/>
            <w:tcBorders/>
            <w:vAlign w:val="center"/>
          </w:tcPr>
          <w:p>
            <w:pPr>
              <w:pStyle w:val="TableContents"/>
              <w:bidi w:val="0"/>
              <w:spacing w:before="0" w:after="283"/>
              <w:jc w:val="left"/>
              <w:rPr>
                <w:sz w:val="4"/>
                <w:szCs w:val="4"/>
              </w:rPr>
            </w:pPr>
            <w:r>
              <w:rPr>
                <w:sz w:val="4"/>
                <w:szCs w:val="4"/>
              </w:rPr>
            </w:r>
          </w:p>
        </w:tc>
        <w:tc>
          <w:tcPr>
            <w:tcW w:w="2439" w:type="dxa"/>
            <w:gridSpan w:val="2"/>
            <w:tcBorders/>
            <w:vAlign w:val="center"/>
          </w:tcPr>
          <w:p>
            <w:pPr>
              <w:pStyle w:val="TableContents"/>
              <w:bidi w:val="0"/>
              <w:spacing w:before="0" w:after="283"/>
              <w:jc w:val="left"/>
              <w:rPr>
                <w:sz w:val="4"/>
                <w:szCs w:val="4"/>
              </w:rPr>
            </w:pPr>
            <w:r>
              <w:rPr>
                <w:sz w:val="4"/>
                <w:szCs w:val="4"/>
              </w:rPr>
            </w:r>
          </w:p>
        </w:tc>
      </w:tr>
      <w:tr>
        <w:trPr/>
        <w:tc>
          <w:tcPr>
            <w:tcW w:w="1643" w:type="dxa"/>
            <w:tcBorders/>
          </w:tcPr>
          <w:p>
            <w:pPr>
              <w:pStyle w:val="TableContents"/>
              <w:bidi w:val="0"/>
              <w:spacing w:before="0" w:after="283"/>
              <w:jc w:val="left"/>
              <w:rPr/>
            </w:pPr>
            <w:r>
              <w:rPr/>
              <w:t>By:</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pBdr>
                <w:bottom w:val="single" w:sz="2" w:space="1" w:color="000000"/>
              </w:pBdr>
              <w:bidi w:val="0"/>
              <w:spacing w:before="0" w:after="20"/>
              <w:jc w:val="left"/>
              <w:rPr/>
            </w:pPr>
            <w:r>
              <w:rPr/>
              <w:t> </w:t>
            </w:r>
          </w:p>
        </w:tc>
      </w:tr>
      <w:tr>
        <w:trPr/>
        <w:tc>
          <w:tcPr>
            <w:tcW w:w="1643" w:type="dxa"/>
            <w:tcBorders/>
          </w:tcPr>
          <w:p>
            <w:pPr>
              <w:pStyle w:val="TableContents"/>
              <w:bidi w:val="0"/>
              <w:spacing w:before="0" w:after="283"/>
              <w:jc w:val="left"/>
              <w:rPr/>
            </w:pPr>
            <w:r>
              <w:rPr/>
              <w:t>Name:</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pBdr>
                <w:bottom w:val="single" w:sz="2" w:space="1" w:color="000000"/>
              </w:pBdr>
              <w:bidi w:val="0"/>
              <w:spacing w:before="0" w:after="20"/>
              <w:jc w:val="left"/>
              <w:rPr/>
            </w:pPr>
            <w:r>
              <w:rPr/>
              <w:t> </w:t>
            </w:r>
          </w:p>
        </w:tc>
      </w:tr>
      <w:tr>
        <w:trPr/>
        <w:tc>
          <w:tcPr>
            <w:tcW w:w="1643" w:type="dxa"/>
            <w:tcBorders/>
          </w:tcPr>
          <w:p>
            <w:pPr>
              <w:pStyle w:val="TableContents"/>
              <w:bidi w:val="0"/>
              <w:spacing w:before="0" w:after="283"/>
              <w:jc w:val="left"/>
              <w:rPr/>
            </w:pPr>
            <w:r>
              <w:rPr/>
              <w:t>Title:</w:t>
            </w:r>
          </w:p>
        </w:tc>
        <w:tc>
          <w:tcPr>
            <w:tcW w:w="161" w:type="dxa"/>
            <w:tcBorders/>
            <w:vAlign w:val="bottom"/>
          </w:tcPr>
          <w:p>
            <w:pPr>
              <w:pStyle w:val="TableContents"/>
              <w:bidi w:val="0"/>
              <w:spacing w:before="0" w:after="283"/>
              <w:jc w:val="left"/>
              <w:rPr/>
            </w:pPr>
            <w:r>
              <w:rPr/>
              <w:t> </w:t>
            </w:r>
          </w:p>
        </w:tc>
        <w:tc>
          <w:tcPr>
            <w:tcW w:w="2278"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21 </w:t>
      </w:r>
    </w:p>
    <w:p>
      <w:pPr>
        <w:pStyle w:val="TextBody"/>
        <w:bidi w:val="0"/>
        <w:spacing w:before="240" w:after="0"/>
        <w:jc w:val="center"/>
        <w:rPr>
          <w:rFonts w:ascii="Times New Roman" w:hAnsi="Times New Roman"/>
          <w:b/>
          <w:sz w:val="20"/>
        </w:rPr>
      </w:pPr>
      <w:r>
        <w:rPr>
          <w:rFonts w:ascii="Times New Roman" w:hAnsi="Times New Roman"/>
          <w:b/>
          <w:sz w:val="20"/>
        </w:rPr>
        <w:t xml:space="preserve">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right"/>
        <w:rPr>
          <w:rFonts w:ascii="Times New Roman" w:hAnsi="Times New Roman"/>
          <w:b/>
          <w:sz w:val="20"/>
        </w:rPr>
      </w:pPr>
      <w:bookmarkStart w:id="35" w:name="d785884dex41.htm"/>
      <w:bookmarkStart w:id="36" w:name="ksd785884dex41"/>
      <w:bookmarkEnd w:id="35"/>
      <w:bookmarkEnd w:id="36"/>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b/>
          <w:sz w:val="20"/>
        </w:rPr>
        <w:t>Dated as of [</w:t>
      </w:r>
      <w:r>
        <w:rPr>
          <w:rFonts w:ascii="Times New Roman" w:hAnsi="Times New Roman"/>
          <w:sz w:val="20"/>
        </w:rPr>
        <w:t></w:t>
      </w:r>
      <w:r>
        <w:rPr>
          <w:rFonts w:ascii="Times New Roman" w:hAnsi="Times New Roman"/>
          <w:b/>
          <w:sz w:val="20"/>
        </w:rPr>
        <w:t>], 202[</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
        <w:gridCol w:w="93"/>
        <w:gridCol w:w="1395"/>
        <w:gridCol w:w="143"/>
        <w:gridCol w:w="7856"/>
        <w:gridCol w:w="143"/>
        <w:gridCol w:w="60"/>
        <w:gridCol w:w="260"/>
        <w:gridCol w:w="64"/>
      </w:tblGrid>
      <w:tr>
        <w:trPr/>
        <w:tc>
          <w:tcPr>
            <w:tcW w:w="191"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85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w:t>
            </w:r>
            <w:r>
              <w:rPr>
                <w:rFonts w:ascii="Times New Roman" w:hAnsi="Times New Roman"/>
                <w:sz w:val="20"/>
              </w:rPr>
              <w:t> </w:t>
            </w:r>
            <w:r>
              <w:rPr>
                <w:rFonts w:ascii="Times New Roman" w:hAnsi="Times New Roman"/>
                <w:b/>
                <w:sz w:val="20"/>
              </w:rPr>
              <w:t>1</w:t>
            </w:r>
            <w:r>
              <w:rPr>
                <w:rFonts w:ascii="Times New Roman" w:hAnsi="Times New Roman"/>
                <w:sz w:val="20"/>
              </w:rPr>
              <w:t> DEFINITIONS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Definitions of Terms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2</w:t>
            </w:r>
            <w:r>
              <w:rPr>
                <w:rFonts w:ascii="Times New Roman" w:hAnsi="Times New Roman"/>
                <w:sz w:val="20"/>
              </w:rPr>
              <w:t> ISSUE, DESCRIPTION, TERMS, EXECUTION, REGISTRATION AND EXCHANGE OF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Designation and Terms of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Form of Securities and Trustees Certificate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Denominations: Provisions for Payment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Execution and Authentications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Registration of Transfer and Exchange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Temporary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Mutilated, Destroyed, Lost or Stolen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Cancellation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Benefits of Indenture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Authenticating Agent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Global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3</w:t>
            </w:r>
            <w:r>
              <w:rPr>
                <w:rFonts w:ascii="Times New Roman" w:hAnsi="Times New Roman"/>
                <w:sz w:val="20"/>
              </w:rPr>
              <w:t> REDEMPTION OF SECURITIES AND SINKING FUND PROVISIONS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Redemption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Notice of Redemption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Payment Upon Redemption</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Sinking Fund</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3.05</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Satisfaction of Sinking Fund Payments with Securities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3.06</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Redemption of Securities for Sinking Fund</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4</w:t>
            </w:r>
            <w:r>
              <w:rPr>
                <w:rFonts w:ascii="Times New Roman" w:hAnsi="Times New Roman"/>
                <w:sz w:val="20"/>
              </w:rPr>
              <w:t> COVENANTS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4.01</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Payment of Principal, Premium and Interest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4.02</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Maintenance of Office or Agency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4.03</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Paying Agents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4.04</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Appointment to Fill Vacancy in Office of Trustee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395" w:type="dxa"/>
            <w:tcBorders/>
            <w:vAlign w:val="bottom"/>
          </w:tcPr>
          <w:p>
            <w:pPr>
              <w:pStyle w:val="TableContents"/>
              <w:bidi w:val="0"/>
              <w:spacing w:before="0" w:after="283"/>
              <w:jc w:val="left"/>
              <w:rPr/>
            </w:pPr>
            <w:r>
              <w:rPr/>
              <w:t>Section 4.05</w:t>
            </w:r>
          </w:p>
        </w:tc>
        <w:tc>
          <w:tcPr>
            <w:tcW w:w="143" w:type="dxa"/>
            <w:tcBorders/>
            <w:vAlign w:val="bottom"/>
          </w:tcPr>
          <w:p>
            <w:pPr>
              <w:pStyle w:val="TableContents"/>
              <w:bidi w:val="0"/>
              <w:spacing w:before="0" w:after="283"/>
              <w:jc w:val="left"/>
              <w:rPr/>
            </w:pPr>
            <w:r>
              <w:rPr/>
              <w:t>  </w:t>
            </w:r>
          </w:p>
        </w:tc>
        <w:tc>
          <w:tcPr>
            <w:tcW w:w="7856" w:type="dxa"/>
            <w:tcBorders/>
            <w:vAlign w:val="bottom"/>
          </w:tcPr>
          <w:p>
            <w:pPr>
              <w:pStyle w:val="TableContents"/>
              <w:bidi w:val="0"/>
              <w:spacing w:before="0" w:after="283"/>
              <w:jc w:val="left"/>
              <w:rPr/>
            </w:pPr>
            <w:r>
              <w:rPr/>
              <w:t>Compliance with Consolidation Provisions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of Contents does not constitute part of the Indenture and shall not have any bearing on the interpretation of any of its terms or provisions.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10"/>
        <w:gridCol w:w="77"/>
        <w:gridCol w:w="1437"/>
        <w:gridCol w:w="132"/>
        <w:gridCol w:w="7934"/>
        <w:gridCol w:w="132"/>
        <w:gridCol w:w="60"/>
        <w:gridCol w:w="260"/>
        <w:gridCol w:w="63"/>
      </w:tblGrid>
      <w:tr>
        <w:trPr/>
        <w:tc>
          <w:tcPr>
            <w:tcW w:w="110"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93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5</w:t>
            </w:r>
            <w:r>
              <w:rPr>
                <w:rFonts w:ascii="Times New Roman" w:hAnsi="Times New Roman"/>
                <w:sz w:val="20"/>
              </w:rPr>
              <w:t> SECURITYHOLDERS LISTS AND REPORTS BY THE COMPANY AND THE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5.01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Company to Furnish Trustee Names and Addresses of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5.02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Preservation Of Information; Communications With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5.03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Reports by the Company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5.04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Reports by the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6</w:t>
            </w:r>
            <w:r>
              <w:rPr>
                <w:rFonts w:ascii="Times New Roman" w:hAnsi="Times New Roman"/>
                <w:sz w:val="20"/>
              </w:rPr>
              <w:t> REMEDIES OF THE TRUSTEE AND SECURITYHOLDERS ON EVENT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Events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Collection of Indebtedness and Suits for Enforcement by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Application of Moneys Collected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Limitation on Suits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6.05</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Rights and Remedies Cumulative; Delay or Omission Not 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6.06</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Control by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6.07</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Undertaking to Pay Costs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7</w:t>
            </w:r>
            <w:r>
              <w:rPr>
                <w:rFonts w:ascii="Times New Roman" w:hAnsi="Times New Roman"/>
                <w:sz w:val="20"/>
              </w:rPr>
              <w:t> CONCERNING THE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Certain Duties and Responsibilities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Certain Rights of Trustee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Trustee Not Responsible for Recitals or Issuance or Securities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May Hold Securities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7.05</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Moneys Held in Trust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7.06</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Compensation and Reimbursement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7.07</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Reliance on Officers Certificate or Opinion of Counsel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7.08</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Disqualification; Conflicting Interests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7.09</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Corporate Trustee Required; Eligibility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7.10</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Resignation and Removal; Appointment of Successor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7.11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Acceptance of Appointment By Successor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7.12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Merger, Conversion, Consolidation or Succession to Business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7.13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Preferential Collection of Claims Against the Company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7.14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Notice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8</w:t>
            </w:r>
            <w:r>
              <w:rPr>
                <w:rFonts w:ascii="Times New Roman" w:hAnsi="Times New Roman"/>
                <w:sz w:val="20"/>
              </w:rPr>
              <w:t> CONCERNING THE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8.01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Evidence of Action by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8.02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Proof of Execution by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8.03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Who May be Deemed Owners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8.04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Certain Securities Owned by Company Disregarded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8.05</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Actions Binding on Future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9</w:t>
            </w:r>
            <w:r>
              <w:rPr>
                <w:rFonts w:ascii="Times New Roman" w:hAnsi="Times New Roman"/>
                <w:sz w:val="20"/>
              </w:rPr>
              <w:t> SUPPLEMENTAL INDENTURES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9.01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Supplemental Indentures Without the Consent of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9.02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Supplemental Indentures With Consent of Securityholders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9.03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Effect of Supplemental Indentures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9.04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Securities Affected by Supplemental Indentures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9.05</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Execution of Supplemental Indentures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10</w:t>
            </w:r>
            <w:r>
              <w:rPr>
                <w:rFonts w:ascii="Times New Roman" w:hAnsi="Times New Roman"/>
                <w:sz w:val="20"/>
              </w:rPr>
              <w:t> SUCCESSOR ENTITY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10.01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Company May Consolidate,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10.02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Successor Entity Substituted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11</w:t>
            </w:r>
            <w:r>
              <w:rPr>
                <w:rFonts w:ascii="Times New Roman" w:hAnsi="Times New Roman"/>
                <w:sz w:val="20"/>
              </w:rPr>
              <w:t> SATISFACTION AND DISCHARGE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11.01</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Satisfaction and Discharge of Indenture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11.02</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Discharge of Obligations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11.03</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Deposited Moneys to be Held in Trust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11.04</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Payment of Moneys Held by Paying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10" w:type="dxa"/>
            <w:tcBorders/>
            <w:vAlign w:val="bottom"/>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left"/>
              <w:rPr/>
            </w:pPr>
            <w:r>
              <w:rPr/>
              <w:t>Section 11.05</w:t>
            </w:r>
          </w:p>
        </w:tc>
        <w:tc>
          <w:tcPr>
            <w:tcW w:w="132" w:type="dxa"/>
            <w:tcBorders/>
            <w:vAlign w:val="bottom"/>
          </w:tcPr>
          <w:p>
            <w:pPr>
              <w:pStyle w:val="TableContents"/>
              <w:bidi w:val="0"/>
              <w:spacing w:before="0" w:after="283"/>
              <w:jc w:val="left"/>
              <w:rPr/>
            </w:pPr>
            <w:r>
              <w:rPr/>
              <w:t>  </w:t>
            </w:r>
          </w:p>
        </w:tc>
        <w:tc>
          <w:tcPr>
            <w:tcW w:w="7934" w:type="dxa"/>
            <w:tcBorders/>
            <w:vAlign w:val="bottom"/>
          </w:tcPr>
          <w:p>
            <w:pPr>
              <w:pStyle w:val="TableContents"/>
              <w:bidi w:val="0"/>
              <w:spacing w:before="0" w:after="283"/>
              <w:jc w:val="left"/>
              <w:rPr/>
            </w:pPr>
            <w:r>
              <w:rPr/>
              <w:t>Repayment to Company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93"/>
        <w:gridCol w:w="93"/>
        <w:gridCol w:w="1540"/>
        <w:gridCol w:w="143"/>
        <w:gridCol w:w="7709"/>
        <w:gridCol w:w="143"/>
        <w:gridCol w:w="60"/>
        <w:gridCol w:w="260"/>
        <w:gridCol w:w="64"/>
      </w:tblGrid>
      <w:tr>
        <w:trPr/>
        <w:tc>
          <w:tcPr>
            <w:tcW w:w="193"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70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12</w:t>
            </w:r>
            <w:r>
              <w:rPr>
                <w:rFonts w:ascii="Times New Roman" w:hAnsi="Times New Roman"/>
                <w:sz w:val="20"/>
              </w:rPr>
              <w:t> IMMUNITY OF INCORPORATORS, STOCKHOLDERS, OFFICERS AND DIRECTORS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12.01</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No Recourse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ARTICLE 13</w:t>
            </w:r>
            <w:r>
              <w:rPr>
                <w:rFonts w:ascii="Times New Roman" w:hAnsi="Times New Roman"/>
                <w:sz w:val="20"/>
              </w:rPr>
              <w:t> MISCELLANEOUS PROVISIONS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13.01</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Effect on Successors and Assigns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13.02</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Actions by Successor</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13.03</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Surrender of Company Powers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13.04</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Notices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13.05</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Governing Law; Jury Trial Waiver</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13.06</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Treatment of Securities as Debt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13.07</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Certificates and Opinions as to Conditions Precedent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13.08</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Payments on Business Days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13.09</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Conflict with Trust Indenture Act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13.10</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Counterparts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13.11</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Separability</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13.12</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Compliance Certificates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13.13</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USA PATRIOT ACT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93"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Section 13.14</w:t>
            </w:r>
          </w:p>
        </w:tc>
        <w:tc>
          <w:tcPr>
            <w:tcW w:w="143" w:type="dxa"/>
            <w:tcBorders/>
            <w:vAlign w:val="bottom"/>
          </w:tcPr>
          <w:p>
            <w:pPr>
              <w:pStyle w:val="TableContents"/>
              <w:bidi w:val="0"/>
              <w:spacing w:before="0" w:after="283"/>
              <w:jc w:val="left"/>
              <w:rPr/>
            </w:pPr>
            <w:r>
              <w:rPr/>
              <w:t>  </w:t>
            </w:r>
          </w:p>
        </w:tc>
        <w:tc>
          <w:tcPr>
            <w:tcW w:w="7709" w:type="dxa"/>
            <w:tcBorders/>
            <w:vAlign w:val="bottom"/>
          </w:tcPr>
          <w:p>
            <w:pPr>
              <w:pStyle w:val="TableContents"/>
              <w:bidi w:val="0"/>
              <w:spacing w:before="0" w:after="283"/>
              <w:jc w:val="left"/>
              <w:rPr/>
            </w:pPr>
            <w:r>
              <w:rPr/>
              <w:t>Calculations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9678"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 INDENTURE ACT CROSS-REFERENCE TABLE</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 202[] , among </w:t>
      </w:r>
      <w:r>
        <w:rPr>
          <w:rFonts w:ascii="Times New Roman" w:hAnsi="Times New Roman"/>
          <w:b/>
          <w:sz w:val="20"/>
        </w:rPr>
        <w:t>FULCRUM THERAPEUTICS,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and [</w:t>
      </w:r>
      <w:r>
        <w:rPr>
          <w:rFonts w:ascii="Times New Roman" w:hAnsi="Times New Roman"/>
          <w:b/>
          <w:sz w:val="20"/>
        </w:rPr>
        <w:t>TRUSTEE</w:t>
      </w:r>
      <w:r>
        <w:rPr>
          <w:rFonts w:ascii="Times New Roman" w:hAnsi="Times New Roman"/>
          <w:sz w:val="20"/>
        </w:rPr>
        <w:t>] as trustee (the </w:t>
      </w:r>
      <w:r>
        <w:rPr>
          <w:rFonts w:ascii="Times New Roman" w:hAnsi="Times New Roman"/>
          <w:b/>
          <w:sz w:val="20"/>
        </w:rPr>
        <w:t>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for its lawful corporate purposes, the Company has duly authorized the execution and delivery of this Indenture to provide for the issuance of debt securities (hereinafter referred to as the </w:t>
      </w:r>
      <w:r>
        <w:rPr>
          <w:rFonts w:ascii="Times New Roman" w:hAnsi="Times New Roman"/>
          <w:b/>
          <w:sz w:val="20"/>
        </w:rPr>
        <w:t>Securities</w:t>
      </w:r>
      <w:r>
        <w:rPr>
          <w:rFonts w:ascii="Times New Roman" w:hAnsi="Times New Roman"/>
          <w:sz w:val="20"/>
        </w:rPr>
        <w:t xml:space="preserve">),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and binding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Authenticating Agent</w:t>
      </w:r>
      <w:r>
        <w:rPr>
          <w:rFonts w:ascii="Times New Roman" w:hAnsi="Times New Roman"/>
          <w:sz w:val="20"/>
        </w:rPr>
        <w:t> means an authenticating agent with respect to all or any of the series of Securities appointed by the Trustee pursuant to</w:t>
      </w:r>
      <w:r>
        <w:rPr>
          <w:rFonts w:ascii="Times New Roman" w:hAnsi="Times New Roman"/>
          <w:sz w:val="20"/>
          <w:u w:val="single"/>
        </w:rPr>
        <w:t> 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at a place of payment, are authorized or obligated by law, executive order or regulation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means Fulcrum Therapeutics, Inc., a corporation duly organized and existing under the laws of the State of Delaware, and, subject to the provisions of</w:t>
      </w:r>
      <w:r>
        <w:rPr>
          <w:rFonts w:ascii="Times New Roman" w:hAnsi="Times New Roman"/>
          <w:sz w:val="20"/>
          <w:u w:val="single"/>
        </w:rPr>
        <w:t> Article 10</w:t>
      </w:r>
      <w:r>
        <w:rPr>
          <w:rFonts w:ascii="Times New Roman" w:hAnsi="Times New Roman"/>
          <w:sz w:val="20"/>
        </w:rPr>
        <w:t xml:space="preserve">, shall also include its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Order</w:t>
      </w:r>
      <w:r>
        <w:rPr>
          <w:rFonts w:ascii="Times New Roman" w:hAnsi="Times New Roman"/>
          <w:sz w:val="20"/>
        </w:rPr>
        <w:t xml:space="preserve"> means a written order of the Company, signed by an Officer of the Company,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office of the Trustee at which, at any particular time, its corporate trust business shall be administered, which office at the date hereof is located at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Defaulted Interest</w:t>
      </w:r>
      <w:r>
        <w:rPr>
          <w:rFonts w:ascii="Times New Roman" w:hAnsi="Times New Roman"/>
          <w:sz w:val="20"/>
        </w:rPr>
        <w:t> has the meaning set forth in</w:t>
      </w:r>
      <w:r>
        <w:rPr>
          <w:rFonts w:ascii="Times New Roman" w:hAnsi="Times New Roman"/>
          <w:sz w:val="20"/>
          <w:u w:val="single"/>
        </w:rPr>
        <w:t> 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Depositary</w:t>
      </w:r>
      <w:r>
        <w:rPr>
          <w:rFonts w:ascii="Times New Roman" w:hAnsi="Times New Roman"/>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w:t>
      </w:r>
      <w:r>
        <w:rPr>
          <w:rFonts w:ascii="Times New Roman" w:hAnsi="Times New Roman"/>
          <w:sz w:val="20"/>
          <w:u w:val="single"/>
        </w:rPr>
        <w:t> Section 2.01</w:t>
      </w:r>
      <w:r>
        <w:rPr>
          <w:rFonts w:ascii="Times New Roman" w:hAnsi="Times New Roman"/>
          <w:sz w:val="20"/>
        </w:rPr>
        <w:t> or</w:t>
      </w:r>
      <w:r>
        <w:rPr>
          <w:rFonts w:ascii="Times New Roman" w:hAnsi="Times New Roman"/>
          <w:sz w:val="20"/>
          <w:u w:val="single"/>
        </w:rPr>
        <w:t> 2.11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means, with respect to Securities of a particular series, any event specified in</w:t>
      </w:r>
      <w:r>
        <w:rPr>
          <w:rFonts w:ascii="Times New Roman" w:hAnsi="Times New Roman"/>
          <w:sz w:val="20"/>
          <w:u w:val="single"/>
        </w:rPr>
        <w:t> Section 6.01</w:t>
      </w:r>
      <w:r>
        <w:rPr>
          <w:rFonts w:ascii="Times New Roman" w:hAnsi="Times New Roman"/>
          <w:sz w:val="20"/>
        </w:rPr>
        <w:t xml:space="preserve">, continued for the period of time, if any, therein designated.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Obligations</w:t>
      </w:r>
      <w:r>
        <w:rPr>
          <w:rFonts w:ascii="Times New Roman" w:hAnsi="Times New Roman"/>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herein</w:t>
      </w:r>
      <w:r>
        <w:rPr>
          <w:rFonts w:ascii="Times New Roman" w:hAnsi="Times New Roman"/>
          <w:sz w:val="20"/>
        </w:rPr>
        <w:t>, </w:t>
      </w:r>
      <w:r>
        <w:rPr>
          <w:rFonts w:ascii="Times New Roman" w:hAnsi="Times New Roman"/>
          <w:b/>
          <w:sz w:val="20"/>
        </w:rPr>
        <w:t>hereof</w:t>
      </w:r>
      <w:r>
        <w:rPr>
          <w:rFonts w:ascii="Times New Roman" w:hAnsi="Times New Roman"/>
          <w:sz w:val="20"/>
        </w:rPr>
        <w:t> and </w:t>
      </w:r>
      <w:r>
        <w:rPr>
          <w:rFonts w:ascii="Times New Roman" w:hAnsi="Times New Roman"/>
          <w:b/>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w:t>
      </w:r>
      <w:r>
        <w:rPr>
          <w:rFonts w:ascii="Times New Roman" w:hAnsi="Times New Roman"/>
          <w:sz w:val="20"/>
          <w:u w:val="single"/>
        </w:rPr>
        <w:t> 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means a certificate signed by any Officer. Each such certificate shall include the statements provided for in</w:t>
      </w:r>
      <w:r>
        <w:rPr>
          <w:rFonts w:ascii="Times New Roman" w:hAnsi="Times New Roman"/>
          <w:sz w:val="20"/>
          <w:u w:val="single"/>
        </w:rPr>
        <w:t> Section 13.07</w:t>
      </w:r>
      <w:r>
        <w:rPr>
          <w:rFonts w:ascii="Times New Roman" w:hAnsi="Times New Roman"/>
          <w:sz w:val="20"/>
        </w:rPr>
        <w:t xml:space="preserve">,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Opinion of Counsel</w:t>
      </w:r>
      <w:r>
        <w:rPr>
          <w:rFonts w:ascii="Times New Roman" w:hAnsi="Times New Roman"/>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w:t>
      </w:r>
      <w:r>
        <w:rPr>
          <w:rFonts w:ascii="Times New Roman" w:hAnsi="Times New Roman"/>
          <w:sz w:val="20"/>
          <w:u w:val="single"/>
        </w:rPr>
        <w:t> Section 13.07</w:t>
      </w:r>
      <w:r>
        <w:rPr>
          <w:rFonts w:ascii="Times New Roman" w:hAnsi="Times New Roman"/>
          <w:sz w:val="20"/>
        </w:rPr>
        <w:t xml:space="preserve">,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Outstanding</w:t>
      </w:r>
      <w:r>
        <w:rPr>
          <w:rFonts w:ascii="Times New Roman" w:hAnsi="Times New Roman"/>
          <w:sz w:val="20"/>
        </w:rPr>
        <w:t>, when used with reference to Securities of any series, means, subject to the provisions of</w:t>
      </w:r>
      <w:r>
        <w:rPr>
          <w:rFonts w:ascii="Times New Roman" w:hAnsi="Times New Roman"/>
          <w:sz w:val="20"/>
          <w:u w:val="single"/>
        </w:rPr>
        <w:t> Section 8.04</w:t>
      </w:r>
      <w:r>
        <w:rPr>
          <w:rFonts w:ascii="Times New Roman" w:hAnsi="Times New Roman"/>
          <w:sz w:val="20"/>
        </w:rPr>
        <w:t>,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that if such Securities or portions of such Securities are to be redeemed prior to the maturity thereof, notice of such redemption shall have been given as provided in</w:t>
      </w:r>
      <w:r>
        <w:rPr>
          <w:rFonts w:ascii="Times New Roman" w:hAnsi="Times New Roman"/>
          <w:sz w:val="20"/>
          <w:u w:val="single"/>
        </w:rPr>
        <w:t> Article 3</w:t>
      </w:r>
      <w:r>
        <w:rPr>
          <w:rFonts w:ascii="Times New Roman" w:hAnsi="Times New Roman"/>
          <w:sz w:val="20"/>
        </w:rPr>
        <w:t>, or provision satisfactory to the Trustee shall have been made for giving such notice; and (c) Securities in lieu of or in substitution for which other Securities shall have been authenticated and delivered pursuant to the terms of</w:t>
      </w:r>
      <w:r>
        <w:rPr>
          <w:rFonts w:ascii="Times New Roman" w:hAnsi="Times New Roman"/>
          <w:sz w:val="20"/>
          <w:u w:val="single"/>
        </w:rPr>
        <w:t> Section 2.07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Predecessor Security</w:t>
      </w:r>
      <w:r>
        <w:rPr>
          <w:rFonts w:ascii="Times New Roman" w:hAnsi="Times New Roman"/>
          <w:sz w:val="20"/>
        </w:rPr>
        <w:t> of any particular Security means every previous Security evidencing all or a portion of the same debt as that evidenced by such particular Security; and, for the purposes of this definition, any Security authenticated and delivered under</w:t>
      </w:r>
      <w:r>
        <w:rPr>
          <w:rFonts w:ascii="Times New Roman" w:hAnsi="Times New Roman"/>
          <w:sz w:val="20"/>
          <w:u w:val="single"/>
        </w:rPr>
        <w:t> Section 2.07</w:t>
      </w:r>
      <w:r>
        <w:rPr>
          <w:rFonts w:ascii="Times New Roman" w:hAnsi="Times New Roman"/>
          <w:sz w:val="20"/>
        </w:rPr>
        <w:t xml:space="preserve"> in lieu of a lost, destroyed or stolen Security shall be deemed to evidence the same debt as the lost, destroyed or stolen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Responsible Officer</w:t>
      </w:r>
      <w:r>
        <w:rPr>
          <w:rFonts w:ascii="Times New Roman" w:hAnsi="Times New Roman"/>
          <w:sz w:val="20"/>
        </w:rPr>
        <w:t xml:space="preserve">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Securityholder</w:t>
      </w:r>
      <w:r>
        <w:rPr>
          <w:rFonts w:ascii="Times New Roman" w:hAnsi="Times New Roman"/>
          <w:sz w:val="20"/>
        </w:rPr>
        <w:t>, </w:t>
      </w:r>
      <w:r>
        <w:rPr>
          <w:rFonts w:ascii="Times New Roman" w:hAnsi="Times New Roman"/>
          <w:b/>
          <w:sz w:val="20"/>
        </w:rPr>
        <w:t>holder</w:t>
      </w:r>
      <w:r>
        <w:rPr>
          <w:rFonts w:ascii="Times New Roman" w:hAnsi="Times New Roman"/>
          <w:sz w:val="20"/>
        </w:rPr>
        <w:t>, </w:t>
      </w:r>
      <w:r>
        <w:rPr>
          <w:rFonts w:ascii="Times New Roman" w:hAnsi="Times New Roman"/>
          <w:b/>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Security Register</w:t>
      </w:r>
      <w:r>
        <w:rPr>
          <w:rFonts w:ascii="Times New Roman" w:hAnsi="Times New Roman"/>
          <w:sz w:val="20"/>
        </w:rPr>
        <w:t> and </w:t>
      </w:r>
      <w:r>
        <w:rPr>
          <w:rFonts w:ascii="Times New Roman" w:hAnsi="Times New Roman"/>
          <w:b/>
          <w:sz w:val="20"/>
        </w:rPr>
        <w:t>Security Registrar</w:t>
      </w:r>
      <w:r>
        <w:rPr>
          <w:rFonts w:ascii="Times New Roman" w:hAnsi="Times New Roman"/>
          <w:sz w:val="20"/>
        </w:rPr>
        <w:t> shall have the meanings as set forth in</w:t>
      </w:r>
      <w:r>
        <w:rPr>
          <w:rFonts w:ascii="Times New Roman" w:hAnsi="Times New Roman"/>
          <w:sz w:val="20"/>
          <w:u w:val="single"/>
        </w:rPr>
        <w:t> 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(1) any corporation or company a majority of whose capital stock with voting power, under ordinary circumstances, to elect directors is, at the date of determination, directly or indirectly, owned by such Person (a </w:t>
      </w:r>
      <w:r>
        <w:rPr>
          <w:rFonts w:ascii="Times New Roman" w:hAnsi="Times New Roman"/>
          <w:b/>
          <w:sz w:val="20"/>
        </w:rPr>
        <w:t>subsidiary</w:t>
      </w:r>
      <w:r>
        <w:rPr>
          <w:rFonts w:ascii="Times New Roman" w:hAnsi="Times New Roman"/>
          <w:sz w:val="20"/>
        </w:rPr>
        <w:t xml:space="preserve">), by one or more subsidiaries of such Person or by such Person and one or more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 partnership in which such Person or a subsidiary of such Person is, at the date of determination, a general partner of such partnership; or </w:t>
      </w:r>
    </w:p>
    <w:p>
      <w:pPr>
        <w:pStyle w:val="TextBody"/>
        <w:bidi w:val="0"/>
        <w:spacing w:before="120" w:after="0"/>
        <w:jc w:val="left"/>
        <w:rPr>
          <w:rFonts w:ascii="Times New Roman" w:hAnsi="Times New Roman"/>
          <w:sz w:val="20"/>
        </w:rPr>
      </w:pPr>
      <w:r>
        <w:rPr>
          <w:rFonts w:ascii="Times New Roman" w:hAnsi="Times New Roman"/>
          <w:sz w:val="20"/>
        </w:rPr>
        <w:t xml:space="preserve">(3) 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means    , and, subject to the provisions of</w:t>
      </w:r>
      <w:r>
        <w:rPr>
          <w:rFonts w:ascii="Times New Roman" w:hAnsi="Times New Roman"/>
          <w:sz w:val="20"/>
          <w:u w:val="single"/>
        </w:rPr>
        <w:t> Article 7</w:t>
      </w:r>
      <w:r>
        <w:rPr>
          <w:rFonts w:ascii="Times New Roman" w:hAnsi="Times New Roman"/>
          <w:sz w:val="20"/>
        </w:rPr>
        <w:t xml:space="preserve">,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as amended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 dollar</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of America.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ISSUE, DESCRIPTION, TERMS, EXECUTION, REGISTRATION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sz w:val="20"/>
        </w:rPr>
        <w:t xml:space="preserve">(1) the title of the Securities of the series (which shall distinguish the Securities of that series from all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(2) 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(3) the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(4)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(5) the rate or rates at which the Securities of the series shall bear interest or the manner of calculation of such rate or rates, if any; </w:t>
      </w:r>
    </w:p>
    <w:p>
      <w:pPr>
        <w:pStyle w:val="TextBody"/>
        <w:bidi w:val="0"/>
        <w:spacing w:before="120" w:after="0"/>
        <w:jc w:val="left"/>
        <w:rPr>
          <w:rFonts w:ascii="Times New Roman" w:hAnsi="Times New Roman"/>
          <w:sz w:val="20"/>
        </w:rPr>
      </w:pPr>
      <w:r>
        <w:rPr>
          <w:rFonts w:ascii="Times New Roman" w:hAnsi="Times New Roman"/>
          <w:sz w:val="20"/>
        </w:rPr>
        <w:t xml:space="preserve">(6)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p>
      <w:pPr>
        <w:pStyle w:val="TextBody"/>
        <w:bidi w:val="0"/>
        <w:spacing w:before="120" w:after="0"/>
        <w:jc w:val="left"/>
        <w:rPr>
          <w:rFonts w:ascii="Times New Roman" w:hAnsi="Times New Roman"/>
          <w:sz w:val="20"/>
        </w:rPr>
      </w:pPr>
      <w:r>
        <w:rPr>
          <w:rFonts w:ascii="Times New Roman" w:hAnsi="Times New Roman"/>
          <w:sz w:val="20"/>
        </w:rPr>
        <w:t xml:space="preserve">(7) the right, if any, to extend the interest payment periods and the duration of such extension; </w:t>
      </w:r>
    </w:p>
    <w:p>
      <w:pPr>
        <w:pStyle w:val="TextBody"/>
        <w:bidi w:val="0"/>
        <w:spacing w:before="120" w:after="0"/>
        <w:jc w:val="left"/>
        <w:rPr>
          <w:rFonts w:ascii="Times New Roman" w:hAnsi="Times New Roman"/>
          <w:sz w:val="20"/>
        </w:rPr>
      </w:pPr>
      <w:r>
        <w:rPr>
          <w:rFonts w:ascii="Times New Roman" w:hAnsi="Times New Roman"/>
          <w:sz w:val="20"/>
        </w:rPr>
        <w:t xml:space="preserve">(8) the period or periods within which, the price or prices at which and the terms and conditions upon which Securities of the series may be redeemed, converted or exchanged,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(10) the form of the Securities of the series including the form of the Certificate of Authentication for such series; </w:t>
      </w:r>
    </w:p>
    <w:p>
      <w:pPr>
        <w:pStyle w:val="TextBody"/>
        <w:bidi w:val="0"/>
        <w:spacing w:before="120" w:after="0"/>
        <w:jc w:val="left"/>
        <w:rPr>
          <w:rFonts w:ascii="Times New Roman" w:hAnsi="Times New Roman"/>
          <w:sz w:val="20"/>
        </w:rPr>
      </w:pPr>
      <w:r>
        <w:rPr>
          <w:rFonts w:ascii="Times New Roman" w:hAnsi="Times New Roman"/>
          <w:sz w:val="20"/>
        </w:rPr>
        <w:t xml:space="preserve">(11) if other than minimum denominations of one thousand U.S. dollars ($1,000) or any integral multiple of $1,000 thereof, the denominations in which the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(12)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(13)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(14) 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 </w:t>
      </w:r>
    </w:p>
    <w:p>
      <w:pPr>
        <w:pStyle w:val="TextBody"/>
        <w:bidi w:val="0"/>
        <w:spacing w:before="120" w:after="0"/>
        <w:jc w:val="left"/>
        <w:rPr>
          <w:rFonts w:ascii="Times New Roman" w:hAnsi="Times New Roman"/>
          <w:sz w:val="20"/>
        </w:rPr>
      </w:pPr>
      <w:r>
        <w:rPr>
          <w:rFonts w:ascii="Times New Roman" w:hAnsi="Times New Roman"/>
          <w:sz w:val="20"/>
        </w:rPr>
        <w:t>(15) if other than the full principal amount thereof, the portion of the principal amount of Securities of the series which shall be payable upon declaration of acceleration of the maturity thereof pursuant to</w:t>
      </w:r>
      <w:r>
        <w:rPr>
          <w:rFonts w:ascii="Times New Roman" w:hAnsi="Times New Roman"/>
          <w:sz w:val="20"/>
          <w:u w:val="single"/>
        </w:rPr>
        <w:t> 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(16) any additional or alternative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(17) 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(18) 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 </w:t>
      </w:r>
    </w:p>
    <w:p>
      <w:pPr>
        <w:pStyle w:val="TextBody"/>
        <w:bidi w:val="0"/>
        <w:spacing w:before="120" w:after="0"/>
        <w:jc w:val="left"/>
        <w:rPr>
          <w:rFonts w:ascii="Times New Roman" w:hAnsi="Times New Roman"/>
          <w:sz w:val="20"/>
        </w:rPr>
      </w:pPr>
      <w:r>
        <w:rPr>
          <w:rFonts w:ascii="Times New Roman" w:hAnsi="Times New Roman"/>
          <w:sz w:val="20"/>
        </w:rPr>
        <w:t xml:space="preserve">(19) 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 </w:t>
      </w:r>
    </w:p>
    <w:p>
      <w:pPr>
        <w:pStyle w:val="TextBody"/>
        <w:bidi w:val="0"/>
        <w:spacing w:before="120" w:after="0"/>
        <w:jc w:val="left"/>
        <w:rPr>
          <w:rFonts w:ascii="Times New Roman" w:hAnsi="Times New Roman"/>
          <w:sz w:val="20"/>
        </w:rPr>
      </w:pPr>
      <w:r>
        <w:rPr>
          <w:rFonts w:ascii="Times New Roman" w:hAnsi="Times New Roman"/>
          <w:sz w:val="20"/>
        </w:rPr>
        <w:t xml:space="preserve">(20) whether interest will be payable in cash or additional Securities at the Companys or the Securityholders option and the terms and conditions upon which the election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120" w:after="0"/>
        <w:jc w:val="left"/>
        <w:rPr>
          <w:rFonts w:ascii="Times New Roman" w:hAnsi="Times New Roman"/>
          <w:sz w:val="20"/>
        </w:rPr>
      </w:pPr>
      <w:r>
        <w:rPr>
          <w:rFonts w:ascii="Times New Roman" w:hAnsi="Times New Roman"/>
          <w:sz w:val="20"/>
        </w:rPr>
        <w:t xml:space="preserve">(22) additional or alternative provisions, if any, related to defeasance and discharge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(23) the applicability of any guarantees; </w:t>
      </w:r>
    </w:p>
    <w:p>
      <w:pPr>
        <w:pStyle w:val="TextBody"/>
        <w:bidi w:val="0"/>
        <w:spacing w:before="120" w:after="0"/>
        <w:jc w:val="left"/>
        <w:rPr>
          <w:rFonts w:ascii="Times New Roman" w:hAnsi="Times New Roman"/>
          <w:sz w:val="20"/>
        </w:rPr>
      </w:pPr>
      <w:r>
        <w:rPr>
          <w:rFonts w:ascii="Times New Roman" w:hAnsi="Times New Roman"/>
          <w:sz w:val="20"/>
        </w:rPr>
        <w:t xml:space="preserve">(24) any restrictions on transfer, sale or assignment of the Securities of the series; and </w:t>
      </w:r>
    </w:p>
    <w:p>
      <w:pPr>
        <w:pStyle w:val="TextBody"/>
        <w:bidi w:val="0"/>
        <w:spacing w:before="120" w:after="0"/>
        <w:jc w:val="left"/>
        <w:rPr>
          <w:rFonts w:ascii="Times New Roman" w:hAnsi="Times New Roman"/>
          <w:sz w:val="20"/>
        </w:rPr>
      </w:pPr>
      <w:r>
        <w:rPr>
          <w:rFonts w:ascii="Times New Roman" w:hAnsi="Times New Roman"/>
          <w:sz w:val="20"/>
        </w:rPr>
        <w:t xml:space="preserve">(25) any other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w:t>
      </w:r>
      <w:r>
        <w:rPr>
          <w:rFonts w:ascii="Times New Roman" w:hAnsi="Times New Roman"/>
          <w:sz w:val="20"/>
          <w:u w:val="single"/>
        </w:rPr>
        <w:t> Section 2.01(a)(18)</w:t>
      </w:r>
      <w:r>
        <w:rPr>
          <w:rFonts w:ascii="Times New Roman" w:hAnsi="Times New Roman"/>
          <w:sz w:val="20"/>
        </w:rPr>
        <w:t xml:space="preserve">,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240" w:after="0"/>
        <w:jc w:val="left"/>
        <w:rPr>
          <w:rFonts w:ascii="Times New Roman" w:hAnsi="Times New Roman"/>
          <w:sz w:val="20"/>
        </w:rPr>
      </w:pPr>
      <w:r>
        <w:rPr>
          <w:rFonts w:ascii="Times New Roman" w:hAnsi="Times New Roman"/>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w:t>
      </w:r>
      <w:r>
        <w:rPr>
          <w:rFonts w:ascii="Times New Roman" w:hAnsi="Times New Roman"/>
          <w:sz w:val="20"/>
          <w:u w:val="single"/>
        </w:rPr>
        <w:t> Section 3.03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interest on any Security that is payable, but is not punctually paid or duly provided for, on any Interest Payment Date for Securities of the same series (herein called </w:t>
      </w:r>
      <w:r>
        <w:rPr>
          <w:rFonts w:ascii="Times New Roman" w:hAnsi="Times New Roman"/>
          <w:b/>
          <w:sz w:val="20"/>
        </w:rPr>
        <w:t>Defaulted Interest</w:t>
      </w:r>
      <w:r>
        <w:rPr>
          <w:rFonts w:ascii="Times New Roman" w:hAnsi="Times New Roman"/>
          <w:sz w:val="20"/>
        </w:rPr>
        <w:t xml:space="preserve">)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 </w:t>
      </w:r>
    </w:p>
    <w:p>
      <w:pPr>
        <w:pStyle w:val="TextBody"/>
        <w:bidi w:val="0"/>
        <w:spacing w:before="120" w:after="0"/>
        <w:jc w:val="left"/>
        <w:rPr>
          <w:rFonts w:ascii="Times New Roman" w:hAnsi="Times New Roman"/>
          <w:sz w:val="20"/>
        </w:rPr>
      </w:pPr>
      <w:r>
        <w:rPr>
          <w:rFonts w:ascii="Times New Roman" w:hAnsi="Times New Roman"/>
          <w:sz w:val="20"/>
        </w:rPr>
        <w:t xml:space="preserve">(2) 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Unless otherwise set forth in a Board Resolution or one or more indentures supplemental hereto establishing the terms of any series of Securities pursuant to</w:t>
      </w:r>
      <w:r>
        <w:rPr>
          <w:rFonts w:ascii="Times New Roman" w:hAnsi="Times New Roman"/>
          <w:sz w:val="20"/>
          <w:u w:val="single"/>
        </w:rPr>
        <w:t> Section 2.01</w:t>
      </w:r>
      <w:r>
        <w:rPr>
          <w:rFonts w:ascii="Times New Roman" w:hAnsi="Times New Roman"/>
          <w:sz w:val="20"/>
        </w:rPr>
        <w:t>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w:t>
      </w:r>
      <w:r>
        <w:rPr>
          <w:rFonts w:ascii="Times New Roman" w:hAnsi="Times New Roman"/>
          <w:sz w:val="20"/>
          <w:u w:val="single"/>
        </w:rPr>
        <w:t> Section 2.01</w:t>
      </w:r>
      <w:r>
        <w:rPr>
          <w:rFonts w:ascii="Times New Roman" w:hAnsi="Times New Roman"/>
          <w:sz w:val="20"/>
        </w:rPr>
        <w:t> hereof shall occur, if such Interest Payment Date is the first day of a month, or (ii) the first day of the month in which an Interest Payment Date established for such series pursuant to</w:t>
      </w:r>
      <w:r>
        <w:rPr>
          <w:rFonts w:ascii="Times New Roman" w:hAnsi="Times New Roman"/>
          <w:sz w:val="20"/>
          <w:u w:val="single"/>
        </w:rPr>
        <w:t> Section 2.01</w:t>
      </w:r>
      <w:r>
        <w:rPr>
          <w:rFonts w:ascii="Times New Roman" w:hAnsi="Times New Roman"/>
          <w:sz w:val="20"/>
        </w:rPr>
        <w:t xml:space="preserve">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In authenticating such Securities and accepting the additional responsibilities under this Indenture in relation to such Securities, the Trustee shall receive, and (subject to</w:t>
      </w:r>
      <w:r>
        <w:rPr>
          <w:rFonts w:ascii="Times New Roman" w:hAnsi="Times New Roman"/>
          <w:sz w:val="20"/>
          <w:u w:val="single"/>
        </w:rPr>
        <w:t> Section 7.01</w:t>
      </w:r>
      <w:r>
        <w:rPr>
          <w:rFonts w:ascii="Times New Roman" w:hAnsi="Times New Roman"/>
          <w:sz w:val="20"/>
        </w:rPr>
        <w:t xml:space="preserve">)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(b) The Company shall keep, or cause to be kept, at its office or agency designated for such purpose a register or registers (herein referred to as the </w:t>
      </w:r>
      <w:r>
        <w:rPr>
          <w:rFonts w:ascii="Times New Roman" w:hAnsi="Times New Roman"/>
          <w:b/>
          <w:sz w:val="20"/>
        </w:rPr>
        <w:t>Security Register</w:t>
      </w:r>
      <w:r>
        <w:rPr>
          <w:rFonts w:ascii="Times New Roman" w:hAnsi="Times New Roman"/>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hAnsi="Times New Roman"/>
          <w:b/>
          <w:sz w:val="20"/>
        </w:rPr>
        <w:t>Security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(c) Except as provided pursuant to</w:t>
      </w:r>
      <w:r>
        <w:rPr>
          <w:rFonts w:ascii="Times New Roman" w:hAnsi="Times New Roman"/>
          <w:sz w:val="20"/>
          <w:u w:val="single"/>
        </w:rPr>
        <w:t> Section 2.01</w:t>
      </w:r>
      <w:r>
        <w:rPr>
          <w:rFonts w:ascii="Times New Roman" w:hAnsi="Times New Roman"/>
          <w:sz w:val="20"/>
        </w:rPr>
        <w:t>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w:t>
      </w:r>
      <w:r>
        <w:rPr>
          <w:rFonts w:ascii="Times New Roman" w:hAnsi="Times New Roman"/>
          <w:sz w:val="20"/>
          <w:u w:val="single"/>
        </w:rPr>
        <w:t> Section 2.06, Section 3.03(b)</w:t>
      </w:r>
      <w:r>
        <w:rPr>
          <w:rFonts w:ascii="Times New Roman" w:hAnsi="Times New Roman"/>
          <w:sz w:val="20"/>
        </w:rPr>
        <w:t> and</w:t>
      </w:r>
      <w:r>
        <w:rPr>
          <w:rFonts w:ascii="Times New Roman" w:hAnsi="Times New Roman"/>
          <w:sz w:val="20"/>
          <w:u w:val="single"/>
        </w:rPr>
        <w:t> Section 9.04</w:t>
      </w:r>
      <w:r>
        <w:rPr>
          <w:rFonts w:ascii="Times New Roman" w:hAnsi="Times New Roman"/>
          <w:sz w:val="20"/>
        </w:rPr>
        <w:t xml:space="preserve"> not involving any transfer. </w:t>
      </w:r>
    </w:p>
    <w:p>
      <w:pPr>
        <w:pStyle w:val="TextBody"/>
        <w:bidi w:val="0"/>
        <w:spacing w:before="240" w:after="0"/>
        <w:jc w:val="left"/>
        <w:rPr>
          <w:rFonts w:ascii="Times New Roman" w:hAnsi="Times New Roman"/>
          <w:sz w:val="20"/>
        </w:rPr>
      </w:pPr>
      <w:r>
        <w:rPr>
          <w:rFonts w:ascii="Times New Roman" w:hAnsi="Times New Roman"/>
          <w:sz w:val="20"/>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w:t>
      </w:r>
      <w:r>
        <w:rPr>
          <w:rFonts w:ascii="Times New Roman" w:hAnsi="Times New Roman"/>
          <w:sz w:val="20"/>
          <w:u w:val="single"/>
        </w:rPr>
        <w:t> Section 2.05</w:t>
      </w:r>
      <w:r>
        <w:rPr>
          <w:rFonts w:ascii="Times New Roman" w:hAnsi="Times New Roman"/>
          <w:sz w:val="20"/>
        </w:rPr>
        <w:t> are, with respect to any Global Security, subject to</w:t>
      </w:r>
      <w:r>
        <w:rPr>
          <w:rFonts w:ascii="Times New Roman" w:hAnsi="Times New Roman"/>
          <w:sz w:val="20"/>
          <w:u w:val="single"/>
        </w:rPr>
        <w:t> Section 2.11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any Agent shall have any responsibility or liability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Company shall establish pursuant to</w:t>
      </w:r>
      <w:r>
        <w:rPr>
          <w:rFonts w:ascii="Times New Roman" w:hAnsi="Times New Roman"/>
          <w:sz w:val="20"/>
          <w:u w:val="single"/>
        </w:rPr>
        <w:t> Section 2.01</w:t>
      </w:r>
      <w:r>
        <w:rPr>
          <w:rFonts w:ascii="Times New Roman" w:hAnsi="Times New Roman"/>
          <w:sz w:val="20"/>
        </w:rPr>
        <w:t> that the Securities of a particular series are to be issued as a Global Security, then the Company shall execute and the Trustee shall, in accordance with</w:t>
      </w:r>
      <w:r>
        <w:rPr>
          <w:rFonts w:ascii="Times New Roman" w:hAnsi="Times New Roman"/>
          <w:sz w:val="20"/>
          <w:u w:val="single"/>
        </w:rPr>
        <w:t> Section 2.04</w:t>
      </w:r>
      <w:r>
        <w:rPr>
          <w:rFonts w:ascii="Times New Roman" w:hAnsi="Times New Roman"/>
          <w:sz w:val="20"/>
        </w:rPr>
        <w:t>, authenticate and deliver, a Global Security that</w:t>
      </w:r>
      <w:r>
        <w:rPr>
          <w:rFonts w:ascii="Times New Roman" w:hAnsi="Times New Roman"/>
          <w:sz w:val="20"/>
          <w:u w:val="single"/>
        </w:rPr>
        <w:t> (i)</w:t>
      </w:r>
      <w:r>
        <w:rPr>
          <w:rFonts w:ascii="Times New Roman" w:hAnsi="Times New Roman"/>
          <w:sz w:val="20"/>
        </w:rPr>
        <w:t xml:space="preserve"> shall represent, and shall be denominated in an amount equal to the aggregate principal amount of, all of the Outstanding Securities of such series, (ii)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registered in the name of the Depositary or its nominee, (iii) shall be delivered by the Trustee to the Depositary or held by it, pursuant to the Depositarys instruction and (iv) shall bear a legend substantially to the following effect: Except as otherwise provided in</w:t>
      </w:r>
      <w:r>
        <w:rPr>
          <w:rFonts w:ascii="Times New Roman" w:hAnsi="Times New Roman"/>
          <w:sz w:val="20"/>
          <w:u w:val="single"/>
        </w:rPr>
        <w:t> Section 2.11</w:t>
      </w:r>
      <w:r>
        <w:rPr>
          <w:rFonts w:ascii="Times New Roman" w:hAnsi="Times New Roman"/>
          <w:sz w:val="20"/>
        </w:rPr>
        <w:t xml:space="preserve">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(b) Notwithstanding the provisions of</w:t>
      </w:r>
      <w:r>
        <w:rPr>
          <w:rFonts w:ascii="Times New Roman" w:hAnsi="Times New Roman"/>
          <w:sz w:val="20"/>
          <w:u w:val="single"/>
        </w:rPr>
        <w:t> Section 2.05</w:t>
      </w:r>
      <w:r>
        <w:rPr>
          <w:rFonts w:ascii="Times New Roman" w:hAnsi="Times New Roman"/>
          <w:sz w:val="20"/>
        </w:rPr>
        <w:t>, the Global Security of a series may be transferred, in whole but not in part and in the manner provided in</w:t>
      </w:r>
      <w:r>
        <w:rPr>
          <w:rFonts w:ascii="Times New Roman" w:hAnsi="Times New Roman"/>
          <w:sz w:val="20"/>
          <w:u w:val="single"/>
        </w:rPr>
        <w:t> Section 2.05</w:t>
      </w:r>
      <w:r>
        <w:rPr>
          <w:rFonts w:ascii="Times New Roman" w:hAnsi="Times New Roman"/>
          <w:sz w:val="20"/>
        </w:rPr>
        <w:t xml:space="preserve">,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w:t>
      </w:r>
      <w:r>
        <w:rPr>
          <w:rFonts w:ascii="Times New Roman" w:hAnsi="Times New Roman"/>
          <w:sz w:val="20"/>
          <w:u w:val="single"/>
        </w:rPr>
        <w:t> Section 2.11</w:t>
      </w:r>
      <w:r>
        <w:rPr>
          <w:rFonts w:ascii="Times New Roman" w:hAnsi="Times New Roman"/>
          <w:sz w:val="20"/>
        </w:rPr>
        <w:t> shall no longer be applicable to the Securities of such series and the Company will execute, and subject to</w:t>
      </w:r>
      <w:r>
        <w:rPr>
          <w:rFonts w:ascii="Times New Roman" w:hAnsi="Times New Roman"/>
          <w:sz w:val="20"/>
          <w:u w:val="single"/>
        </w:rPr>
        <w:t> Section 2.04</w:t>
      </w:r>
      <w:r>
        <w:rPr>
          <w:rFonts w:ascii="Times New Roman" w:hAnsi="Times New Roman"/>
          <w:sz w:val="20"/>
        </w:rPr>
        <w:t>,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w:t>
      </w:r>
      <w:r>
        <w:rPr>
          <w:rFonts w:ascii="Times New Roman" w:hAnsi="Times New Roman"/>
          <w:sz w:val="20"/>
          <w:u w:val="single"/>
        </w:rPr>
        <w:t> Section 2.11</w:t>
      </w:r>
      <w:r>
        <w:rPr>
          <w:rFonts w:ascii="Times New Roman" w:hAnsi="Times New Roman"/>
          <w:sz w:val="20"/>
        </w:rPr>
        <w:t> shall no longer apply to the Securities of such series. In such event the Company will execute and, subject to</w:t>
      </w:r>
      <w:r>
        <w:rPr>
          <w:rFonts w:ascii="Times New Roman" w:hAnsi="Times New Roman"/>
          <w:sz w:val="20"/>
          <w:u w:val="single"/>
        </w:rPr>
        <w:t> Section 2.04</w:t>
      </w:r>
      <w:r>
        <w:rPr>
          <w:rFonts w:ascii="Times New Roman" w:hAnsi="Times New Roman"/>
          <w:sz w:val="20"/>
        </w:rPr>
        <w:t>,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w:t>
      </w:r>
      <w:r>
        <w:rPr>
          <w:rFonts w:ascii="Times New Roman" w:hAnsi="Times New Roman"/>
          <w:sz w:val="20"/>
          <w:u w:val="single"/>
        </w:rPr>
        <w:t> Section 2.11(c)</w:t>
      </w:r>
      <w:r>
        <w:rPr>
          <w:rFonts w:ascii="Times New Roman" w:hAnsi="Times New Roman"/>
          <w:sz w:val="20"/>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may redeem the Securities of any series issued hereunder on and after the dates and in accordance with the terms established for such series pursuant to</w:t>
      </w:r>
      <w:r>
        <w:rPr>
          <w:rFonts w:ascii="Times New Roman" w:hAnsi="Times New Roman"/>
          <w:sz w:val="20"/>
          <w:u w:val="single"/>
        </w:rPr>
        <w:t> Section 2.01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the Company shall desire to exercise such right to redeem all or, as the case may be, a portion of the Securities of any series in accordance with any right the Company reserved for itself to do so pursuant to</w:t>
      </w:r>
      <w:r>
        <w:rPr>
          <w:rFonts w:ascii="Times New Roman" w:hAnsi="Times New Roman"/>
          <w:sz w:val="20"/>
          <w:u w:val="single"/>
        </w:rPr>
        <w:t> Section 2.01</w:t>
      </w:r>
      <w:r>
        <w:rPr>
          <w:rFonts w:ascii="Times New Roman" w:hAnsi="Times New Roman"/>
          <w:sz w:val="20"/>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(b) 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w:t>
      </w:r>
      <w:r>
        <w:rPr>
          <w:rFonts w:ascii="Times New Roman" w:hAnsi="Times New Roman"/>
          <w:sz w:val="20"/>
          <w:u w:val="single"/>
        </w:rPr>
        <w:t> 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provisions of</w:t>
      </w:r>
      <w:r>
        <w:rPr>
          <w:rFonts w:ascii="Times New Roman" w:hAnsi="Times New Roman"/>
          <w:sz w:val="20"/>
          <w:u w:val="single"/>
        </w:rPr>
        <w:t> Sections 3.04</w:t>
      </w:r>
      <w:r>
        <w:rPr>
          <w:rFonts w:ascii="Times New Roman" w:hAnsi="Times New Roman"/>
          <w:sz w:val="20"/>
        </w:rPr>
        <w:t>,</w:t>
      </w:r>
      <w:r>
        <w:rPr>
          <w:rFonts w:ascii="Times New Roman" w:hAnsi="Times New Roman"/>
          <w:sz w:val="20"/>
          <w:u w:val="single"/>
        </w:rPr>
        <w:t> 3.05</w:t>
      </w:r>
      <w:r>
        <w:rPr>
          <w:rFonts w:ascii="Times New Roman" w:hAnsi="Times New Roman"/>
          <w:sz w:val="20"/>
        </w:rPr>
        <w:t> and</w:t>
      </w:r>
      <w:r>
        <w:rPr>
          <w:rFonts w:ascii="Times New Roman" w:hAnsi="Times New Roman"/>
          <w:sz w:val="20"/>
          <w:u w:val="single"/>
        </w:rPr>
        <w:t> 3.06</w:t>
      </w:r>
      <w:r>
        <w:rPr>
          <w:rFonts w:ascii="Times New Roman" w:hAnsi="Times New Roman"/>
          <w:sz w:val="20"/>
        </w:rPr>
        <w:t> shall be applicable to any sinking fund for the retirement of Securities of a series, except as otherwise specified as contemplated by</w:t>
      </w:r>
      <w:r>
        <w:rPr>
          <w:rFonts w:ascii="Times New Roman" w:hAnsi="Times New Roman"/>
          <w:sz w:val="20"/>
          <w:u w:val="single"/>
        </w:rPr>
        <w:t> Section 2.01</w:t>
      </w:r>
      <w:r>
        <w:rPr>
          <w:rFonts w:ascii="Times New Roman" w:hAnsi="Times New Roman"/>
          <w:sz w:val="20"/>
        </w:rPr>
        <w:t xml:space="preserve"> for Securities of such series.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w:t>
      </w:r>
      <w:r>
        <w:rPr>
          <w:rFonts w:ascii="Times New Roman" w:hAnsi="Times New Roman"/>
          <w:sz w:val="20"/>
          <w:u w:val="single"/>
        </w:rPr>
        <w:t> Section 3.05</w:t>
      </w:r>
      <w:r>
        <w:rPr>
          <w:rFonts w:ascii="Times New Roman" w:hAnsi="Times New Roman"/>
          <w:sz w:val="20"/>
        </w:rPr>
        <w:t xml:space="preserve">.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hAnsi="Times New Roman"/>
          <w:i/>
          <w:sz w:val="20"/>
        </w:rPr>
        <w:t>provided</w:t>
      </w:r>
      <w:r>
        <w:rPr>
          <w:rFonts w:ascii="Times New Roman" w:hAnsi="Times New Roman"/>
          <w:sz w:val="20"/>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w:t>
      </w:r>
      <w:r>
        <w:rPr>
          <w:rFonts w:ascii="Times New Roman" w:hAnsi="Times New Roman"/>
          <w:sz w:val="20"/>
          <w:u w:val="single"/>
        </w:rPr>
        <w:t> Section 3.05</w:t>
      </w:r>
      <w:r>
        <w:rPr>
          <w:rFonts w:ascii="Times New Roman" w:hAnsi="Times New Roman"/>
          <w:sz w:val="20"/>
        </w:rPr>
        <w:t>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w:t>
      </w:r>
      <w:r>
        <w:rPr>
          <w:rFonts w:ascii="Times New Roman" w:hAnsi="Times New Roman"/>
          <w:sz w:val="20"/>
          <w:u w:val="single"/>
        </w:rPr>
        <w:t> Section 3.02</w:t>
      </w:r>
      <w:r>
        <w:rPr>
          <w:rFonts w:ascii="Times New Roman" w:hAnsi="Times New Roman"/>
          <w:sz w:val="20"/>
        </w:rPr>
        <w:t> and cause notice of the redemption thereof to be given in the name of and at the expense of the Company in the manner provided in</w:t>
      </w:r>
      <w:r>
        <w:rPr>
          <w:rFonts w:ascii="Times New Roman" w:hAnsi="Times New Roman"/>
          <w:sz w:val="20"/>
          <w:u w:val="single"/>
        </w:rPr>
        <w:t> Section 3.02</w:t>
      </w:r>
      <w:r>
        <w:rPr>
          <w:rFonts w:ascii="Times New Roman" w:hAnsi="Times New Roman"/>
          <w:sz w:val="20"/>
        </w:rPr>
        <w:t>. Such notice having been duly given, the redemption of such Securities shall be made upon the terms and in the manner stated in</w:t>
      </w:r>
      <w:r>
        <w:rPr>
          <w:rFonts w:ascii="Times New Roman" w:hAnsi="Times New Roman"/>
          <w:sz w:val="20"/>
          <w:u w:val="single"/>
        </w:rPr>
        <w:t> Section 3.03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So long as any series of the Securities remain Outstanding, the Company agrees to maintain an office or agency with respect to each such series and at such other location or locations as may be designated as provided in this</w:t>
      </w:r>
      <w:r>
        <w:rPr>
          <w:rFonts w:ascii="Times New Roman" w:hAnsi="Times New Roman"/>
          <w:sz w:val="20"/>
          <w:u w:val="single"/>
        </w:rPr>
        <w:t> Section 4.02</w:t>
      </w:r>
      <w:r>
        <w:rPr>
          <w:rFonts w:ascii="Times New Roman" w:hAnsi="Times New Roman"/>
          <w:sz w:val="20"/>
        </w:rPr>
        <w:t xml:space="preserve">,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(2)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(3) that it will, at any time during the continuance of any failure referred to in the preceding paragraph (a)(2) above, upon the written request of the Trustee, forthwith pay to the Trustee all sums so held in trust by such paying agent; </w:t>
      </w:r>
    </w:p>
    <w:p>
      <w:pPr>
        <w:pStyle w:val="TextBody"/>
        <w:bidi w:val="0"/>
        <w:spacing w:before="120" w:after="0"/>
        <w:jc w:val="left"/>
        <w:rPr>
          <w:rFonts w:ascii="Times New Roman" w:hAnsi="Times New Roman"/>
          <w:sz w:val="20"/>
        </w:rPr>
      </w:pPr>
      <w:r>
        <w:rPr>
          <w:rFonts w:ascii="Times New Roman" w:hAnsi="Times New Roman"/>
          <w:sz w:val="20"/>
        </w:rPr>
        <w:t xml:space="preserve">(4) that upon any receivership, insolvency, liquidation, bankruptcy, reorganization, readjustment, arrangement, composition or judicial proceedings affecting the Company, the Trustee will automatically be the paying agent; and </w:t>
      </w:r>
    </w:p>
    <w:p>
      <w:pPr>
        <w:pStyle w:val="TextBody"/>
        <w:bidi w:val="0"/>
        <w:spacing w:before="120" w:after="0"/>
        <w:jc w:val="left"/>
        <w:rPr>
          <w:rFonts w:ascii="Times New Roman" w:hAnsi="Times New Roman"/>
          <w:sz w:val="20"/>
        </w:rPr>
      </w:pPr>
      <w:r>
        <w:rPr>
          <w:rFonts w:ascii="Times New Roman" w:hAnsi="Times New Roman"/>
          <w:sz w:val="20"/>
        </w:rPr>
        <w:t xml:space="preserve">(5)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(c) Notwithstanding anything in this Section to the contrary, (i) the agreement to hold sums in trust as provided in this Section is subject to the provisions of</w:t>
      </w:r>
      <w:r>
        <w:rPr>
          <w:rFonts w:ascii="Times New Roman" w:hAnsi="Times New Roman"/>
          <w:sz w:val="20"/>
          <w:u w:val="single"/>
        </w:rPr>
        <w:t> Section 11.05</w:t>
      </w:r>
      <w:r>
        <w:rPr>
          <w:rFonts w:ascii="Times New Roman" w:hAnsi="Times New Roman"/>
          <w:sz w:val="20"/>
        </w:rPr>
        <w:t xml:space="preserve">,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initially appoints the Trustee at its Corporate Trust Office as its paying agent with respect to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whenever necessary to avoid or fill a vacancy in the office of Trustee, will appoint, in the manner provided in</w:t>
      </w:r>
      <w:r>
        <w:rPr>
          <w:rFonts w:ascii="Times New Roman" w:hAnsi="Times New Roman"/>
          <w:sz w:val="20"/>
          <w:u w:val="single"/>
        </w:rPr>
        <w:t> Section 7.10</w:t>
      </w:r>
      <w:r>
        <w:rPr>
          <w:rFonts w:ascii="Times New Roman" w:hAnsi="Times New Roman"/>
          <w:sz w:val="20"/>
        </w:rPr>
        <w:t xml:space="preserve">,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Compliance with Consolidation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w:t>
      </w:r>
      <w:r>
        <w:rPr>
          <w:rFonts w:ascii="Times New Roman" w:hAnsi="Times New Roman"/>
          <w:sz w:val="20"/>
          <w:u w:val="single"/>
        </w:rPr>
        <w:t> Article 10</w:t>
      </w:r>
      <w:r>
        <w:rPr>
          <w:rFonts w:ascii="Times New Roman" w:hAnsi="Times New Roman"/>
          <w:sz w:val="20"/>
        </w:rPr>
        <w:t xml:space="preserve"> hereof are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LISTS AND REPORTS BY THE COMPANY </w:t>
      </w:r>
    </w:p>
    <w:p>
      <w:pPr>
        <w:pStyle w:val="TextBody"/>
        <w:bidi w:val="0"/>
        <w:spacing w:before="0" w:after="0"/>
        <w:jc w:val="center"/>
        <w:rPr>
          <w:rFonts w:ascii="Times New Roman" w:hAnsi="Times New Roman"/>
          <w:b/>
          <w:sz w:val="20"/>
        </w:rPr>
      </w:pPr>
      <w:r>
        <w:rPr>
          <w:rFonts w:ascii="Times New Roman" w:hAnsi="Times New Roman"/>
          <w:b/>
          <w:sz w:val="20"/>
        </w:rPr>
        <w:t xml:space="preserve">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furnish or cause to be furnished to the Trustee (a) within 5 days after each regular record date (as defined in</w:t>
      </w:r>
      <w:r>
        <w:rPr>
          <w:rFonts w:ascii="Times New Roman" w:hAnsi="Times New Roman"/>
          <w:sz w:val="20"/>
          <w:u w:val="single"/>
        </w:rPr>
        <w:t> Section 2.03</w:t>
      </w:r>
      <w:r>
        <w:rPr>
          <w:rFonts w:ascii="Times New Roman" w:hAnsi="Times New Roman"/>
          <w:sz w:val="20"/>
        </w:rPr>
        <w:t>) a list, in such form as the Trustee may reasonably require, of the names and addresses of the holders of each series of Securities as of such regular record date, </w:t>
      </w:r>
      <w:r>
        <w:rPr>
          <w:rFonts w:ascii="Times New Roman" w:hAnsi="Times New Roman"/>
          <w:i/>
          <w:sz w:val="20"/>
        </w:rPr>
        <w:t>provided</w:t>
      </w:r>
      <w:r>
        <w:rPr>
          <w:rFonts w:ascii="Times New Roman" w:hAnsi="Times New Roman"/>
          <w:sz w:val="20"/>
        </w:rPr>
        <w:t> 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Trustee shall preserve, in as current a form as is reasonably practicable, all information as to the names and addresses of the holders of Securities contained in the most recent list furnished to it as provided in</w:t>
      </w:r>
      <w:r>
        <w:rPr>
          <w:rFonts w:ascii="Times New Roman" w:hAnsi="Times New Roman"/>
          <w:sz w:val="20"/>
          <w:u w:val="single"/>
        </w:rPr>
        <w:t> Section 5.01</w:t>
      </w:r>
      <w:r>
        <w:rPr>
          <w:rFonts w:ascii="Times New Roman" w:hAnsi="Times New Roman"/>
          <w:sz w:val="20"/>
        </w:rPr>
        <w:t xml:space="preserve">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sz w:val="20"/>
        </w:rPr>
        <w:t>(b) The Trustee may destroy any list furnished to it as provided in</w:t>
      </w:r>
      <w:r>
        <w:rPr>
          <w:rFonts w:ascii="Times New Roman" w:hAnsi="Times New Roman"/>
          <w:sz w:val="20"/>
          <w:u w:val="single"/>
        </w:rPr>
        <w:t> Section 5.01</w:t>
      </w:r>
      <w:r>
        <w:rPr>
          <w:rFonts w:ascii="Times New Roman" w:hAnsi="Times New Roman"/>
          <w:sz w:val="20"/>
        </w:rPr>
        <w:t xml:space="preserve">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the Company shall not be required to deliver to the Trustee any materials for which the Company has sought and received confidential treatment by the Commission; and </w:t>
      </w:r>
      <w:r>
        <w:rPr>
          <w:rFonts w:ascii="Times New Roman" w:hAnsi="Times New Roman"/>
          <w:i/>
          <w:sz w:val="20"/>
        </w:rPr>
        <w:t>provided further</w:t>
      </w:r>
      <w:r>
        <w:rPr>
          <w:rFonts w:ascii="Times New Roman" w:hAnsi="Times New Roman"/>
          <w:sz w:val="20"/>
        </w:rPr>
        <w:t>,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hAnsi="Times New Roman"/>
          <w:i/>
          <w:sz w:val="20"/>
        </w:rPr>
        <w:t>provided</w:t>
      </w:r>
      <w:r>
        <w:rPr>
          <w:rFonts w:ascii="Times New Roman" w:hAnsi="Times New Roman"/>
          <w:sz w:val="20"/>
        </w:rPr>
        <w:t>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w:t>
      </w:r>
      <w:r>
        <w:rPr>
          <w:rFonts w:ascii="Times New Roman" w:hAnsi="Times New Roman"/>
          <w:sz w:val="20"/>
          <w:u w:val="single"/>
        </w:rPr>
        <w:t> Section 5.03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Delivery of reports, information and documents to the Trustee under</w:t>
      </w:r>
      <w:r>
        <w:rPr>
          <w:rFonts w:ascii="Times New Roman" w:hAnsi="Times New Roman"/>
          <w:sz w:val="20"/>
          <w:u w:val="single"/>
        </w:rPr>
        <w:t> Section 5.03</w:t>
      </w:r>
      <w:r>
        <w:rPr>
          <w:rFonts w:ascii="Times New Roman" w:hAnsi="Times New Roman"/>
          <w:sz w:val="20"/>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OF THE TRUSTEE AND SECURITYHOLDERS ON </w:t>
      </w:r>
    </w:p>
    <w:p>
      <w:pPr>
        <w:pStyle w:val="TextBody"/>
        <w:bidi w:val="0"/>
        <w:spacing w:before="0" w:after="0"/>
        <w:jc w:val="center"/>
        <w:rPr>
          <w:rFonts w:ascii="Times New Roman" w:hAnsi="Times New Roman"/>
          <w:b/>
          <w:sz w:val="20"/>
        </w:rPr>
      </w:pPr>
      <w:r>
        <w:rPr>
          <w:rFonts w:ascii="Times New Roman" w:hAnsi="Times New Roman"/>
          <w:b/>
          <w:sz w:val="20"/>
        </w:rPr>
        <w:t xml:space="preserve">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Whenever used herein with respect to Securities of a particular series, </w:t>
      </w:r>
      <w:r>
        <w:rPr>
          <w:rFonts w:ascii="Times New Roman" w:hAnsi="Times New Roman"/>
          <w:b/>
          <w:sz w:val="20"/>
        </w:rPr>
        <w:t>Event of Default</w:t>
      </w:r>
      <w:r>
        <w:rPr>
          <w:rFonts w:ascii="Times New Roman" w:hAnsi="Times New Roman"/>
          <w:sz w:val="20"/>
        </w:rPr>
        <w:t xml:space="preserve">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(1) the Company defaults in the payment of any installment of interest upon any of the Securities of that series, as and when the same shall become due and payable, and such default continues for a period of 90 days; </w:t>
      </w:r>
      <w:r>
        <w:rPr>
          <w:rFonts w:ascii="Times New Roman" w:hAnsi="Times New Roman"/>
          <w:i/>
          <w:sz w:val="20"/>
        </w:rPr>
        <w:t>provided, however</w:t>
      </w:r>
      <w:r>
        <w:rPr>
          <w:rFonts w:ascii="Times New Roman" w:hAnsi="Times New Roman"/>
          <w:sz w:val="20"/>
        </w:rPr>
        <w:t xml:space="preserve">, that a valid extension of an interest payment period by the Company in accordance with the terms of any indenture supplemental hereto shall not constitute a default in the payment of interest for this purpose; </w:t>
      </w:r>
    </w:p>
    <w:p>
      <w:pPr>
        <w:pStyle w:val="TextBody"/>
        <w:bidi w:val="0"/>
        <w:spacing w:before="120" w:after="0"/>
        <w:jc w:val="left"/>
        <w:rPr>
          <w:rFonts w:ascii="Times New Roman" w:hAnsi="Times New Roman"/>
          <w:sz w:val="20"/>
        </w:rPr>
      </w:pPr>
      <w:r>
        <w:rPr>
          <w:rFonts w:ascii="Times New Roman" w:hAnsi="Times New Roman"/>
          <w:sz w:val="20"/>
        </w:rPr>
        <w:t>(2)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a valid extension of the maturity of such Securities in accordance with the terms of any indenture supplemental hereto shall not constitute a default in the payment of principal or premium, if any; </w:t>
      </w:r>
    </w:p>
    <w:p>
      <w:pPr>
        <w:pStyle w:val="TextBody"/>
        <w:bidi w:val="0"/>
        <w:spacing w:before="120" w:after="0"/>
        <w:jc w:val="left"/>
        <w:rPr>
          <w:rFonts w:ascii="Times New Roman" w:hAnsi="Times New Roman"/>
          <w:sz w:val="20"/>
        </w:rPr>
      </w:pPr>
      <w:r>
        <w:rPr>
          <w:rFonts w:ascii="Times New Roman" w:hAnsi="Times New Roman"/>
          <w:sz w:val="20"/>
        </w:rPr>
        <w:t>(3) the Company fails to observe or perform any other of its covenants or agreements with respect to that series contained in this Indenture or otherwise established with respect to that series of Securities pursuant to</w:t>
      </w:r>
      <w:r>
        <w:rPr>
          <w:rFonts w:ascii="Times New Roman" w:hAnsi="Times New Roman"/>
          <w:sz w:val="20"/>
          <w:u w:val="single"/>
        </w:rPr>
        <w:t> Section 2.01</w:t>
      </w:r>
      <w:r>
        <w:rPr>
          <w:rFonts w:ascii="Times New Roman" w:hAnsi="Times New Roman"/>
          <w:sz w:val="20"/>
        </w:rPr>
        <w:t>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hAnsi="Times New Roman"/>
          <w:b/>
          <w:sz w:val="20"/>
        </w:rPr>
        <w:t>Notice of Default</w:t>
      </w:r>
      <w:r>
        <w:rPr>
          <w:rFonts w:ascii="Times New Roman" w:hAnsi="Times New Roman"/>
          <w:sz w:val="20"/>
        </w:rPr>
        <w:t xml:space="preserve"> hereunder, shall have been given to the Company by the Trustee or to the Company and the Trustee by the holders of at least 25% in principal amount of the Securities of that series at the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sz w:val="20"/>
        </w:rPr>
        <w:t xml:space="preserve">(b)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sz w:val="20"/>
        </w:rPr>
        <w:t>(c)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w:t>
      </w:r>
      <w:r>
        <w:rPr>
          <w:rFonts w:ascii="Times New Roman" w:hAnsi="Times New Roman"/>
          <w:sz w:val="20"/>
          <w:u w:val="single"/>
        </w:rPr>
        <w:t> Section 7.06</w:t>
      </w:r>
      <w:r>
        <w:rPr>
          <w:rFonts w:ascii="Times New Roman" w:hAnsi="Times New Roman"/>
          <w:sz w:val="20"/>
        </w:rPr>
        <w:t>,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w:t>
      </w:r>
      <w:r>
        <w:rPr>
          <w:rFonts w:ascii="Times New Roman" w:hAnsi="Times New Roman"/>
          <w:sz w:val="20"/>
          <w:u w:val="single"/>
        </w:rPr>
        <w:t> Section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r>
        <w:rPr>
          <w:rFonts w:ascii="Times New Roman" w:hAnsi="Times New Roman"/>
          <w:sz w:val="20"/>
          <w:u w:val="single"/>
        </w:rPr>
        <w:t> Section 7.06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(c) 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w:t>
      </w:r>
      <w:r>
        <w:rPr>
          <w:rFonts w:ascii="Times New Roman" w:hAnsi="Times New Roman"/>
          <w:sz w:val="20"/>
          <w:u w:val="single"/>
        </w:rPr>
        <w:t> Section 7.06</w:t>
      </w:r>
      <w:r>
        <w:rPr>
          <w:rFonts w:ascii="Times New Roman" w:hAnsi="Times New Roman"/>
          <w:sz w:val="20"/>
        </w:rPr>
        <w:t>;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w:t>
      </w:r>
      <w:r>
        <w:rPr>
          <w:rFonts w:ascii="Times New Roman" w:hAnsi="Times New Roman"/>
          <w:sz w:val="20"/>
          <w:u w:val="single"/>
        </w:rPr>
        <w:t> 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w:t>
      </w:r>
      <w:r>
        <w:rPr>
          <w:rFonts w:ascii="Times New Roman" w:hAnsi="Times New Roman"/>
          <w:sz w:val="20"/>
          <w:u w:val="single"/>
        </w:rPr>
        <w:t> Section 7.06</w:t>
      </w:r>
      <w:r>
        <w:rPr>
          <w:rFonts w:ascii="Times New Roman" w:hAnsi="Times New Roman"/>
          <w:sz w:val="20"/>
        </w:rPr>
        <w:t xml:space="preserve">,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To the payment of reasonable costs and expenses of collection and of all amounts payable to the Trustee, its agents and attorneys under this Indenture;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in</w:t>
      </w:r>
      <w:r>
        <w:rPr>
          <w:rFonts w:ascii="Times New Roman" w:hAnsi="Times New Roman"/>
          <w:sz w:val="20"/>
          <w:u w:val="single"/>
        </w:rPr>
        <w:t> Section 2.07</w:t>
      </w:r>
      <w:r>
        <w:rPr>
          <w:rFonts w:ascii="Times New Roman" w:hAnsi="Times New Roman"/>
          <w:sz w:val="20"/>
        </w:rPr>
        <w:t xml:space="preserve">,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w:t>
      </w:r>
      <w:r>
        <w:rPr>
          <w:rFonts w:ascii="Times New Roman" w:hAnsi="Times New Roman"/>
          <w:sz w:val="20"/>
          <w:u w:val="single"/>
        </w:rPr>
        <w:t> Section 6.04</w:t>
      </w:r>
      <w:r>
        <w:rPr>
          <w:rFonts w:ascii="Times New Roman" w:hAnsi="Times New Roman"/>
          <w:sz w:val="20"/>
        </w:rPr>
        <w:t xml:space="preserve">,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holders of a majority in aggregate principal amount of the Securities of any series at the time Outstanding, determined in accordance with</w:t>
      </w:r>
      <w:r>
        <w:rPr>
          <w:rFonts w:ascii="Times New Roman" w:hAnsi="Times New Roman"/>
          <w:sz w:val="20"/>
          <w:u w:val="single"/>
        </w:rPr>
        <w:t> Section 8.04</w:t>
      </w:r>
      <w:r>
        <w:rPr>
          <w:rFonts w:ascii="Times New Roman" w:hAnsi="Times New Roman"/>
          <w:sz w:val="20"/>
        </w:rPr>
        <w:t>, shall have the right to direct the time, method and place of conducting any proceeding for any remedy available to the Trustee, or exercising any trust or power conferred on the Trustee with respect to such series;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such direction shall not be in conflict with any rule of law or with this Indenture or subject the Trustee in its sole discretion to personal liability. The Trustee shall have the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w:t>
      </w:r>
      <w:r>
        <w:rPr>
          <w:rFonts w:ascii="Times New Roman" w:hAnsi="Times New Roman"/>
          <w:sz w:val="20"/>
          <w:u w:val="single"/>
        </w:rPr>
        <w:t> Section 8.04</w:t>
      </w:r>
      <w:r>
        <w:rPr>
          <w:rFonts w:ascii="Times New Roman" w:hAnsi="Times New Roman"/>
          <w:sz w:val="20"/>
        </w:rPr>
        <w:t>, may on behalf of the holders of all of the Securities of such series waive any past default in the performance of any of the covenants contained herein or established pursuant to</w:t>
      </w:r>
      <w:r>
        <w:rPr>
          <w:rFonts w:ascii="Times New Roman" w:hAnsi="Times New Roman"/>
          <w:sz w:val="20"/>
          <w:u w:val="single"/>
        </w:rPr>
        <w:t> Section 2.01</w:t>
      </w:r>
      <w:r>
        <w:rPr>
          <w:rFonts w:ascii="Times New Roman" w:hAnsi="Times New Roman"/>
          <w:sz w:val="20"/>
        </w:rPr>
        <w:t>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w:t>
      </w:r>
      <w:r>
        <w:rPr>
          <w:rFonts w:ascii="Times New Roman" w:hAnsi="Times New Roman"/>
          <w:sz w:val="20"/>
          <w:u w:val="single"/>
        </w:rPr>
        <w:t> Section 6.01(c)</w:t>
      </w:r>
      <w:r>
        <w:rPr>
          <w:rFonts w:ascii="Times New Roman" w:hAnsi="Times New Roman"/>
          <w:sz w:val="20"/>
        </w:rPr>
        <w:t xml:space="preserve">).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 </w:t>
      </w:r>
    </w:p>
    <w:p>
      <w:pPr>
        <w:pStyle w:val="TextBody"/>
        <w:bidi w:val="0"/>
        <w:spacing w:before="120" w:after="0"/>
        <w:jc w:val="left"/>
        <w:rPr>
          <w:rFonts w:ascii="Times New Roman" w:hAnsi="Times New Roman"/>
          <w:sz w:val="20"/>
        </w:rPr>
      </w:pPr>
      <w:r>
        <w:rPr>
          <w:rFonts w:ascii="Times New Roman" w:hAnsi="Times New Roman"/>
          <w:sz w:val="20"/>
        </w:rPr>
        <w:t xml:space="preserve">(4) 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otherwise provided in</w:t>
      </w:r>
      <w:r>
        <w:rPr>
          <w:rFonts w:ascii="Times New Roman" w:hAnsi="Times New Roman"/>
          <w:sz w:val="20"/>
          <w:u w:val="single"/>
        </w:rPr>
        <w:t> Section 7.01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(f) 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w:t>
      </w:r>
      <w:r>
        <w:rPr>
          <w:rFonts w:ascii="Times New Roman" w:hAnsi="Times New Roman"/>
          <w:sz w:val="20"/>
          <w:u w:val="single"/>
        </w:rPr>
        <w:t> Section 8.04</w:t>
      </w:r>
      <w:r>
        <w:rPr>
          <w:rFonts w:ascii="Times New Roman" w:hAnsi="Times New Roman"/>
          <w:sz w:val="20"/>
        </w:rPr>
        <w: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if the payment within a reasonable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 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(j) The permissive rights of the Trustee enumerated herein shall not be construed as duties</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The Trustee may request that the Company deliver a certificate setting forth the names of individuals and/or titles of officers authorized at such time to take specified actions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(l) The Trustee shall not be required to give any bond or surety in respect of the performance of its powers and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recitals contained herein and in the Securities shall be taken as the statements of the Company, and the Trustee assumes no responsibility for the correctness of the same.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w:t>
      </w:r>
      <w:r>
        <w:rPr>
          <w:rFonts w:ascii="Times New Roman" w:hAnsi="Times New Roman"/>
          <w:sz w:val="20"/>
          <w:u w:val="single"/>
        </w:rPr>
        <w:t> Section 2.01</w:t>
      </w:r>
      <w:r>
        <w:rPr>
          <w:rFonts w:ascii="Times New Roman" w:hAnsi="Times New Roman"/>
          <w:sz w:val="20"/>
        </w:rPr>
        <w:t xml:space="preserve">,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provisions of</w:t>
      </w:r>
      <w:r>
        <w:rPr>
          <w:rFonts w:ascii="Times New Roman" w:hAnsi="Times New Roman"/>
          <w:sz w:val="20"/>
          <w:u w:val="single"/>
        </w:rPr>
        <w:t> Section 11.05</w:t>
      </w:r>
      <w:r>
        <w:rPr>
          <w:rFonts w:ascii="Times New Roman" w:hAnsi="Times New Roman"/>
          <w:sz w:val="20"/>
        </w:rPr>
        <w:t xml:space="preserve">,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w:t>
      </w:r>
    </w:p>
    <w:p>
      <w:pPr>
        <w:pStyle w:val="TextBody"/>
        <w:bidi w:val="0"/>
        <w:spacing w:before="240" w:after="0"/>
        <w:jc w:val="left"/>
        <w:rPr>
          <w:rFonts w:ascii="Times New Roman" w:hAnsi="Times New Roman"/>
          <w:sz w:val="20"/>
        </w:rPr>
      </w:pPr>
      <w:r>
        <w:rPr>
          <w:rFonts w:ascii="Times New Roman" w:hAnsi="Times New Roman"/>
          <w:sz w:val="20"/>
        </w:rPr>
        <w:t>(c) 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w:t>
      </w:r>
      <w:r>
        <w:rPr>
          <w:rFonts w:ascii="Times New Roman" w:hAnsi="Times New Roman"/>
          <w:sz w:val="20"/>
          <w:u w:val="single"/>
        </w:rPr>
        <w:t> Section 6.01(a)(4)</w:t>
      </w:r>
      <w:r>
        <w:rPr>
          <w:rFonts w:ascii="Times New Roman" w:hAnsi="Times New Roman"/>
          <w:sz w:val="20"/>
        </w:rPr>
        <w:t> or</w:t>
      </w:r>
      <w:r>
        <w:rPr>
          <w:rFonts w:ascii="Times New Roman" w:hAnsi="Times New Roman"/>
          <w:sz w:val="20"/>
          <w:u w:val="single"/>
        </w:rPr>
        <w:t> (5)</w:t>
      </w:r>
      <w:r>
        <w:rPr>
          <w:rFonts w:ascii="Times New Roman" w:hAnsi="Times New Roman"/>
          <w:sz w:val="20"/>
        </w:rPr>
        <w:t>, the expenses (including the reasonable fees and expenses of its counsel) and the compensation for services in connection therewith are to constitute expenses of administration under any Bankruptcy Law. The provisions of this</w:t>
      </w:r>
      <w:r>
        <w:rPr>
          <w:rFonts w:ascii="Times New Roman" w:hAnsi="Times New Roman"/>
          <w:sz w:val="20"/>
          <w:u w:val="single"/>
        </w:rPr>
        <w:t> Section 7.06</w:t>
      </w:r>
      <w:r>
        <w:rPr>
          <w:rFonts w:ascii="Times New Roman" w:hAnsi="Times New Roman"/>
          <w:sz w:val="20"/>
        </w:rPr>
        <w:t xml:space="preserve"> shall survive the termination of this Indenture and the earlier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Reliance on Officers Certificate or Opinion of Counsel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otherwise provided in</w:t>
      </w:r>
      <w:r>
        <w:rPr>
          <w:rFonts w:ascii="Times New Roman" w:hAnsi="Times New Roman"/>
          <w:sz w:val="20"/>
          <w:u w:val="single"/>
        </w:rPr>
        <w:t> Section 7.01</w:t>
      </w:r>
      <w:r>
        <w:rPr>
          <w:rFonts w:ascii="Times New Roman" w:hAnsi="Times New Roman"/>
          <w:sz w:val="20"/>
        </w:rPr>
        <w:t xml:space="preserve">,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w:t>
      </w:r>
      <w:r>
        <w:rPr>
          <w:rFonts w:ascii="Times New Roman" w:hAnsi="Times New Roman"/>
          <w:sz w:val="20"/>
          <w:u w:val="single"/>
        </w:rPr>
        <w:t> 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(i) the Trustee shall fail to comply with the provisions of</w:t>
      </w:r>
      <w:r>
        <w:rPr>
          <w:rFonts w:ascii="Times New Roman" w:hAnsi="Times New Roman"/>
          <w:sz w:val="20"/>
          <w:u w:val="single"/>
        </w:rPr>
        <w:t> Section 7.08</w:t>
      </w:r>
      <w:r>
        <w:rPr>
          <w:rFonts w:ascii="Times New Roman" w:hAnsi="Times New Roman"/>
          <w:sz w:val="20"/>
        </w:rPr>
        <w:t xml:space="preserve"> after written request therefor by the Company or by any Securityholder who has been a bona fide holder of a Security or Securities for at least six months; or </w:t>
      </w:r>
    </w:p>
    <w:p>
      <w:pPr>
        <w:pStyle w:val="TextBody"/>
        <w:bidi w:val="0"/>
        <w:spacing w:before="120" w:after="0"/>
        <w:jc w:val="left"/>
        <w:rPr>
          <w:rFonts w:ascii="Times New Roman" w:hAnsi="Times New Roman"/>
          <w:sz w:val="20"/>
        </w:rPr>
      </w:pPr>
      <w:r>
        <w:rPr>
          <w:rFonts w:ascii="Times New Roman" w:hAnsi="Times New Roman"/>
          <w:sz w:val="20"/>
        </w:rPr>
        <w:t>(ii) the Trustee shall cease to be eligible in accordance with the provisions of</w:t>
      </w:r>
      <w:r>
        <w:rPr>
          <w:rFonts w:ascii="Times New Roman" w:hAnsi="Times New Roman"/>
          <w:sz w:val="20"/>
          <w:u w:val="single"/>
        </w:rPr>
        <w:t> Section 7.09</w:t>
      </w:r>
      <w:r>
        <w:rPr>
          <w:rFonts w:ascii="Times New Roman" w:hAnsi="Times New Roman"/>
          <w:sz w:val="20"/>
        </w:rPr>
        <w:t xml:space="preserve"> and shall fail to resign after written request therefor by the Company or by any such Securityholder;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Any resignation or removal of the Trustee and appointment of a successor trustee with respect to the Securities of a series pursuant to any of the provisions of this Section shall become effective upon acceptance of appointment by the successor trustee as provided in</w:t>
      </w:r>
      <w:r>
        <w:rPr>
          <w:rFonts w:ascii="Times New Roman" w:hAnsi="Times New Roman"/>
          <w:sz w:val="20"/>
          <w:u w:val="single"/>
        </w:rPr>
        <w:t> 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w:t>
      </w:r>
      <w:r>
        <w:rPr>
          <w:rFonts w:ascii="Times New Roman" w:hAnsi="Times New Roman"/>
          <w:sz w:val="20"/>
          <w:u w:val="single"/>
        </w:rPr>
        <w:t> Section 7.06</w:t>
      </w:r>
      <w:r>
        <w:rPr>
          <w:rFonts w:ascii="Times New Roman" w:hAnsi="Times New Roman"/>
          <w:sz w:val="20"/>
        </w:rPr>
        <w:t xml:space="preserve">,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hAnsi="Times New Roman"/>
          <w:i/>
          <w:sz w:val="20"/>
        </w:rPr>
        <w:t>provided</w:t>
      </w:r>
      <w:r>
        <w:rPr>
          <w:rFonts w:ascii="Times New Roman" w:hAnsi="Times New Roman"/>
          <w:sz w:val="20"/>
        </w:rPr>
        <w:t> that such corporation shall be qualified under the provisions of</w:t>
      </w:r>
      <w:r>
        <w:rPr>
          <w:rFonts w:ascii="Times New Roman" w:hAnsi="Times New Roman"/>
          <w:sz w:val="20"/>
          <w:u w:val="single"/>
        </w:rPr>
        <w:t> Section 7.08</w:t>
      </w:r>
      <w:r>
        <w:rPr>
          <w:rFonts w:ascii="Times New Roman" w:hAnsi="Times New Roman"/>
          <w:sz w:val="20"/>
        </w:rPr>
        <w:t> and eligible under the provisions of</w:t>
      </w:r>
      <w:r>
        <w:rPr>
          <w:rFonts w:ascii="Times New Roman" w:hAnsi="Times New Roman"/>
          <w:sz w:val="20"/>
          <w:u w:val="single"/>
        </w:rPr>
        <w:t> Section 7.09</w:t>
      </w:r>
      <w:r>
        <w:rPr>
          <w:rFonts w:ascii="Times New Roman" w:hAnsi="Times New Roman"/>
          <w:sz w:val="20"/>
        </w:rPr>
        <w:t xml:space="preserve">,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Whenever in this Indenture it is </w:t>
      </w:r>
      <w:r>
        <w:rPr>
          <w:rFonts w:ascii="Times New Roman" w:hAnsi="Times New Roman"/>
          <w:i/>
          <w:sz w:val="20"/>
        </w:rPr>
        <w:t>provided</w:t>
      </w:r>
      <w:r>
        <w:rPr>
          <w:rFonts w:ascii="Times New Roman" w:hAnsi="Times New Roman"/>
          <w:sz w:val="20"/>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provisions of</w:t>
      </w:r>
      <w:r>
        <w:rPr>
          <w:rFonts w:ascii="Times New Roman" w:hAnsi="Times New Roman"/>
          <w:sz w:val="20"/>
          <w:u w:val="single"/>
        </w:rPr>
        <w:t> Section 7.01</w:t>
      </w:r>
      <w:r>
        <w:rPr>
          <w:rFonts w:ascii="Times New Roman" w:hAnsi="Times New Roman"/>
          <w:sz w:val="20"/>
        </w:rPr>
        <w:t xml:space="preserve">, proof of the execution of any instrument by a Securityholder (such proof will not require notarization) or his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(a)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ownership of Securities shall be proved by the Security Register of such Securities or by a certificate of the Security Registrar thereof. 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w:t>
      </w:r>
      <w:r>
        <w:rPr>
          <w:rFonts w:ascii="Times New Roman" w:hAnsi="Times New Roman"/>
          <w:sz w:val="20"/>
          <w:u w:val="single"/>
        </w:rPr>
        <w:t> Section 2.03</w:t>
      </w:r>
      <w:r>
        <w:rPr>
          <w:rFonts w:ascii="Times New Roman" w:hAnsi="Times New Roman"/>
          <w:sz w:val="20"/>
        </w:rPr>
        <w:t xml:space="preserve">)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At any time prior to (but not after) the evidencing to the Trustee, as provided in</w:t>
      </w:r>
      <w:r>
        <w:rPr>
          <w:rFonts w:ascii="Times New Roman" w:hAnsi="Times New Roman"/>
          <w:sz w:val="20"/>
          <w:u w:val="single"/>
        </w:rPr>
        <w:t> Section 8.01</w:t>
      </w:r>
      <w:r>
        <w:rPr>
          <w:rFonts w:ascii="Times New Roman" w:hAnsi="Times New Roman"/>
          <w:sz w:val="20"/>
        </w:rPr>
        <w:t>,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w:t>
      </w:r>
      <w:r>
        <w:rPr>
          <w:rFonts w:ascii="Times New Roman" w:hAnsi="Times New Roman"/>
          <w:sz w:val="20"/>
          <w:u w:val="single"/>
        </w:rPr>
        <w:t> Section 8.02</w:t>
      </w:r>
      <w:r>
        <w:rPr>
          <w:rFonts w:ascii="Times New Roman" w:hAnsi="Times New Roman"/>
          <w:sz w:val="20"/>
        </w:rPr>
        <w:t xml:space="preserve">,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(b) to comply with</w:t>
      </w:r>
      <w:r>
        <w:rPr>
          <w:rFonts w:ascii="Times New Roman" w:hAnsi="Times New Roman"/>
          <w:sz w:val="20"/>
          <w:u w:val="single"/>
        </w:rPr>
        <w:t> 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(f)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sz w:val="20"/>
        </w:rPr>
        <w:t>(g) to provide for the issuance of and establish the form and terms and conditions of the Securities of any series as provided in</w:t>
      </w:r>
      <w:r>
        <w:rPr>
          <w:rFonts w:ascii="Times New Roman" w:hAnsi="Times New Roman"/>
          <w:sz w:val="20"/>
          <w:u w:val="single"/>
        </w:rPr>
        <w:t xml:space="preserve"> Section 2.01</w:t>
      </w:r>
      <w:r>
        <w:rPr>
          <w:rFonts w:ascii="Times New Roman" w:hAnsi="Times New Roman"/>
          <w:sz w:val="20"/>
        </w:rPr>
        <w:t xml:space="preserve">,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or to appoint a separate trustee with respect to any series; or </w:t>
      </w:r>
    </w:p>
    <w:p>
      <w:pPr>
        <w:pStyle w:val="TextBody"/>
        <w:bidi w:val="0"/>
        <w:spacing w:before="240" w:after="0"/>
        <w:jc w:val="left"/>
        <w:rPr>
          <w:rFonts w:ascii="Times New Roman" w:hAnsi="Times New Roman"/>
          <w:sz w:val="20"/>
        </w:rPr>
      </w:pPr>
      <w:r>
        <w:rPr>
          <w:rFonts w:ascii="Times New Roman" w:hAnsi="Times New Roman"/>
          <w:sz w:val="20"/>
        </w:rPr>
        <w:t xml:space="preserve">(i)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Any supplemental indenture authorized by the provisions of this Section may be executed by the Company and the Trustee without the consent of the holders of any of the Securities at the time Outstanding, notwithstanding any of the provisions of</w:t>
      </w:r>
      <w:r>
        <w:rPr>
          <w:rFonts w:ascii="Times New Roman" w:hAnsi="Times New Roman"/>
          <w:sz w:val="20"/>
          <w:u w:val="single"/>
        </w:rPr>
        <w:t> 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With the consent (evidenced as provided in</w:t>
      </w:r>
      <w:r>
        <w:rPr>
          <w:rFonts w:ascii="Times New Roman" w:hAnsi="Times New Roman"/>
          <w:sz w:val="20"/>
          <w:u w:val="single"/>
        </w:rPr>
        <w:t> Section 8.01</w:t>
      </w:r>
      <w:r>
        <w:rPr>
          <w:rFonts w:ascii="Times New Roman" w:hAnsi="Times New Roman"/>
          <w:sz w:val="20"/>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Trust Indenture Act as then in effect) for the purpose of adding any provisions to or changing in any manner or eliminating any of the provisions of this Indenture or of any supplemental indenture or of modifying in any manner not covered by</w:t>
      </w:r>
      <w:r>
        <w:rPr>
          <w:rFonts w:ascii="Times New Roman" w:hAnsi="Times New Roman"/>
          <w:sz w:val="20"/>
          <w:u w:val="single"/>
        </w:rPr>
        <w:t> Section 9.01</w:t>
      </w:r>
      <w:r>
        <w:rPr>
          <w:rFonts w:ascii="Times New Roman" w:hAnsi="Times New Roman"/>
          <w:sz w:val="20"/>
        </w:rPr>
        <w:t> the rights of the holders of the Securities of such series under this Indenture;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execution of any supplemental indenture pursuant to the provisions of this Article or of</w:t>
      </w:r>
      <w:r>
        <w:rPr>
          <w:rFonts w:ascii="Times New Roman" w:hAnsi="Times New Roman"/>
          <w:sz w:val="20"/>
          <w:u w:val="single"/>
        </w:rPr>
        <w:t> Section 10.01</w:t>
      </w:r>
      <w:r>
        <w:rPr>
          <w:rFonts w:ascii="Times New Roman" w:hAnsi="Times New Roman"/>
          <w:sz w:val="20"/>
        </w:rPr>
        <w:t xml:space="preserve">,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Securities of any series affected by a supplemental indenture, authenticated and delivered after the execution of such supplemental indenture pursuant to the provisions of this Article or of</w:t>
      </w:r>
      <w:r>
        <w:rPr>
          <w:rFonts w:ascii="Times New Roman" w:hAnsi="Times New Roman"/>
          <w:sz w:val="20"/>
          <w:u w:val="single"/>
        </w:rPr>
        <w:t> Section 10.01</w:t>
      </w:r>
      <w:r>
        <w:rPr>
          <w:rFonts w:ascii="Times New Roman" w:hAnsi="Times New Roman"/>
          <w:sz w:val="20"/>
        </w:rPr>
        <w:t xml:space="preserve">,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w:t>
      </w:r>
      <w:r>
        <w:rPr>
          <w:rFonts w:ascii="Times New Roman" w:hAnsi="Times New Roman"/>
          <w:sz w:val="20"/>
          <w:u w:val="single"/>
        </w:rPr>
        <w:t> Section 2.01</w:t>
      </w:r>
      <w:r>
        <w:rPr>
          <w:rFonts w:ascii="Times New Roman" w:hAnsi="Times New Roman"/>
          <w:sz w:val="20"/>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of any such consolidation, merger, sale, conveyance, transfer or other disposition and upon the assumption by the successor entity by supplemental indenture, executed and delivered to the Trustee, of the obligations set forth under</w:t>
      </w:r>
      <w:r>
        <w:rPr>
          <w:rFonts w:ascii="Times New Roman" w:hAnsi="Times New Roman"/>
          <w:sz w:val="20"/>
          <w:u w:val="single"/>
        </w:rPr>
        <w:t> Section 10.01</w:t>
      </w:r>
      <w:r>
        <w:rPr>
          <w:rFonts w:ascii="Times New Roman" w:hAnsi="Times New Roman"/>
          <w:sz w:val="20"/>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w:t>
      </w:r>
      <w:r>
        <w:rPr>
          <w:rFonts w:ascii="Times New Roman" w:hAnsi="Times New Roman"/>
          <w:sz w:val="20"/>
          <w:u w:val="single"/>
        </w:rPr>
        <w:t> Section 2.07</w:t>
      </w:r>
      <w:r>
        <w:rPr>
          <w:rFonts w:ascii="Times New Roman" w:hAnsi="Times New Roman"/>
          <w:sz w:val="20"/>
        </w:rPr>
        <w:t> and Securities for whose payment money or Governmental Obligations have theretofore been deposited in trust or segregated and held in trust by the Company and thereupon repaid to the Company or discharged from such trust, as provided in</w:t>
      </w:r>
      <w:r>
        <w:rPr>
          <w:rFonts w:ascii="Times New Roman" w:hAnsi="Times New Roman"/>
          <w:sz w:val="20"/>
          <w:u w:val="single"/>
        </w:rPr>
        <w:t> Section 11.05</w:t>
      </w:r>
      <w:r>
        <w:rPr>
          <w:rFonts w:ascii="Times New Roman" w:hAnsi="Times New Roman"/>
          <w:sz w:val="20"/>
        </w:rPr>
        <w:t>);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w:t>
      </w:r>
      <w:r>
        <w:rPr>
          <w:rFonts w:ascii="Times New Roman" w:hAnsi="Times New Roman"/>
          <w:sz w:val="20"/>
          <w:u w:val="single"/>
        </w:rPr>
        <w:t xml:space="preserve"> Sections 2.03</w:t>
      </w:r>
      <w:r>
        <w:rPr>
          <w:rFonts w:ascii="Times New Roman" w:hAnsi="Times New Roman"/>
          <w:sz w:val="20"/>
        </w:rPr>
        <w:t>,</w:t>
      </w:r>
      <w:r>
        <w:rPr>
          <w:rFonts w:ascii="Times New Roman" w:hAnsi="Times New Roman"/>
          <w:sz w:val="20"/>
          <w:u w:val="single"/>
        </w:rPr>
        <w:t xml:space="preserve"> 2.05</w:t>
      </w:r>
      <w:r>
        <w:rPr>
          <w:rFonts w:ascii="Times New Roman" w:hAnsi="Times New Roman"/>
          <w:sz w:val="20"/>
        </w:rPr>
        <w:t>,</w:t>
      </w:r>
      <w:r>
        <w:rPr>
          <w:rFonts w:ascii="Times New Roman" w:hAnsi="Times New Roman"/>
          <w:sz w:val="20"/>
          <w:u w:val="single"/>
        </w:rPr>
        <w:t xml:space="preserve"> 2.07</w:t>
      </w:r>
      <w:r>
        <w:rPr>
          <w:rFonts w:ascii="Times New Roman" w:hAnsi="Times New Roman"/>
          <w:sz w:val="20"/>
        </w:rPr>
        <w:t>,</w:t>
      </w:r>
      <w:r>
        <w:rPr>
          <w:rFonts w:ascii="Times New Roman" w:hAnsi="Times New Roman"/>
          <w:sz w:val="20"/>
          <w:u w:val="single"/>
        </w:rPr>
        <w:t xml:space="preserve"> 4.01</w:t>
      </w:r>
      <w:r>
        <w:rPr>
          <w:rFonts w:ascii="Times New Roman" w:hAnsi="Times New Roman"/>
          <w:sz w:val="20"/>
        </w:rPr>
        <w:t>,</w:t>
      </w:r>
      <w:r>
        <w:rPr>
          <w:rFonts w:ascii="Times New Roman" w:hAnsi="Times New Roman"/>
          <w:sz w:val="20"/>
          <w:u w:val="single"/>
        </w:rPr>
        <w:t xml:space="preserve"> 4.02</w:t>
      </w:r>
      <w:r>
        <w:rPr>
          <w:rFonts w:ascii="Times New Roman" w:hAnsi="Times New Roman"/>
          <w:sz w:val="20"/>
        </w:rPr>
        <w:t>,</w:t>
      </w:r>
      <w:r>
        <w:rPr>
          <w:rFonts w:ascii="Times New Roman" w:hAnsi="Times New Roman"/>
          <w:sz w:val="20"/>
          <w:u w:val="single"/>
        </w:rPr>
        <w:t xml:space="preserve"> 4.03</w:t>
      </w:r>
      <w:r>
        <w:rPr>
          <w:rFonts w:ascii="Times New Roman" w:hAnsi="Times New Roman"/>
          <w:sz w:val="20"/>
        </w:rPr>
        <w:t xml:space="preserve"> and</w:t>
      </w:r>
      <w:r>
        <w:rPr>
          <w:rFonts w:ascii="Times New Roman" w:hAnsi="Times New Roman"/>
          <w:sz w:val="20"/>
          <w:u w:val="single"/>
        </w:rPr>
        <w:t xml:space="preserve"> 7.10</w:t>
      </w:r>
      <w:r>
        <w:rPr>
          <w:rFonts w:ascii="Times New Roman" w:hAnsi="Times New Roman"/>
          <w:sz w:val="20"/>
        </w:rPr>
        <w:t>, that shall survive until the date of maturity or redemption date, as the case may be, and</w:t>
      </w:r>
      <w:r>
        <w:rPr>
          <w:rFonts w:ascii="Times New Roman" w:hAnsi="Times New Roman"/>
          <w:sz w:val="20"/>
          <w:u w:val="single"/>
        </w:rPr>
        <w:t xml:space="preserve"> Sections 7.06</w:t>
      </w:r>
      <w:r>
        <w:rPr>
          <w:rFonts w:ascii="Times New Roman" w:hAnsi="Times New Roman"/>
          <w:sz w:val="20"/>
        </w:rPr>
        <w:t> and</w:t>
      </w:r>
      <w:r>
        <w:rPr>
          <w:rFonts w:ascii="Times New Roman" w:hAnsi="Times New Roman"/>
          <w:sz w:val="20"/>
          <w:u w:val="single"/>
        </w:rPr>
        <w:t> 11.05</w:t>
      </w:r>
      <w:r>
        <w:rPr>
          <w:rFonts w:ascii="Times New Roman" w:hAnsi="Times New Roman"/>
          <w:sz w:val="20"/>
        </w:rPr>
        <w:t xml:space="preserve">,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at any time all such Securities of a particular series not heretofore delivered to the Trustee for cancellation or that have not become due and payable as described in</w:t>
      </w:r>
      <w:r>
        <w:rPr>
          <w:rFonts w:ascii="Times New Roman" w:hAnsi="Times New Roman"/>
          <w:sz w:val="20"/>
          <w:u w:val="single"/>
        </w:rPr>
        <w:t> Section 11.01</w:t>
      </w:r>
      <w:r>
        <w:rPr>
          <w:rFonts w:ascii="Times New Roman" w:hAnsi="Times New Roman"/>
          <w:sz w:val="20"/>
        </w:rPr>
        <w:t>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w:t>
      </w:r>
      <w:r>
        <w:rPr>
          <w:rFonts w:ascii="Times New Roman" w:hAnsi="Times New Roman"/>
          <w:sz w:val="20"/>
          <w:u w:val="single"/>
        </w:rPr>
        <w:t> Sections 2.03</w:t>
      </w:r>
      <w:r>
        <w:rPr>
          <w:rFonts w:ascii="Times New Roman" w:hAnsi="Times New Roman"/>
          <w:sz w:val="20"/>
        </w:rPr>
        <w:t>,</w:t>
      </w:r>
      <w:r>
        <w:rPr>
          <w:rFonts w:ascii="Times New Roman" w:hAnsi="Times New Roman"/>
          <w:sz w:val="20"/>
          <w:u w:val="single"/>
        </w:rPr>
        <w:t xml:space="preserve"> 2.05</w:t>
      </w:r>
      <w:r>
        <w:rPr>
          <w:rFonts w:ascii="Times New Roman" w:hAnsi="Times New Roman"/>
          <w:sz w:val="20"/>
        </w:rPr>
        <w:t>,</w:t>
      </w:r>
      <w:r>
        <w:rPr>
          <w:rFonts w:ascii="Times New Roman" w:hAnsi="Times New Roman"/>
          <w:sz w:val="20"/>
          <w:u w:val="single"/>
        </w:rPr>
        <w:t xml:space="preserve"> 2.07</w:t>
      </w:r>
      <w:r>
        <w:rPr>
          <w:rFonts w:ascii="Times New Roman" w:hAnsi="Times New Roman"/>
          <w:sz w:val="20"/>
        </w:rPr>
        <w:t>,</w:t>
      </w:r>
      <w:r>
        <w:rPr>
          <w:rFonts w:ascii="Times New Roman" w:hAnsi="Times New Roman"/>
          <w:sz w:val="20"/>
          <w:u w:val="single"/>
        </w:rPr>
        <w:t xml:space="preserve"> 4.01</w:t>
      </w:r>
      <w:r>
        <w:rPr>
          <w:rFonts w:ascii="Times New Roman" w:hAnsi="Times New Roman"/>
          <w:sz w:val="20"/>
        </w:rPr>
        <w:t>,</w:t>
      </w:r>
      <w:r>
        <w:rPr>
          <w:rFonts w:ascii="Times New Roman" w:hAnsi="Times New Roman"/>
          <w:sz w:val="20"/>
          <w:u w:val="single"/>
        </w:rPr>
        <w:t xml:space="preserve"> 4.02</w:t>
      </w:r>
      <w:r>
        <w:rPr>
          <w:rFonts w:ascii="Times New Roman" w:hAnsi="Times New Roman"/>
          <w:sz w:val="20"/>
        </w:rPr>
        <w:t>,</w:t>
      </w:r>
      <w:r>
        <w:rPr>
          <w:rFonts w:ascii="Times New Roman" w:hAnsi="Times New Roman"/>
          <w:sz w:val="20"/>
          <w:u w:val="single"/>
        </w:rPr>
        <w:t xml:space="preserve"> 4.03</w:t>
      </w:r>
      <w:r>
        <w:rPr>
          <w:rFonts w:ascii="Times New Roman" w:hAnsi="Times New Roman"/>
          <w:sz w:val="20"/>
        </w:rPr>
        <w:t>,</w:t>
      </w:r>
      <w:r>
        <w:rPr>
          <w:rFonts w:ascii="Times New Roman" w:hAnsi="Times New Roman"/>
          <w:sz w:val="20"/>
          <w:u w:val="single"/>
        </w:rPr>
        <w:t xml:space="preserve"> 7.06</w:t>
      </w:r>
      <w:r>
        <w:rPr>
          <w:rFonts w:ascii="Times New Roman" w:hAnsi="Times New Roman"/>
          <w:sz w:val="20"/>
        </w:rPr>
        <w:t>,</w:t>
      </w:r>
      <w:r>
        <w:rPr>
          <w:rFonts w:ascii="Times New Roman" w:hAnsi="Times New Roman"/>
          <w:sz w:val="20"/>
          <w:u w:val="single"/>
        </w:rPr>
        <w:t xml:space="preserve"> 7.10</w:t>
      </w:r>
      <w:r>
        <w:rPr>
          <w:rFonts w:ascii="Times New Roman" w:hAnsi="Times New Roman"/>
          <w:sz w:val="20"/>
        </w:rPr>
        <w:t xml:space="preserve"> and</w:t>
      </w:r>
      <w:r>
        <w:rPr>
          <w:rFonts w:ascii="Times New Roman" w:hAnsi="Times New Roman"/>
          <w:sz w:val="20"/>
          <w:u w:val="single"/>
        </w:rPr>
        <w:t xml:space="preserve"> 11.05</w:t>
      </w:r>
      <w:r>
        <w:rPr>
          <w:rFonts w:ascii="Times New Roman" w:hAnsi="Times New Roman"/>
          <w:sz w:val="20"/>
        </w:rPr>
        <w:t xml:space="preserve">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Thereafter,</w:t>
      </w:r>
      <w:r>
        <w:rPr>
          <w:rFonts w:ascii="Times New Roman" w:hAnsi="Times New Roman"/>
          <w:sz w:val="20"/>
          <w:u w:val="single"/>
        </w:rPr>
        <w:t> Sections 7.06</w:t>
      </w:r>
      <w:r>
        <w:rPr>
          <w:rFonts w:ascii="Times New Roman" w:hAnsi="Times New Roman"/>
          <w:sz w:val="20"/>
        </w:rPr>
        <w:t> and</w:t>
      </w:r>
      <w:r>
        <w:rPr>
          <w:rFonts w:ascii="Times New Roman" w:hAnsi="Times New Roman"/>
          <w:sz w:val="20"/>
          <w:u w:val="single"/>
        </w:rPr>
        <w:t> 11.05</w:t>
      </w:r>
      <w:r>
        <w:rPr>
          <w:rFonts w:ascii="Times New Roman" w:hAnsi="Times New Roman"/>
          <w:sz w:val="20"/>
        </w:rPr>
        <w:t xml:space="preserve">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moneys or Governmental Obligations deposited with the Trustee pursuant to</w:t>
      </w:r>
      <w:r>
        <w:rPr>
          <w:rFonts w:ascii="Times New Roman" w:hAnsi="Times New Roman"/>
          <w:sz w:val="20"/>
          <w:u w:val="single"/>
        </w:rPr>
        <w:t> Sections 11.01</w:t>
      </w:r>
      <w:r>
        <w:rPr>
          <w:rFonts w:ascii="Times New Roman" w:hAnsi="Times New Roman"/>
          <w:sz w:val="20"/>
        </w:rPr>
        <w:t> or</w:t>
      </w:r>
      <w:r>
        <w:rPr>
          <w:rFonts w:ascii="Times New Roman" w:hAnsi="Times New Roman"/>
          <w:sz w:val="20"/>
          <w:u w:val="single"/>
        </w:rPr>
        <w:t> 11.02</w:t>
      </w:r>
      <w:r>
        <w:rPr>
          <w:rFonts w:ascii="Times New Roman" w:hAnsi="Times New Roman"/>
          <w:sz w:val="20"/>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OFFICERS </w:t>
      </w:r>
    </w:p>
    <w:p>
      <w:pPr>
        <w:pStyle w:val="TextBody"/>
        <w:bidi w:val="0"/>
        <w:spacing w:before="0" w:after="0"/>
        <w:jc w:val="center"/>
        <w:rPr>
          <w:rFonts w:ascii="Times New Roman" w:hAnsi="Times New Roman"/>
          <w:b/>
          <w:sz w:val="20"/>
        </w:rPr>
      </w:pPr>
      <w:r>
        <w:rPr>
          <w:rFonts w:ascii="Times New Roman" w:hAnsi="Times New Roman"/>
          <w:b/>
          <w:sz w:val="20"/>
        </w:rPr>
        <w:t xml:space="preserve">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[    ]. Any notice, election, request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w:t>
      </w:r>
      <w:r>
        <w:rPr>
          <w:rFonts w:ascii="Times New Roman" w:hAnsi="Times New Roman"/>
          <w:sz w:val="20"/>
          <w:u w:val="single"/>
        </w:rPr>
        <w:t> Section 13.12</w:t>
      </w:r>
      <w:r>
        <w:rPr>
          <w:rFonts w:ascii="Times New Roman" w:hAnsi="Times New Roman"/>
          <w:sz w:val="20"/>
        </w:rPr>
        <w:t xml:space="preserve">) relating to the proposed action have been complied with and an Opinion of Counsel stating that in the opinion of such counsel all such covenants and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provided pursuant to</w:t>
      </w:r>
      <w:r>
        <w:rPr>
          <w:rFonts w:ascii="Times New Roman" w:hAnsi="Times New Roman"/>
          <w:sz w:val="20"/>
          <w:u w:val="single"/>
        </w:rPr>
        <w:t> Section 2.01</w:t>
      </w:r>
      <w:r>
        <w:rPr>
          <w:rFonts w:ascii="Times New Roman" w:hAnsi="Times New Roman"/>
          <w:sz w:val="20"/>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Sections 310 to 317, inclusive, of the Trust Indenture Act, such imposed duties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w:t>
      </w:r>
      <w:r>
        <w:rPr>
          <w:rFonts w:ascii="Times New Roman" w:hAnsi="Times New Roman"/>
          <w:sz w:val="20"/>
          <w:u w:val="single"/>
        </w:rPr>
        <w:t> Section 13.12</w:t>
      </w:r>
      <w:r>
        <w:rPr>
          <w:rFonts w:ascii="Times New Roman" w:hAnsi="Times New Roman"/>
          <w:sz w:val="20"/>
        </w:rPr>
        <w:t xml:space="preserve">,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Trustee nor the paying agent shall have no responsibility for any calculations hereunder and shall be entitled to conclusively rely on the calculations of the Company without any independent verification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87"/>
        <w:gridCol w:w="158"/>
        <w:gridCol w:w="2537"/>
      </w:tblGrid>
      <w:tr>
        <w:trPr/>
        <w:tc>
          <w:tcPr>
            <w:tcW w:w="138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FULCRUM THERAPEUTICS, INC.</w:t>
            </w:r>
            <w:r>
              <w:rPr>
                <w:rFonts w:ascii="Times New Roman" w:hAnsi="Times New Roman"/>
                <w:sz w:val="20"/>
              </w:rPr>
              <w:t>, as Issuer</w:t>
            </w:r>
          </w:p>
        </w:tc>
      </w:tr>
      <w:tr>
        <w:trPr>
          <w:trHeight w:val="240" w:hRule="atLeast"/>
        </w:trPr>
        <w:tc>
          <w:tcPr>
            <w:tcW w:w="1387" w:type="dxa"/>
            <w:tcBorders/>
            <w:vAlign w:val="center"/>
          </w:tcPr>
          <w:p>
            <w:pPr>
              <w:pStyle w:val="TableContents"/>
              <w:bidi w:val="0"/>
              <w:spacing w:before="0" w:after="283"/>
              <w:jc w:val="left"/>
              <w:rPr>
                <w:sz w:val="4"/>
                <w:szCs w:val="4"/>
              </w:rPr>
            </w:pPr>
            <w:r>
              <w:rPr>
                <w:sz w:val="4"/>
                <w:szCs w:val="4"/>
              </w:rPr>
            </w:r>
          </w:p>
        </w:tc>
        <w:tc>
          <w:tcPr>
            <w:tcW w:w="2695" w:type="dxa"/>
            <w:gridSpan w:val="2"/>
            <w:tcBorders/>
            <w:vAlign w:val="center"/>
          </w:tcPr>
          <w:p>
            <w:pPr>
              <w:pStyle w:val="TableContents"/>
              <w:bidi w:val="0"/>
              <w:spacing w:before="0" w:after="283"/>
              <w:jc w:val="left"/>
              <w:rPr>
                <w:sz w:val="4"/>
                <w:szCs w:val="4"/>
              </w:rPr>
            </w:pPr>
            <w:r>
              <w:rPr>
                <w:sz w:val="4"/>
                <w:szCs w:val="4"/>
              </w:rPr>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37" w:type="dxa"/>
            <w:tcBorders>
              <w:bottom w:val="single" w:sz="2" w:space="0" w:color="000000"/>
            </w:tcBorders>
            <w:tcMar>
              <w:bottom w:w="28" w:type="dxa"/>
            </w:tcMar>
          </w:tcPr>
          <w:p>
            <w:pPr>
              <w:pStyle w:val="TableContents"/>
              <w:bidi w:val="0"/>
              <w:spacing w:before="0" w:after="283"/>
              <w:jc w:val="left"/>
              <w:rPr/>
            </w:pPr>
            <w:r>
              <w:rPr/>
              <w:t> </w:t>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37" w:type="dxa"/>
            <w:tcBorders>
              <w:bottom w:val="single" w:sz="2" w:space="0" w:color="000000"/>
            </w:tcBorders>
            <w:tcMar>
              <w:bottom w:w="28" w:type="dxa"/>
            </w:tcMar>
          </w:tcPr>
          <w:p>
            <w:pPr>
              <w:pStyle w:val="TableContents"/>
              <w:bidi w:val="0"/>
              <w:spacing w:before="0" w:after="283"/>
              <w:jc w:val="left"/>
              <w:rPr/>
            </w:pPr>
            <w:r>
              <w:rPr/>
              <w:t> </w:t>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37"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[TRUSTEE]</w:t>
            </w:r>
            <w:r>
              <w:rPr>
                <w:rFonts w:ascii="Times New Roman" w:hAnsi="Times New Roman"/>
                <w:sz w:val="20"/>
              </w:rPr>
              <w:t>, as Trustee</w:t>
            </w:r>
          </w:p>
        </w:tc>
      </w:tr>
      <w:tr>
        <w:trPr>
          <w:trHeight w:val="240" w:hRule="atLeast"/>
        </w:trPr>
        <w:tc>
          <w:tcPr>
            <w:tcW w:w="1387" w:type="dxa"/>
            <w:tcBorders/>
            <w:vAlign w:val="center"/>
          </w:tcPr>
          <w:p>
            <w:pPr>
              <w:pStyle w:val="TableContents"/>
              <w:bidi w:val="0"/>
              <w:spacing w:before="0" w:after="283"/>
              <w:jc w:val="left"/>
              <w:rPr>
                <w:sz w:val="4"/>
                <w:szCs w:val="4"/>
              </w:rPr>
            </w:pPr>
            <w:r>
              <w:rPr>
                <w:sz w:val="4"/>
                <w:szCs w:val="4"/>
              </w:rPr>
            </w:r>
          </w:p>
        </w:tc>
        <w:tc>
          <w:tcPr>
            <w:tcW w:w="2695" w:type="dxa"/>
            <w:gridSpan w:val="2"/>
            <w:tcBorders/>
            <w:vAlign w:val="center"/>
          </w:tcPr>
          <w:p>
            <w:pPr>
              <w:pStyle w:val="TableContents"/>
              <w:bidi w:val="0"/>
              <w:spacing w:before="0" w:after="283"/>
              <w:jc w:val="left"/>
              <w:rPr>
                <w:sz w:val="4"/>
                <w:szCs w:val="4"/>
              </w:rPr>
            </w:pPr>
            <w:r>
              <w:rPr>
                <w:sz w:val="4"/>
                <w:szCs w:val="4"/>
              </w:rPr>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37" w:type="dxa"/>
            <w:tcBorders>
              <w:bottom w:val="single" w:sz="2" w:space="0" w:color="000000"/>
            </w:tcBorders>
            <w:tcMar>
              <w:bottom w:w="28" w:type="dxa"/>
            </w:tcMar>
          </w:tcPr>
          <w:p>
            <w:pPr>
              <w:pStyle w:val="TableContents"/>
              <w:bidi w:val="0"/>
              <w:spacing w:before="0" w:after="283"/>
              <w:jc w:val="left"/>
              <w:rPr/>
            </w:pPr>
            <w:r>
              <w:rPr/>
              <w:t> </w:t>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37" w:type="dxa"/>
            <w:tcBorders>
              <w:bottom w:val="single" w:sz="2" w:space="0" w:color="000000"/>
            </w:tcBorders>
            <w:tcMar>
              <w:bottom w:w="28" w:type="dxa"/>
            </w:tcMar>
          </w:tcPr>
          <w:p>
            <w:pPr>
              <w:pStyle w:val="TableContents"/>
              <w:bidi w:val="0"/>
              <w:spacing w:before="0" w:after="283"/>
              <w:jc w:val="left"/>
              <w:rPr/>
            </w:pPr>
            <w:r>
              <w:rPr/>
              <w:t> </w:t>
            </w:r>
          </w:p>
        </w:tc>
      </w:tr>
      <w:tr>
        <w:trPr/>
        <w:tc>
          <w:tcPr>
            <w:tcW w:w="138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37"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Form of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TRUST INDENTURE ACT CROSS-REFERENCE TABLE2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25"/>
        <w:gridCol w:w="120"/>
        <w:gridCol w:w="1560"/>
      </w:tblGrid>
      <w:tr>
        <w:trPr/>
        <w:tc>
          <w:tcPr>
            <w:tcW w:w="8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85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 of Trust Indenture Act of 1939, as amended</w:t>
            </w:r>
          </w:p>
        </w:tc>
        <w:tc>
          <w:tcPr>
            <w:tcW w:w="120" w:type="dxa"/>
            <w:tcBorders/>
            <w:vAlign w:val="bottom"/>
          </w:tcPr>
          <w:p>
            <w:pPr>
              <w:pStyle w:val="TableContents"/>
              <w:bidi w:val="0"/>
              <w:spacing w:before="0" w:after="283"/>
              <w:jc w:val="left"/>
              <w:rPr/>
            </w:pPr>
            <w:r>
              <w:rPr/>
              <w:t>  </w:t>
            </w:r>
          </w:p>
        </w:tc>
        <w:tc>
          <w:tcPr>
            <w:tcW w:w="1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 Indenture</w:t>
            </w:r>
          </w:p>
        </w:tc>
      </w:tr>
      <w:tr>
        <w:trPr/>
        <w:tc>
          <w:tcPr>
            <w:tcW w:w="8525" w:type="dxa"/>
            <w:tcBorders/>
          </w:tcPr>
          <w:p>
            <w:pPr>
              <w:pStyle w:val="TableContents"/>
              <w:bidi w:val="0"/>
              <w:spacing w:before="0" w:after="283"/>
              <w:jc w:val="left"/>
              <w:rPr/>
            </w:pPr>
            <w:r>
              <w:rPr/>
              <w:t>310(a)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7.09</w:t>
            </w:r>
          </w:p>
        </w:tc>
      </w:tr>
      <w:tr>
        <w:trPr/>
        <w:tc>
          <w:tcPr>
            <w:tcW w:w="8525" w:type="dxa"/>
            <w:tcBorders/>
          </w:tcPr>
          <w:p>
            <w:pPr>
              <w:pStyle w:val="TableContents"/>
              <w:bidi w:val="0"/>
              <w:spacing w:before="0" w:after="283"/>
              <w:jc w:val="left"/>
              <w:rPr/>
            </w:pPr>
            <w:r>
              <w:rPr/>
              <w:t>310(b)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7.08</w:t>
            </w:r>
          </w:p>
          <w:p>
            <w:pPr>
              <w:pStyle w:val="TableContents"/>
              <w:bidi w:val="0"/>
              <w:spacing w:before="0" w:after="20"/>
              <w:jc w:val="left"/>
              <w:rPr>
                <w:rFonts w:ascii="Times New Roman" w:hAnsi="Times New Roman"/>
                <w:sz w:val="20"/>
              </w:rPr>
            </w:pPr>
            <w:r>
              <w:rPr>
                <w:rFonts w:ascii="Times New Roman" w:hAnsi="Times New Roman"/>
                <w:sz w:val="20"/>
              </w:rPr>
              <w:t>7.10</w:t>
            </w:r>
          </w:p>
        </w:tc>
      </w:tr>
      <w:tr>
        <w:trPr/>
        <w:tc>
          <w:tcPr>
            <w:tcW w:w="8525" w:type="dxa"/>
            <w:tcBorders/>
          </w:tcPr>
          <w:p>
            <w:pPr>
              <w:pStyle w:val="TableContents"/>
              <w:bidi w:val="0"/>
              <w:spacing w:before="0" w:after="283"/>
              <w:jc w:val="left"/>
              <w:rPr/>
            </w:pPr>
            <w:r>
              <w:rPr/>
              <w:t>310(c)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311(a)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7.13</w:t>
            </w:r>
          </w:p>
        </w:tc>
      </w:tr>
      <w:tr>
        <w:trPr/>
        <w:tc>
          <w:tcPr>
            <w:tcW w:w="8525" w:type="dxa"/>
            <w:tcBorders/>
          </w:tcPr>
          <w:p>
            <w:pPr>
              <w:pStyle w:val="TableContents"/>
              <w:bidi w:val="0"/>
              <w:spacing w:before="0" w:after="283"/>
              <w:jc w:val="left"/>
              <w:rPr/>
            </w:pPr>
            <w:r>
              <w:rPr/>
              <w:t>311(b)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7.13</w:t>
            </w:r>
          </w:p>
        </w:tc>
      </w:tr>
      <w:tr>
        <w:trPr/>
        <w:tc>
          <w:tcPr>
            <w:tcW w:w="8525" w:type="dxa"/>
            <w:tcBorders/>
          </w:tcPr>
          <w:p>
            <w:pPr>
              <w:pStyle w:val="TableContents"/>
              <w:bidi w:val="0"/>
              <w:spacing w:before="0" w:after="283"/>
              <w:jc w:val="left"/>
              <w:rPr/>
            </w:pPr>
            <w:r>
              <w:rPr/>
              <w:t>311(c)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312(a)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p>
            <w:pPr>
              <w:pStyle w:val="TableContents"/>
              <w:bidi w:val="0"/>
              <w:spacing w:before="0" w:after="20"/>
              <w:jc w:val="left"/>
              <w:rPr>
                <w:rFonts w:ascii="Times New Roman" w:hAnsi="Times New Roman"/>
                <w:sz w:val="20"/>
              </w:rPr>
            </w:pPr>
            <w:r>
              <w:rPr>
                <w:rFonts w:ascii="Times New Roman" w:hAnsi="Times New Roman"/>
                <w:sz w:val="20"/>
              </w:rPr>
              <w:t>5.02(a)</w:t>
            </w:r>
          </w:p>
        </w:tc>
      </w:tr>
      <w:tr>
        <w:trPr/>
        <w:tc>
          <w:tcPr>
            <w:tcW w:w="8525" w:type="dxa"/>
            <w:tcBorders/>
          </w:tcPr>
          <w:p>
            <w:pPr>
              <w:pStyle w:val="TableContents"/>
              <w:bidi w:val="0"/>
              <w:spacing w:before="0" w:after="283"/>
              <w:jc w:val="left"/>
              <w:rPr/>
            </w:pPr>
            <w:r>
              <w:rPr/>
              <w:t>312(b)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5.02(c)</w:t>
            </w:r>
          </w:p>
        </w:tc>
      </w:tr>
      <w:tr>
        <w:trPr/>
        <w:tc>
          <w:tcPr>
            <w:tcW w:w="8525" w:type="dxa"/>
            <w:tcBorders/>
          </w:tcPr>
          <w:p>
            <w:pPr>
              <w:pStyle w:val="TableContents"/>
              <w:bidi w:val="0"/>
              <w:spacing w:before="0" w:after="283"/>
              <w:jc w:val="left"/>
              <w:rPr/>
            </w:pPr>
            <w:r>
              <w:rPr/>
              <w:t>312(c)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5.02(c)</w:t>
            </w:r>
          </w:p>
        </w:tc>
      </w:tr>
      <w:tr>
        <w:trPr/>
        <w:tc>
          <w:tcPr>
            <w:tcW w:w="8525" w:type="dxa"/>
            <w:tcBorders/>
          </w:tcPr>
          <w:p>
            <w:pPr>
              <w:pStyle w:val="TableContents"/>
              <w:bidi w:val="0"/>
              <w:spacing w:before="0" w:after="283"/>
              <w:jc w:val="left"/>
              <w:rPr/>
            </w:pPr>
            <w:r>
              <w:rPr/>
              <w:t>313(a)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5.04(a)</w:t>
            </w:r>
          </w:p>
        </w:tc>
      </w:tr>
      <w:tr>
        <w:trPr/>
        <w:tc>
          <w:tcPr>
            <w:tcW w:w="8525" w:type="dxa"/>
            <w:tcBorders/>
          </w:tcPr>
          <w:p>
            <w:pPr>
              <w:pStyle w:val="TableContents"/>
              <w:bidi w:val="0"/>
              <w:spacing w:before="0" w:after="283"/>
              <w:jc w:val="left"/>
              <w:rPr/>
            </w:pPr>
            <w:r>
              <w:rPr/>
              <w:t>313(b)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5.04(b)</w:t>
            </w:r>
          </w:p>
        </w:tc>
      </w:tr>
      <w:tr>
        <w:trPr/>
        <w:tc>
          <w:tcPr>
            <w:tcW w:w="8525" w:type="dxa"/>
            <w:tcBorders/>
          </w:tcPr>
          <w:p>
            <w:pPr>
              <w:pStyle w:val="TableContents"/>
              <w:bidi w:val="0"/>
              <w:spacing w:before="0" w:after="283"/>
              <w:jc w:val="left"/>
              <w:rPr/>
            </w:pPr>
            <w:r>
              <w:rPr/>
              <w:t>313(c)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5.04(a)</w:t>
            </w:r>
          </w:p>
          <w:p>
            <w:pPr>
              <w:pStyle w:val="TableContents"/>
              <w:bidi w:val="0"/>
              <w:spacing w:before="0" w:after="20"/>
              <w:jc w:val="left"/>
              <w:rPr>
                <w:rFonts w:ascii="Times New Roman" w:hAnsi="Times New Roman"/>
                <w:sz w:val="20"/>
              </w:rPr>
            </w:pPr>
            <w:r>
              <w:rPr>
                <w:rFonts w:ascii="Times New Roman" w:hAnsi="Times New Roman"/>
                <w:sz w:val="20"/>
              </w:rPr>
              <w:t>5.04(b)</w:t>
            </w:r>
          </w:p>
        </w:tc>
      </w:tr>
      <w:tr>
        <w:trPr/>
        <w:tc>
          <w:tcPr>
            <w:tcW w:w="8525" w:type="dxa"/>
            <w:tcBorders/>
          </w:tcPr>
          <w:p>
            <w:pPr>
              <w:pStyle w:val="TableContents"/>
              <w:bidi w:val="0"/>
              <w:spacing w:before="0" w:after="283"/>
              <w:jc w:val="left"/>
              <w:rPr/>
            </w:pPr>
            <w:r>
              <w:rPr/>
              <w:t>313(d)</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5.04(c)</w:t>
            </w:r>
          </w:p>
        </w:tc>
      </w:tr>
      <w:tr>
        <w:trPr/>
        <w:tc>
          <w:tcPr>
            <w:tcW w:w="8525" w:type="dxa"/>
            <w:tcBorders/>
          </w:tcPr>
          <w:p>
            <w:pPr>
              <w:pStyle w:val="TableContents"/>
              <w:bidi w:val="0"/>
              <w:spacing w:before="0" w:after="283"/>
              <w:jc w:val="left"/>
              <w:rPr/>
            </w:pPr>
            <w:r>
              <w:rPr/>
              <w:t>314(a)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p>
            <w:pPr>
              <w:pStyle w:val="TableContents"/>
              <w:bidi w:val="0"/>
              <w:spacing w:before="0" w:after="20"/>
              <w:jc w:val="left"/>
              <w:rPr>
                <w:rFonts w:ascii="Times New Roman" w:hAnsi="Times New Roman"/>
                <w:sz w:val="20"/>
              </w:rPr>
            </w:pPr>
            <w:r>
              <w:rPr>
                <w:rFonts w:ascii="Times New Roman" w:hAnsi="Times New Roman"/>
                <w:sz w:val="20"/>
              </w:rPr>
              <w:t>13.12</w:t>
            </w:r>
          </w:p>
        </w:tc>
      </w:tr>
      <w:tr>
        <w:trPr/>
        <w:tc>
          <w:tcPr>
            <w:tcW w:w="8525" w:type="dxa"/>
            <w:tcBorders/>
          </w:tcPr>
          <w:p>
            <w:pPr>
              <w:pStyle w:val="TableContents"/>
              <w:bidi w:val="0"/>
              <w:spacing w:before="0" w:after="283"/>
              <w:jc w:val="left"/>
              <w:rPr/>
            </w:pPr>
            <w:r>
              <w:rPr/>
              <w:t>314(b)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314(c)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13.07(a)</w:t>
            </w:r>
          </w:p>
        </w:tc>
      </w:tr>
      <w:tr>
        <w:trPr/>
        <w:tc>
          <w:tcPr>
            <w:tcW w:w="8525" w:type="dxa"/>
            <w:tcBorders/>
          </w:tcPr>
          <w:p>
            <w:pPr>
              <w:pStyle w:val="TableContents"/>
              <w:bidi w:val="0"/>
              <w:spacing w:before="0" w:after="283"/>
              <w:jc w:val="left"/>
              <w:rPr/>
            </w:pPr>
            <w:r>
              <w:rPr/>
              <w:t>314(d)</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314(e)</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13.07(b)</w:t>
            </w:r>
          </w:p>
        </w:tc>
      </w:tr>
      <w:tr>
        <w:trPr/>
        <w:tc>
          <w:tcPr>
            <w:tcW w:w="8525" w:type="dxa"/>
            <w:tcBorders/>
          </w:tcPr>
          <w:p>
            <w:pPr>
              <w:pStyle w:val="TableContents"/>
              <w:bidi w:val="0"/>
              <w:spacing w:before="0" w:after="283"/>
              <w:jc w:val="left"/>
              <w:rPr/>
            </w:pPr>
            <w:r>
              <w:rPr/>
              <w:t>314(f)</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315(a)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7.01(a)</w:t>
            </w:r>
          </w:p>
          <w:p>
            <w:pPr>
              <w:pStyle w:val="TableContents"/>
              <w:bidi w:val="0"/>
              <w:spacing w:before="0" w:after="20"/>
              <w:jc w:val="left"/>
              <w:rPr>
                <w:rFonts w:ascii="Times New Roman" w:hAnsi="Times New Roman"/>
                <w:sz w:val="20"/>
              </w:rPr>
            </w:pPr>
            <w:r>
              <w:rPr>
                <w:rFonts w:ascii="Times New Roman" w:hAnsi="Times New Roman"/>
                <w:sz w:val="20"/>
              </w:rPr>
              <w:t>7.01(b)</w:t>
            </w:r>
          </w:p>
        </w:tc>
      </w:tr>
      <w:tr>
        <w:trPr/>
        <w:tc>
          <w:tcPr>
            <w:tcW w:w="8525" w:type="dxa"/>
            <w:tcBorders/>
          </w:tcPr>
          <w:p>
            <w:pPr>
              <w:pStyle w:val="TableContents"/>
              <w:bidi w:val="0"/>
              <w:spacing w:before="0" w:after="283"/>
              <w:jc w:val="left"/>
              <w:rPr/>
            </w:pPr>
            <w:r>
              <w:rPr/>
              <w:t>315(b)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7.14</w:t>
            </w:r>
          </w:p>
        </w:tc>
      </w:tr>
      <w:tr>
        <w:trPr/>
        <w:tc>
          <w:tcPr>
            <w:tcW w:w="8525" w:type="dxa"/>
            <w:tcBorders/>
          </w:tcPr>
          <w:p>
            <w:pPr>
              <w:pStyle w:val="TableContents"/>
              <w:bidi w:val="0"/>
              <w:spacing w:before="0" w:after="283"/>
              <w:jc w:val="left"/>
              <w:rPr/>
            </w:pPr>
            <w:r>
              <w:rPr/>
              <w:t>315(c)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7.01(a)</w:t>
            </w:r>
          </w:p>
        </w:tc>
      </w:tr>
      <w:tr>
        <w:trPr/>
        <w:tc>
          <w:tcPr>
            <w:tcW w:w="8525" w:type="dxa"/>
            <w:tcBorders/>
          </w:tcPr>
          <w:p>
            <w:pPr>
              <w:pStyle w:val="TableContents"/>
              <w:bidi w:val="0"/>
              <w:spacing w:before="0" w:after="283"/>
              <w:jc w:val="left"/>
              <w:rPr/>
            </w:pPr>
            <w:r>
              <w:rPr/>
              <w:t>315(d)</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7.01(b)</w:t>
            </w:r>
          </w:p>
        </w:tc>
      </w:tr>
      <w:tr>
        <w:trPr/>
        <w:tc>
          <w:tcPr>
            <w:tcW w:w="8525" w:type="dxa"/>
            <w:tcBorders/>
          </w:tcPr>
          <w:p>
            <w:pPr>
              <w:pStyle w:val="TableContents"/>
              <w:bidi w:val="0"/>
              <w:spacing w:before="0" w:after="283"/>
              <w:jc w:val="left"/>
              <w:rPr/>
            </w:pPr>
            <w:r>
              <w:rPr/>
              <w:t>315(e)</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6.07</w:t>
            </w:r>
          </w:p>
        </w:tc>
      </w:tr>
      <w:tr>
        <w:trPr/>
        <w:tc>
          <w:tcPr>
            <w:tcW w:w="8525" w:type="dxa"/>
            <w:tcBorders/>
          </w:tcPr>
          <w:p>
            <w:pPr>
              <w:pStyle w:val="TableContents"/>
              <w:bidi w:val="0"/>
              <w:spacing w:before="0" w:after="283"/>
              <w:jc w:val="left"/>
              <w:rPr/>
            </w:pPr>
            <w:r>
              <w:rPr/>
              <w:t>316(a)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p>
            <w:pPr>
              <w:pStyle w:val="TableContents"/>
              <w:bidi w:val="0"/>
              <w:spacing w:before="0" w:after="20"/>
              <w:jc w:val="left"/>
              <w:rPr>
                <w:rFonts w:ascii="Times New Roman" w:hAnsi="Times New Roman"/>
                <w:sz w:val="20"/>
              </w:rPr>
            </w:pPr>
            <w:r>
              <w:rPr>
                <w:rFonts w:ascii="Times New Roman" w:hAnsi="Times New Roman"/>
                <w:sz w:val="20"/>
              </w:rPr>
              <w:t>8.04</w:t>
            </w:r>
          </w:p>
        </w:tc>
      </w:tr>
      <w:tr>
        <w:trPr/>
        <w:tc>
          <w:tcPr>
            <w:tcW w:w="8525" w:type="dxa"/>
            <w:tcBorders/>
          </w:tcPr>
          <w:p>
            <w:pPr>
              <w:pStyle w:val="TableContents"/>
              <w:bidi w:val="0"/>
              <w:spacing w:before="0" w:after="283"/>
              <w:jc w:val="left"/>
              <w:rPr/>
            </w:pPr>
            <w:r>
              <w:rPr/>
              <w:t>316(b)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6.04</w:t>
            </w:r>
          </w:p>
        </w:tc>
      </w:tr>
      <w:tr>
        <w:trPr/>
        <w:tc>
          <w:tcPr>
            <w:tcW w:w="8525" w:type="dxa"/>
            <w:tcBorders/>
          </w:tcPr>
          <w:p>
            <w:pPr>
              <w:pStyle w:val="TableContents"/>
              <w:bidi w:val="0"/>
              <w:spacing w:before="0" w:after="283"/>
              <w:jc w:val="left"/>
              <w:rPr/>
            </w:pPr>
            <w:r>
              <w:rPr/>
              <w:t>316(c)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8.01</w:t>
            </w:r>
          </w:p>
        </w:tc>
      </w:tr>
      <w:tr>
        <w:trPr/>
        <w:tc>
          <w:tcPr>
            <w:tcW w:w="8525" w:type="dxa"/>
            <w:tcBorders/>
          </w:tcPr>
          <w:p>
            <w:pPr>
              <w:pStyle w:val="TableContents"/>
              <w:bidi w:val="0"/>
              <w:spacing w:before="0" w:after="283"/>
              <w:jc w:val="left"/>
              <w:rPr/>
            </w:pPr>
            <w:r>
              <w:rPr/>
              <w:t>317(a)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6.02</w:t>
            </w:r>
          </w:p>
        </w:tc>
      </w:tr>
      <w:tr>
        <w:trPr/>
        <w:tc>
          <w:tcPr>
            <w:tcW w:w="8525" w:type="dxa"/>
            <w:tcBorders/>
          </w:tcPr>
          <w:p>
            <w:pPr>
              <w:pStyle w:val="TableContents"/>
              <w:bidi w:val="0"/>
              <w:spacing w:before="0" w:after="283"/>
              <w:jc w:val="left"/>
              <w:rPr/>
            </w:pPr>
            <w:r>
              <w:rPr/>
              <w:t>317(b)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4.03</w:t>
            </w:r>
          </w:p>
        </w:tc>
      </w:tr>
      <w:tr>
        <w:trPr/>
        <w:tc>
          <w:tcPr>
            <w:tcW w:w="8525" w:type="dxa"/>
            <w:tcBorders/>
          </w:tcPr>
          <w:p>
            <w:pPr>
              <w:pStyle w:val="TableContents"/>
              <w:bidi w:val="0"/>
              <w:spacing w:before="0" w:after="283"/>
              <w:jc w:val="left"/>
              <w:rPr/>
            </w:pPr>
            <w:r>
              <w:rPr/>
              <w:t>318(a)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13.09</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right"/>
        <w:rPr>
          <w:rFonts w:ascii="Times New Roman" w:hAnsi="Times New Roman"/>
          <w:b/>
          <w:sz w:val="20"/>
        </w:rPr>
      </w:pPr>
      <w:bookmarkStart w:id="37" w:name="d785884dex42.htm"/>
      <w:bookmarkStart w:id="38" w:name="ksd785884dex42"/>
      <w:bookmarkEnd w:id="37"/>
      <w:bookmarkEnd w:id="38"/>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b/>
          <w:sz w:val="20"/>
        </w:rPr>
        <w:t>Dated as of [</w:t>
      </w:r>
      <w:r>
        <w:rPr>
          <w:rFonts w:ascii="Times New Roman" w:hAnsi="Times New Roman"/>
          <w:sz w:val="20"/>
        </w:rPr>
        <w:t></w:t>
      </w:r>
      <w:r>
        <w:rPr>
          <w:rFonts w:ascii="Times New Roman" w:hAnsi="Times New Roman"/>
          <w:b/>
          <w:sz w:val="20"/>
        </w:rPr>
        <w:t>], 202[</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
        <w:gridCol w:w="146"/>
        <w:gridCol w:w="1418"/>
        <w:gridCol w:w="146"/>
        <w:gridCol w:w="7562"/>
        <w:gridCol w:w="146"/>
        <w:gridCol w:w="60"/>
        <w:gridCol w:w="261"/>
        <w:gridCol w:w="63"/>
      </w:tblGrid>
      <w:tr>
        <w:trPr/>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56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75" w:type="dxa"/>
            <w:gridSpan w:val="5"/>
            <w:tcBorders/>
          </w:tcPr>
          <w:p>
            <w:pPr>
              <w:pStyle w:val="TableContents"/>
              <w:bidi w:val="0"/>
              <w:spacing w:before="0" w:after="283"/>
              <w:jc w:val="left"/>
              <w:rPr/>
            </w:pPr>
            <w:r>
              <w:rPr>
                <w:b/>
              </w:rPr>
              <w:t>ARTICLE</w:t>
            </w:r>
            <w:r>
              <w:rPr/>
              <w:t> </w:t>
            </w:r>
            <w:r>
              <w:rPr>
                <w:b/>
              </w:rPr>
              <w:t>1</w:t>
            </w:r>
            <w:r>
              <w:rPr/>
              <w:t> DEFINITIONS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03" w:type="dxa"/>
            <w:tcBorders/>
            <w:vAlign w:val="center"/>
          </w:tcPr>
          <w:p>
            <w:pPr>
              <w:pStyle w:val="TableContents"/>
              <w:bidi w:val="0"/>
              <w:spacing w:before="0" w:after="283"/>
              <w:jc w:val="left"/>
              <w:rPr>
                <w:sz w:val="4"/>
                <w:szCs w:val="4"/>
              </w:rPr>
            </w:pPr>
            <w:r>
              <w:rPr>
                <w:sz w:val="4"/>
                <w:szCs w:val="4"/>
              </w:rPr>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7708"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1.01</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Definitions of Terms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tcPr>
          <w:p>
            <w:pPr>
              <w:pStyle w:val="TableContents"/>
              <w:bidi w:val="0"/>
              <w:spacing w:before="0" w:after="283"/>
              <w:jc w:val="left"/>
              <w:rPr/>
            </w:pPr>
            <w:r>
              <w:rPr>
                <w:b/>
              </w:rPr>
              <w:t>ARTICLE 2</w:t>
            </w:r>
            <w:r>
              <w:rPr/>
              <w:t> ISSUE, DESCRIPTION, TERMS, EXECUTION, REGISTRATION AND EXCHANGE OF SECURITIES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403" w:type="dxa"/>
            <w:tcBorders/>
            <w:vAlign w:val="center"/>
          </w:tcPr>
          <w:p>
            <w:pPr>
              <w:pStyle w:val="TableContents"/>
              <w:bidi w:val="0"/>
              <w:spacing w:before="0" w:after="283"/>
              <w:jc w:val="left"/>
              <w:rPr>
                <w:sz w:val="4"/>
                <w:szCs w:val="4"/>
              </w:rPr>
            </w:pPr>
            <w:r>
              <w:rPr>
                <w:sz w:val="4"/>
                <w:szCs w:val="4"/>
              </w:rPr>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7708"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2.01</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Designation and Terms of Securities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2.02</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Form of Securities and Trustees Certificate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2.03</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Denominations: Provisions for Payment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2.04</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Execution and Authentications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2.05</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Registration of Transfer and Exchange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2.06</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Temporary Securities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2.07</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Mutilated, Destroyed, Lost or Stolen Securities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2.08</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Cancellation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2.09</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Benefits of Indenture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2.10</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Authenticating Agent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2.11</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Global Securities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tcPr>
          <w:p>
            <w:pPr>
              <w:pStyle w:val="TableContents"/>
              <w:bidi w:val="0"/>
              <w:spacing w:before="0" w:after="283"/>
              <w:jc w:val="left"/>
              <w:rPr/>
            </w:pPr>
            <w:r>
              <w:rPr>
                <w:b/>
              </w:rPr>
              <w:t>ARTICLE 3</w:t>
            </w:r>
            <w:r>
              <w:rPr/>
              <w:t> REDEMPTION OF SECURITIES AND SINKING FUND PROVISIONS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403" w:type="dxa"/>
            <w:tcBorders/>
            <w:vAlign w:val="center"/>
          </w:tcPr>
          <w:p>
            <w:pPr>
              <w:pStyle w:val="TableContents"/>
              <w:bidi w:val="0"/>
              <w:spacing w:before="0" w:after="283"/>
              <w:jc w:val="left"/>
              <w:rPr>
                <w:sz w:val="4"/>
                <w:szCs w:val="4"/>
              </w:rPr>
            </w:pPr>
            <w:r>
              <w:rPr>
                <w:sz w:val="4"/>
                <w:szCs w:val="4"/>
              </w:rPr>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7708"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3.01</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Redemption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3.02</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Notice of Redemption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3.03</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Payment Upon Redemption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3.04</w:t>
            </w:r>
          </w:p>
        </w:tc>
        <w:tc>
          <w:tcPr>
            <w:tcW w:w="146" w:type="dxa"/>
            <w:tcBorders/>
            <w:vAlign w:val="bottom"/>
          </w:tcPr>
          <w:p>
            <w:pPr>
              <w:pStyle w:val="TableContents"/>
              <w:bidi w:val="0"/>
              <w:spacing w:before="0" w:after="283"/>
              <w:jc w:val="left"/>
              <w:rPr/>
            </w:pPr>
            <w:r>
              <w:rPr/>
              <w:t>  </w:t>
            </w:r>
          </w:p>
        </w:tc>
        <w:tc>
          <w:tcPr>
            <w:tcW w:w="7562" w:type="dxa"/>
            <w:tcBorders/>
            <w:vAlign w:val="bottom"/>
          </w:tcPr>
          <w:p>
            <w:pPr>
              <w:pStyle w:val="TableContents"/>
              <w:bidi w:val="0"/>
              <w:spacing w:before="0" w:after="283"/>
              <w:jc w:val="left"/>
              <w:rPr/>
            </w:pPr>
            <w:r>
              <w:rPr/>
              <w:t>Sinking Fund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3.05</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Satisfaction of Sinking Fund Payments with Securities</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3.06</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Redemption of Securities for Sinking Fund</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rHeight w:val="120" w:hRule="atLeast"/>
        </w:trPr>
        <w:tc>
          <w:tcPr>
            <w:tcW w:w="9675" w:type="dxa"/>
            <w:gridSpan w:val="5"/>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5"/>
            <w:tcBorders/>
          </w:tcPr>
          <w:p>
            <w:pPr>
              <w:pStyle w:val="TableContents"/>
              <w:bidi w:val="0"/>
              <w:spacing w:before="0" w:after="283"/>
              <w:jc w:val="left"/>
              <w:rPr/>
            </w:pPr>
            <w:r>
              <w:rPr>
                <w:b/>
              </w:rPr>
              <w:t>ARTICLE 4</w:t>
            </w:r>
            <w:r>
              <w:rPr/>
              <w:t> COVENANTS</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rHeight w:val="120" w:hRule="atLeast"/>
        </w:trPr>
        <w:tc>
          <w:tcPr>
            <w:tcW w:w="403" w:type="dxa"/>
            <w:tcBorders/>
            <w:vAlign w:val="center"/>
          </w:tcPr>
          <w:p>
            <w:pPr>
              <w:pStyle w:val="TableContents"/>
              <w:bidi w:val="0"/>
              <w:spacing w:before="0" w:after="283"/>
              <w:jc w:val="left"/>
              <w:rPr>
                <w:sz w:val="4"/>
                <w:szCs w:val="4"/>
              </w:rPr>
            </w:pPr>
            <w:r>
              <w:rPr>
                <w:sz w:val="4"/>
                <w:szCs w:val="4"/>
              </w:rPr>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7708"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4.01</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Payment of Principal, Premium and Interest</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4.02</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Maintenance of Office or Agency</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14</w:t>
            </w:r>
          </w:p>
        </w:tc>
        <w:tc>
          <w:tcPr>
            <w:tcW w:w="63" w:type="dxa"/>
            <w:tcBorders/>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4.03</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Paying Agents</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14</w:t>
            </w:r>
          </w:p>
        </w:tc>
        <w:tc>
          <w:tcPr>
            <w:tcW w:w="63" w:type="dxa"/>
            <w:tcBorders/>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4.04</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Appointment to Fill Vacancy in Office of Trustee</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c>
          <w:tcPr>
            <w:tcW w:w="403" w:type="dxa"/>
            <w:tcBorders/>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8" w:type="dxa"/>
            <w:tcBorders/>
          </w:tcPr>
          <w:p>
            <w:pPr>
              <w:pStyle w:val="TableContents"/>
              <w:bidi w:val="0"/>
              <w:spacing w:before="0" w:after="283"/>
              <w:jc w:val="left"/>
              <w:rPr/>
            </w:pPr>
            <w:r>
              <w:rPr/>
              <w:t>Section 4.05</w:t>
            </w:r>
          </w:p>
        </w:tc>
        <w:tc>
          <w:tcPr>
            <w:tcW w:w="146" w:type="dxa"/>
            <w:tcBorders/>
            <w:vAlign w:val="bottom"/>
          </w:tcPr>
          <w:p>
            <w:pPr>
              <w:pStyle w:val="TableContents"/>
              <w:bidi w:val="0"/>
              <w:spacing w:before="0" w:after="283"/>
              <w:jc w:val="left"/>
              <w:rPr/>
            </w:pPr>
            <w:r>
              <w:rPr/>
              <w:t>  </w:t>
            </w:r>
          </w:p>
        </w:tc>
        <w:tc>
          <w:tcPr>
            <w:tcW w:w="7562" w:type="dxa"/>
            <w:tcBorders/>
          </w:tcPr>
          <w:p>
            <w:pPr>
              <w:pStyle w:val="TableContents"/>
              <w:bidi w:val="0"/>
              <w:spacing w:before="0" w:after="283"/>
              <w:jc w:val="left"/>
              <w:rPr/>
            </w:pPr>
            <w:r>
              <w:rPr/>
              <w:t>Compliance with Consolidation Provisions</w:t>
            </w:r>
          </w:p>
        </w:tc>
        <w:tc>
          <w:tcPr>
            <w:tcW w:w="14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1"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of Contents does not constitute part of the Indenture and shall not have any bearing on the interpretation of any of its terms or provisions.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15"/>
        <w:gridCol w:w="130"/>
        <w:gridCol w:w="1399"/>
        <w:gridCol w:w="130"/>
        <w:gridCol w:w="7718"/>
        <w:gridCol w:w="130"/>
        <w:gridCol w:w="60"/>
        <w:gridCol w:w="260"/>
        <w:gridCol w:w="63"/>
      </w:tblGrid>
      <w:tr>
        <w:trPr/>
        <w:tc>
          <w:tcPr>
            <w:tcW w:w="31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71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5</w:t>
            </w:r>
            <w:r>
              <w:rPr/>
              <w:t> SECURITYHOLDERS LISTS AND REPORTS BY THE COMPANY AND THE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5.01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Company to Furnish Trustee Names and Addresses of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5.02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Preservation Of Information; Communications With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5.03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Reports by the Company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5.04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Reports by the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6</w:t>
            </w:r>
            <w:r>
              <w:rPr/>
              <w:t> REMEDIES OF THE TRUSTEE AND SECURITYHOLDERS ON EVENT OF DEFAULT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Events of Default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Collection of Indebtedness and Suits for Enforcement by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Application of Moneys Collected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Limitation on Suits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6.05</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Rights and Remedies Cumulative; Delay or Omission Not Waiver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6.06</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Control by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6.07</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Undertaking to Pay Costs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7</w:t>
            </w:r>
            <w:r>
              <w:rPr/>
              <w:t> CONCERNING THE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Certain Duties and Responsibilities of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Certain Rights of Trustee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Trustee Not Responsible for Recitals or Issuance or Securities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May Hold Securities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7.05</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Moneys Held in Trust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7.06</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Compensation and Reimbursement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7.07</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Reliance on Officers Certificate or Opinion of Counsel</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7.08</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Disqualification; Conflicting Interests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7.09</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Corporate Trustee Required; Eligibility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7.10</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Resignation and Removal; Appointment of Successor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7.11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Acceptance of Appointment By Successor</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7.12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Merger, Conversion, Consolidation or Succession to Business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7.13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Preferential Collection of Claims Against the Company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7.14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Notice of Default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8</w:t>
            </w:r>
            <w:r>
              <w:rPr/>
              <w:t> CONCERNING THE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8.01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Evidence of Action by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8.02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Proof of Execution by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8.03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Who May be Deemed Owners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8.04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Certain Securities Owned by Company Disregarded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8.05</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Actions Binding on Future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9</w:t>
            </w:r>
            <w:r>
              <w:rPr/>
              <w:t> SUPPLEMENTAL INDENTURES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9.01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Supplemental Indentures Without the Consent of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9.02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Supplemental Indentures With Consent of Securityholders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9.03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Effect of Supplemental Indentures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9.04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Securities Affected by Supplemental Indentures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9.05</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Execution of Supplemental Indentures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10</w:t>
            </w:r>
            <w:r>
              <w:rPr/>
              <w:t> SUCCESSOR ENTITY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10.01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Company May Consolidate, Etc</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10.02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Successor Entity Substituted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11</w:t>
            </w:r>
            <w:r>
              <w:rPr/>
              <w:t> SATISFACTION AND DISCHARGE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11.01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Satisfaction and Discharge of Indenture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11.02</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Discharge of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11.03</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Deposited Moneys to be Held in Trust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11.04</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Payment of Moneys Held by Paying Agents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11.05</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Repayment to Company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692" w:type="dxa"/>
            <w:gridSpan w:val="5"/>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9692" w:type="dxa"/>
            <w:gridSpan w:val="5"/>
            <w:tcBorders/>
          </w:tcPr>
          <w:p>
            <w:pPr>
              <w:pStyle w:val="TableContents"/>
              <w:bidi w:val="0"/>
              <w:spacing w:before="0" w:after="283"/>
              <w:jc w:val="left"/>
              <w:rPr/>
            </w:pPr>
            <w:r>
              <w:rPr>
                <w:b/>
              </w:rPr>
              <w:t>ARTICLE 12</w:t>
            </w:r>
            <w:r>
              <w:rPr/>
              <w:t> IMMUNITY OF INCORPORATORS, STOCKHOLDERS, OFFICERS AND DIRECTORS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315" w:type="dxa"/>
            <w:tcBorders/>
            <w:vAlign w:val="center"/>
          </w:tcPr>
          <w:p>
            <w:pPr>
              <w:pStyle w:val="TableContents"/>
              <w:bidi w:val="0"/>
              <w:spacing w:before="0" w:after="283"/>
              <w:jc w:val="left"/>
              <w:rPr>
                <w:sz w:val="4"/>
                <w:szCs w:val="4"/>
              </w:rPr>
            </w:pPr>
            <w:r>
              <w:rPr>
                <w:sz w:val="4"/>
                <w:szCs w:val="4"/>
              </w:rPr>
            </w:r>
          </w:p>
        </w:tc>
        <w:tc>
          <w:tcPr>
            <w:tcW w:w="1529" w:type="dxa"/>
            <w:gridSpan w:val="2"/>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13" w:type="dxa"/>
            <w:gridSpan w:val="4"/>
            <w:tcBorders/>
            <w:vAlign w:val="center"/>
          </w:tcPr>
          <w:p>
            <w:pPr>
              <w:pStyle w:val="TableContents"/>
              <w:bidi w:val="0"/>
              <w:spacing w:before="0" w:after="283"/>
              <w:jc w:val="left"/>
              <w:rPr>
                <w:sz w:val="4"/>
                <w:szCs w:val="4"/>
              </w:rPr>
            </w:pPr>
            <w:r>
              <w:rPr>
                <w:sz w:val="4"/>
                <w:szCs w:val="4"/>
              </w:rPr>
            </w:r>
          </w:p>
        </w:tc>
      </w:tr>
      <w:tr>
        <w:trPr/>
        <w:tc>
          <w:tcPr>
            <w:tcW w:w="315"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left"/>
              <w:rPr/>
            </w:pPr>
            <w:r>
              <w:rPr/>
              <w:t>Section 12.01</w:t>
            </w:r>
          </w:p>
        </w:tc>
        <w:tc>
          <w:tcPr>
            <w:tcW w:w="130" w:type="dxa"/>
            <w:tcBorders/>
            <w:vAlign w:val="bottom"/>
          </w:tcPr>
          <w:p>
            <w:pPr>
              <w:pStyle w:val="TableContents"/>
              <w:bidi w:val="0"/>
              <w:spacing w:before="0" w:after="283"/>
              <w:jc w:val="left"/>
              <w:rPr/>
            </w:pPr>
            <w:r>
              <w:rPr/>
              <w:t>  </w:t>
            </w:r>
          </w:p>
        </w:tc>
        <w:tc>
          <w:tcPr>
            <w:tcW w:w="7718" w:type="dxa"/>
            <w:tcBorders/>
            <w:vAlign w:val="bottom"/>
          </w:tcPr>
          <w:p>
            <w:pPr>
              <w:pStyle w:val="TableContents"/>
              <w:bidi w:val="0"/>
              <w:spacing w:before="0" w:after="283"/>
              <w:jc w:val="left"/>
              <w:rPr/>
            </w:pPr>
            <w:r>
              <w:rPr/>
              <w:t>No Recourse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81"/>
        <w:gridCol w:w="142"/>
        <w:gridCol w:w="1485"/>
        <w:gridCol w:w="142"/>
        <w:gridCol w:w="7530"/>
        <w:gridCol w:w="142"/>
        <w:gridCol w:w="60"/>
        <w:gridCol w:w="260"/>
        <w:gridCol w:w="63"/>
      </w:tblGrid>
      <w:tr>
        <w:trPr/>
        <w:tc>
          <w:tcPr>
            <w:tcW w:w="38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53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80" w:type="dxa"/>
            <w:gridSpan w:val="5"/>
            <w:tcBorders/>
          </w:tcPr>
          <w:p>
            <w:pPr>
              <w:pStyle w:val="TableContents"/>
              <w:bidi w:val="0"/>
              <w:spacing w:before="0" w:after="283"/>
              <w:jc w:val="left"/>
              <w:rPr/>
            </w:pPr>
            <w:r>
              <w:rPr>
                <w:b/>
              </w:rPr>
              <w:t>ARTICLE 13</w:t>
            </w:r>
            <w:r>
              <w:rPr/>
              <w:t> MISCELLANEOUS PROVISIONS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381" w:type="dxa"/>
            <w:tcBorders/>
            <w:vAlign w:val="center"/>
          </w:tcPr>
          <w:p>
            <w:pPr>
              <w:pStyle w:val="TableContents"/>
              <w:bidi w:val="0"/>
              <w:spacing w:before="0" w:after="283"/>
              <w:jc w:val="left"/>
              <w:rPr>
                <w:sz w:val="4"/>
                <w:szCs w:val="4"/>
              </w:rPr>
            </w:pPr>
            <w:r>
              <w:rPr>
                <w:sz w:val="4"/>
                <w:szCs w:val="4"/>
              </w:rPr>
            </w:r>
          </w:p>
        </w:tc>
        <w:tc>
          <w:tcPr>
            <w:tcW w:w="1627" w:type="dxa"/>
            <w:gridSpan w:val="2"/>
            <w:tcBorders/>
            <w:vAlign w:val="center"/>
          </w:tcPr>
          <w:p>
            <w:pPr>
              <w:pStyle w:val="TableContents"/>
              <w:bidi w:val="0"/>
              <w:spacing w:before="0" w:after="283"/>
              <w:jc w:val="left"/>
              <w:rPr>
                <w:sz w:val="4"/>
                <w:szCs w:val="4"/>
              </w:rPr>
            </w:pPr>
            <w:r>
              <w:rPr>
                <w:sz w:val="4"/>
                <w:szCs w:val="4"/>
              </w:rPr>
            </w:r>
          </w:p>
        </w:tc>
        <w:tc>
          <w:tcPr>
            <w:tcW w:w="7672" w:type="dxa"/>
            <w:gridSpan w:val="2"/>
            <w:tcBorders/>
            <w:vAlign w:val="center"/>
          </w:tcPr>
          <w:p>
            <w:pPr>
              <w:pStyle w:val="TableContents"/>
              <w:bidi w:val="0"/>
              <w:spacing w:before="0" w:after="283"/>
              <w:jc w:val="left"/>
              <w:rPr>
                <w:sz w:val="4"/>
                <w:szCs w:val="4"/>
              </w:rPr>
            </w:pPr>
            <w:r>
              <w:rPr>
                <w:sz w:val="4"/>
                <w:szCs w:val="4"/>
              </w:rPr>
            </w:r>
          </w:p>
        </w:tc>
        <w:tc>
          <w:tcPr>
            <w:tcW w:w="525" w:type="dxa"/>
            <w:gridSpan w:val="4"/>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13.01</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Effect on Successors and Assigns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13.02</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Actions by Successor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13.03</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Surrender of Company Powers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13.04</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Notices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13.05</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Governing Law; Jury Trial Waiver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13.06</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Treatment of Securities as Debt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13.07</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Certificates and Opinions as to Conditions Precedent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13.08</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Payments on Business Days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13.09</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Conflict with Trust Indenture Act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13.10</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Counterparts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13.11</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Separability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13.12</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Compliance Certificates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13.13</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USA PATRIOT ACT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381"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85" w:type="dxa"/>
            <w:tcBorders/>
          </w:tcPr>
          <w:p>
            <w:pPr>
              <w:pStyle w:val="TableContents"/>
              <w:bidi w:val="0"/>
              <w:spacing w:before="0" w:after="283"/>
              <w:jc w:val="left"/>
              <w:rPr/>
            </w:pPr>
            <w:r>
              <w:rPr/>
              <w:t>Section 13.14</w:t>
            </w:r>
          </w:p>
        </w:tc>
        <w:tc>
          <w:tcPr>
            <w:tcW w:w="142" w:type="dxa"/>
            <w:tcBorders/>
            <w:vAlign w:val="bottom"/>
          </w:tcPr>
          <w:p>
            <w:pPr>
              <w:pStyle w:val="TableContents"/>
              <w:bidi w:val="0"/>
              <w:spacing w:before="0" w:after="283"/>
              <w:jc w:val="left"/>
              <w:rPr/>
            </w:pPr>
            <w:r>
              <w:rPr/>
              <w:t>  </w:t>
            </w:r>
          </w:p>
        </w:tc>
        <w:tc>
          <w:tcPr>
            <w:tcW w:w="7530" w:type="dxa"/>
            <w:tcBorders/>
            <w:vAlign w:val="bottom"/>
          </w:tcPr>
          <w:p>
            <w:pPr>
              <w:pStyle w:val="TableContents"/>
              <w:bidi w:val="0"/>
              <w:spacing w:before="0" w:after="283"/>
              <w:jc w:val="left"/>
              <w:rPr/>
            </w:pPr>
            <w:r>
              <w:rPr/>
              <w:t>Calculations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240" w:hRule="atLeast"/>
        </w:trPr>
        <w:tc>
          <w:tcPr>
            <w:tcW w:w="9680" w:type="dxa"/>
            <w:gridSpan w:val="5"/>
            <w:tcBorders/>
            <w:vAlign w:val="center"/>
          </w:tcPr>
          <w:p>
            <w:pPr>
              <w:pStyle w:val="TableContents"/>
              <w:bidi w:val="0"/>
              <w:spacing w:before="0" w:after="283"/>
              <w:jc w:val="left"/>
              <w:rPr>
                <w:sz w:val="4"/>
                <w:szCs w:val="4"/>
              </w:rPr>
            </w:pPr>
            <w:r>
              <w:rPr>
                <w:sz w:val="4"/>
                <w:szCs w:val="4"/>
              </w:rPr>
            </w:r>
          </w:p>
        </w:tc>
        <w:tc>
          <w:tcPr>
            <w:tcW w:w="525" w:type="dxa"/>
            <w:gridSpan w:val="4"/>
            <w:tcBorders/>
            <w:vAlign w:val="center"/>
          </w:tcPr>
          <w:p>
            <w:pPr>
              <w:pStyle w:val="TableContents"/>
              <w:bidi w:val="0"/>
              <w:spacing w:before="0" w:after="283"/>
              <w:jc w:val="left"/>
              <w:rPr>
                <w:sz w:val="4"/>
                <w:szCs w:val="4"/>
              </w:rPr>
            </w:pPr>
            <w:r>
              <w:rPr>
                <w:sz w:val="4"/>
                <w:szCs w:val="4"/>
              </w:rPr>
            </w:r>
          </w:p>
        </w:tc>
      </w:tr>
      <w:tr>
        <w:trPr/>
        <w:tc>
          <w:tcPr>
            <w:tcW w:w="9680" w:type="dxa"/>
            <w:gridSpan w:val="5"/>
            <w:tcBorders/>
          </w:tcPr>
          <w:p>
            <w:pPr>
              <w:pStyle w:val="TableContents"/>
              <w:bidi w:val="0"/>
              <w:spacing w:before="0" w:after="283"/>
              <w:jc w:val="left"/>
              <w:rPr/>
            </w:pPr>
            <w:r>
              <w:rPr/>
              <w:t>TRUST INDENTURE ACT CROSS-REFERENCE TABLE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 202[] , among </w:t>
      </w:r>
      <w:r>
        <w:rPr>
          <w:rFonts w:ascii="Times New Roman" w:hAnsi="Times New Roman"/>
          <w:b/>
          <w:sz w:val="20"/>
        </w:rPr>
        <w:t>FULCRUM THERAPEUTICS,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and [</w:t>
      </w:r>
      <w:r>
        <w:rPr>
          <w:rFonts w:ascii="Times New Roman" w:hAnsi="Times New Roman"/>
          <w:b/>
          <w:sz w:val="20"/>
        </w:rPr>
        <w:t>TRUSTEE</w:t>
      </w:r>
      <w:r>
        <w:rPr>
          <w:rFonts w:ascii="Times New Roman" w:hAnsi="Times New Roman"/>
          <w:sz w:val="20"/>
        </w:rPr>
        <w:t>] as trustee (the </w:t>
      </w:r>
      <w:r>
        <w:rPr>
          <w:rFonts w:ascii="Times New Roman" w:hAnsi="Times New Roman"/>
          <w:b/>
          <w:sz w:val="20"/>
        </w:rPr>
        <w:t>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for its lawful corporate purposes, the Company has duly authorized the execution and delivery of this Indenture to provide for the issuance of subordinated debt securities (hereinafter referred to as the </w:t>
      </w:r>
      <w:r>
        <w:rPr>
          <w:rFonts w:ascii="Times New Roman" w:hAnsi="Times New Roman"/>
          <w:b/>
          <w:sz w:val="20"/>
        </w:rPr>
        <w:t>Securities</w:t>
      </w:r>
      <w:r>
        <w:rPr>
          <w:rFonts w:ascii="Times New Roman" w:hAnsi="Times New Roman"/>
          <w:sz w:val="20"/>
        </w:rPr>
        <w:t xml:space="preserve">),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and binding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Authenticating Agent</w:t>
      </w:r>
      <w:r>
        <w:rPr>
          <w:rFonts w:ascii="Times New Roman" w:hAnsi="Times New Roman"/>
          <w:sz w:val="20"/>
        </w:rPr>
        <w:t> means an authenticating agent with respect to all or any of the series of Securities appointed by the Trustee pursuant to</w:t>
      </w:r>
      <w:r>
        <w:rPr>
          <w:rFonts w:ascii="Times New Roman" w:hAnsi="Times New Roman"/>
          <w:sz w:val="20"/>
          <w:u w:val="single"/>
        </w:rPr>
        <w:t> Section 2.10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at a place of payment, are authorized or obligated by law, executive order or regulation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means Fulcrum Therapeutics, Inc., a corporation duly organized and existing under the laws of the State of Delaware, and, subject to the provisions of</w:t>
      </w:r>
      <w:r>
        <w:rPr>
          <w:rFonts w:ascii="Times New Roman" w:hAnsi="Times New Roman"/>
          <w:sz w:val="20"/>
          <w:u w:val="single"/>
        </w:rPr>
        <w:t> Article 10</w:t>
      </w:r>
      <w:r>
        <w:rPr>
          <w:rFonts w:ascii="Times New Roman" w:hAnsi="Times New Roman"/>
          <w:sz w:val="20"/>
        </w:rPr>
        <w:t xml:space="preserve">, shall also include its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 Order</w:t>
      </w:r>
      <w:r>
        <w:rPr>
          <w:rFonts w:ascii="Times New Roman" w:hAnsi="Times New Roman"/>
          <w:sz w:val="20"/>
        </w:rPr>
        <w:t xml:space="preserve"> means a written order of the Company, signed by an Officer of the Company,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office of the Trustee at which, at any particular time, its corporate trust business shall be administered, which office at the date hereof is located at [].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Defaulted Interest</w:t>
      </w:r>
      <w:r>
        <w:rPr>
          <w:rFonts w:ascii="Times New Roman" w:hAnsi="Times New Roman"/>
          <w:sz w:val="20"/>
        </w:rPr>
        <w:t> has the meaning set forth in</w:t>
      </w:r>
      <w:r>
        <w:rPr>
          <w:rFonts w:ascii="Times New Roman" w:hAnsi="Times New Roman"/>
          <w:sz w:val="20"/>
          <w:u w:val="single"/>
        </w:rPr>
        <w:t> 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Depositary</w:t>
      </w:r>
      <w:r>
        <w:rPr>
          <w:rFonts w:ascii="Times New Roman" w:hAnsi="Times New Roman"/>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w:t>
      </w:r>
      <w:r>
        <w:rPr>
          <w:rFonts w:ascii="Times New Roman" w:hAnsi="Times New Roman"/>
          <w:sz w:val="20"/>
          <w:u w:val="single"/>
        </w:rPr>
        <w:t> Section 2.01</w:t>
      </w:r>
      <w:r>
        <w:rPr>
          <w:rFonts w:ascii="Times New Roman" w:hAnsi="Times New Roman"/>
          <w:sz w:val="20"/>
        </w:rPr>
        <w:t> or</w:t>
      </w:r>
      <w:r>
        <w:rPr>
          <w:rFonts w:ascii="Times New Roman" w:hAnsi="Times New Roman"/>
          <w:sz w:val="20"/>
          <w:u w:val="single"/>
        </w:rPr>
        <w:t> 2.11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means, with respect to Securities of a particular series, any event specified in</w:t>
      </w:r>
      <w:r>
        <w:rPr>
          <w:rFonts w:ascii="Times New Roman" w:hAnsi="Times New Roman"/>
          <w:sz w:val="20"/>
          <w:u w:val="single"/>
        </w:rPr>
        <w:t> Section 6.01</w:t>
      </w:r>
      <w:r>
        <w:rPr>
          <w:rFonts w:ascii="Times New Roman" w:hAnsi="Times New Roman"/>
          <w:sz w:val="20"/>
        </w:rPr>
        <w:t xml:space="preserve">, continued for the period of time, if any, therein designated.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Obligations</w:t>
      </w:r>
      <w:r>
        <w:rPr>
          <w:rFonts w:ascii="Times New Roman" w:hAnsi="Times New Roman"/>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herein</w:t>
      </w:r>
      <w:r>
        <w:rPr>
          <w:rFonts w:ascii="Times New Roman" w:hAnsi="Times New Roman"/>
          <w:sz w:val="20"/>
        </w:rPr>
        <w:t>, </w:t>
      </w:r>
      <w:r>
        <w:rPr>
          <w:rFonts w:ascii="Times New Roman" w:hAnsi="Times New Roman"/>
          <w:b/>
          <w:sz w:val="20"/>
        </w:rPr>
        <w:t>hereof</w:t>
      </w:r>
      <w:r>
        <w:rPr>
          <w:rFonts w:ascii="Times New Roman" w:hAnsi="Times New Roman"/>
          <w:sz w:val="20"/>
        </w:rPr>
        <w:t> and </w:t>
      </w:r>
      <w:r>
        <w:rPr>
          <w:rFonts w:ascii="Times New Roman" w:hAnsi="Times New Roman"/>
          <w:b/>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w:t>
      </w:r>
      <w:r>
        <w:rPr>
          <w:rFonts w:ascii="Times New Roman" w:hAnsi="Times New Roman"/>
          <w:sz w:val="20"/>
          <w:u w:val="single"/>
        </w:rPr>
        <w:t> 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means a certificate signed by any Officer. Each such certificate shall include the statements provided for in</w:t>
      </w:r>
      <w:r>
        <w:rPr>
          <w:rFonts w:ascii="Times New Roman" w:hAnsi="Times New Roman"/>
          <w:sz w:val="20"/>
          <w:u w:val="single"/>
        </w:rPr>
        <w:t> Section 13.07</w:t>
      </w:r>
      <w:r>
        <w:rPr>
          <w:rFonts w:ascii="Times New Roman" w:hAnsi="Times New Roman"/>
          <w:sz w:val="20"/>
        </w:rPr>
        <w:t xml:space="preserve">,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Opinion of Counsel</w:t>
      </w:r>
      <w:r>
        <w:rPr>
          <w:rFonts w:ascii="Times New Roman" w:hAnsi="Times New Roman"/>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w:t>
      </w:r>
      <w:r>
        <w:rPr>
          <w:rFonts w:ascii="Times New Roman" w:hAnsi="Times New Roman"/>
          <w:sz w:val="20"/>
          <w:u w:val="single"/>
        </w:rPr>
        <w:t> Section 13.07</w:t>
      </w:r>
      <w:r>
        <w:rPr>
          <w:rFonts w:ascii="Times New Roman" w:hAnsi="Times New Roman"/>
          <w:sz w:val="20"/>
        </w:rPr>
        <w:t xml:space="preserve">, if and to the extent required by the provisions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Outstanding</w:t>
      </w:r>
      <w:r>
        <w:rPr>
          <w:rFonts w:ascii="Times New Roman" w:hAnsi="Times New Roman"/>
          <w:sz w:val="20"/>
        </w:rPr>
        <w:t>, when used with reference to Securities of any series, means, subject to the provisions of</w:t>
      </w:r>
      <w:r>
        <w:rPr>
          <w:rFonts w:ascii="Times New Roman" w:hAnsi="Times New Roman"/>
          <w:sz w:val="20"/>
          <w:u w:val="single"/>
        </w:rPr>
        <w:t> Section 8.04</w:t>
      </w:r>
      <w:r>
        <w:rPr>
          <w:rFonts w:ascii="Times New Roman" w:hAnsi="Times New Roman"/>
          <w:sz w:val="20"/>
        </w:rPr>
        <w:t>,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that if such Securities or portions of such Securities are to be redeemed prior to the maturity thereof, notice of such redemption shall have been given as provided in</w:t>
      </w:r>
      <w:r>
        <w:rPr>
          <w:rFonts w:ascii="Times New Roman" w:hAnsi="Times New Roman"/>
          <w:sz w:val="20"/>
          <w:u w:val="single"/>
        </w:rPr>
        <w:t> Article 3</w:t>
      </w:r>
      <w:r>
        <w:rPr>
          <w:rFonts w:ascii="Times New Roman" w:hAnsi="Times New Roman"/>
          <w:sz w:val="20"/>
        </w:rPr>
        <w:t>, or provision satisfactory to the Trustee shall have been made for giving such notice; and (c) Securities in lieu of or in substitution for which other Securities shall have been authenticated and delivered pursuant to the terms of</w:t>
      </w:r>
      <w:r>
        <w:rPr>
          <w:rFonts w:ascii="Times New Roman" w:hAnsi="Times New Roman"/>
          <w:sz w:val="20"/>
          <w:u w:val="single"/>
        </w:rPr>
        <w:t> Section 2.07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Predecessor Security</w:t>
      </w:r>
      <w:r>
        <w:rPr>
          <w:rFonts w:ascii="Times New Roman" w:hAnsi="Times New Roman"/>
          <w:sz w:val="20"/>
        </w:rPr>
        <w:t> of any particular Security means every previous Security evidencing all or a portion of the same debt as that evidenced by such particular Security; and, for the purposes of this definition, any Security authenticated and delivered under</w:t>
      </w:r>
      <w:r>
        <w:rPr>
          <w:rFonts w:ascii="Times New Roman" w:hAnsi="Times New Roman"/>
          <w:sz w:val="20"/>
          <w:u w:val="single"/>
        </w:rPr>
        <w:t> Section 2.07</w:t>
      </w:r>
      <w:r>
        <w:rPr>
          <w:rFonts w:ascii="Times New Roman" w:hAnsi="Times New Roman"/>
          <w:sz w:val="20"/>
        </w:rPr>
        <w:t xml:space="preserve"> in lieu of a lost, destroyed or stolen Security shall be deemed to evidence the same debt as the lost, destroyed or stolen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Responsible Officer</w:t>
      </w:r>
      <w:r>
        <w:rPr>
          <w:rFonts w:ascii="Times New Roman" w:hAnsi="Times New Roman"/>
          <w:sz w:val="20"/>
        </w:rPr>
        <w:t xml:space="preserve">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Securityholder</w:t>
      </w:r>
      <w:r>
        <w:rPr>
          <w:rFonts w:ascii="Times New Roman" w:hAnsi="Times New Roman"/>
          <w:sz w:val="20"/>
        </w:rPr>
        <w:t>, </w:t>
      </w:r>
      <w:r>
        <w:rPr>
          <w:rFonts w:ascii="Times New Roman" w:hAnsi="Times New Roman"/>
          <w:b/>
          <w:sz w:val="20"/>
        </w:rPr>
        <w:t>holder</w:t>
      </w:r>
      <w:r>
        <w:rPr>
          <w:rFonts w:ascii="Times New Roman" w:hAnsi="Times New Roman"/>
          <w:sz w:val="20"/>
        </w:rPr>
        <w:t>, </w:t>
      </w:r>
      <w:r>
        <w:rPr>
          <w:rFonts w:ascii="Times New Roman" w:hAnsi="Times New Roman"/>
          <w:b/>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Security Register</w:t>
      </w:r>
      <w:r>
        <w:rPr>
          <w:rFonts w:ascii="Times New Roman" w:hAnsi="Times New Roman"/>
          <w:sz w:val="20"/>
        </w:rPr>
        <w:t> and </w:t>
      </w:r>
      <w:r>
        <w:rPr>
          <w:rFonts w:ascii="Times New Roman" w:hAnsi="Times New Roman"/>
          <w:b/>
          <w:sz w:val="20"/>
        </w:rPr>
        <w:t>Security Registrar</w:t>
      </w:r>
      <w:r>
        <w:rPr>
          <w:rFonts w:ascii="Times New Roman" w:hAnsi="Times New Roman"/>
          <w:sz w:val="20"/>
        </w:rPr>
        <w:t> shall have the meanings as set forth in</w:t>
      </w:r>
      <w:r>
        <w:rPr>
          <w:rFonts w:ascii="Times New Roman" w:hAnsi="Times New Roman"/>
          <w:sz w:val="20"/>
          <w:u w:val="single"/>
        </w:rPr>
        <w:t> 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 partnership in which such Person or a subsidiary of such Person is, at the date of determination, a general partner of such partnership; or </w:t>
      </w:r>
    </w:p>
    <w:p>
      <w:pPr>
        <w:pStyle w:val="TextBody"/>
        <w:bidi w:val="0"/>
        <w:spacing w:before="120" w:after="0"/>
        <w:jc w:val="left"/>
        <w:rPr>
          <w:rFonts w:ascii="Times New Roman" w:hAnsi="Times New Roman"/>
          <w:sz w:val="20"/>
        </w:rPr>
      </w:pPr>
      <w:r>
        <w:rPr>
          <w:rFonts w:ascii="Times New Roman" w:hAnsi="Times New Roman"/>
          <w:sz w:val="20"/>
        </w:rPr>
        <w:t xml:space="preserve">(3) 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means     , and, subject to the provisions of</w:t>
      </w:r>
      <w:r>
        <w:rPr>
          <w:rFonts w:ascii="Times New Roman" w:hAnsi="Times New Roman"/>
          <w:sz w:val="20"/>
          <w:u w:val="single"/>
        </w:rPr>
        <w:t> Article 7</w:t>
      </w:r>
      <w:r>
        <w:rPr>
          <w:rFonts w:ascii="Times New Roman" w:hAnsi="Times New Roman"/>
          <w:sz w:val="20"/>
        </w:rPr>
        <w:t xml:space="preserve">,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as amended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 dollar</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of America.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ISSUE, DESCRIPTION, TERMS, EXECUTION, REGISTRATION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sz w:val="20"/>
        </w:rPr>
        <w:t xml:space="preserve">(1) the title of the Securities of the series (which shall distinguish the Securities of that series from all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(2) 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(3) the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(4)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(5) the rate or rates at which the Securities of the series shall bear interest or the manner of calculation of such rate or rates, if any; </w:t>
      </w:r>
    </w:p>
    <w:p>
      <w:pPr>
        <w:pStyle w:val="TextBody"/>
        <w:bidi w:val="0"/>
        <w:spacing w:before="120" w:after="0"/>
        <w:jc w:val="left"/>
        <w:rPr>
          <w:rFonts w:ascii="Times New Roman" w:hAnsi="Times New Roman"/>
          <w:sz w:val="20"/>
        </w:rPr>
      </w:pPr>
      <w:r>
        <w:rPr>
          <w:rFonts w:ascii="Times New Roman" w:hAnsi="Times New Roman"/>
          <w:sz w:val="20"/>
        </w:rPr>
        <w:t xml:space="preserve">(6)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p>
      <w:pPr>
        <w:pStyle w:val="TextBody"/>
        <w:bidi w:val="0"/>
        <w:spacing w:before="120" w:after="0"/>
        <w:jc w:val="left"/>
        <w:rPr>
          <w:rFonts w:ascii="Times New Roman" w:hAnsi="Times New Roman"/>
          <w:sz w:val="20"/>
        </w:rPr>
      </w:pPr>
      <w:r>
        <w:rPr>
          <w:rFonts w:ascii="Times New Roman" w:hAnsi="Times New Roman"/>
          <w:sz w:val="20"/>
        </w:rPr>
        <w:t xml:space="preserve">(7) the right, if any, to extend the interest payment periods and the duration of such extension; </w:t>
      </w:r>
    </w:p>
    <w:p>
      <w:pPr>
        <w:pStyle w:val="TextBody"/>
        <w:bidi w:val="0"/>
        <w:spacing w:before="120" w:after="0"/>
        <w:jc w:val="left"/>
        <w:rPr>
          <w:rFonts w:ascii="Times New Roman" w:hAnsi="Times New Roman"/>
          <w:sz w:val="20"/>
        </w:rPr>
      </w:pPr>
      <w:r>
        <w:rPr>
          <w:rFonts w:ascii="Times New Roman" w:hAnsi="Times New Roman"/>
          <w:sz w:val="20"/>
        </w:rPr>
        <w:t xml:space="preserve">(8) the period or periods within which, the price or prices at which and the terms and conditions upon which Securities of the series may be redeemed, converted or exchanged,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(10) the form of the Securities of the series including the form of the Certificate of Authentication for such series; </w:t>
      </w:r>
    </w:p>
    <w:p>
      <w:pPr>
        <w:pStyle w:val="TextBody"/>
        <w:bidi w:val="0"/>
        <w:spacing w:before="120" w:after="0"/>
        <w:jc w:val="left"/>
        <w:rPr>
          <w:rFonts w:ascii="Times New Roman" w:hAnsi="Times New Roman"/>
          <w:sz w:val="20"/>
        </w:rPr>
      </w:pPr>
      <w:r>
        <w:rPr>
          <w:rFonts w:ascii="Times New Roman" w:hAnsi="Times New Roman"/>
          <w:sz w:val="20"/>
        </w:rPr>
        <w:t xml:space="preserve">(11) if other than minimum denominations of one thousand U.S. dollars ($1,000) or any integral multiple of $1,000 thereof, the denominations in which the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(12)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(13)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(14) 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 </w:t>
      </w:r>
    </w:p>
    <w:p>
      <w:pPr>
        <w:pStyle w:val="TextBody"/>
        <w:bidi w:val="0"/>
        <w:spacing w:before="120" w:after="0"/>
        <w:jc w:val="left"/>
        <w:rPr>
          <w:rFonts w:ascii="Times New Roman" w:hAnsi="Times New Roman"/>
          <w:sz w:val="20"/>
        </w:rPr>
      </w:pPr>
      <w:r>
        <w:rPr>
          <w:rFonts w:ascii="Times New Roman" w:hAnsi="Times New Roman"/>
          <w:sz w:val="20"/>
        </w:rPr>
        <w:t>(15) if other than the full principal amount thereof, the portion of the principal amount of Securities of the series which shall be payable upon declaration of acceleration of the maturity thereof pursuant to</w:t>
      </w:r>
      <w:r>
        <w:rPr>
          <w:rFonts w:ascii="Times New Roman" w:hAnsi="Times New Roman"/>
          <w:sz w:val="20"/>
          <w:u w:val="single"/>
        </w:rPr>
        <w:t> 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(16) any additional or alternative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(17) 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(18) 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 </w:t>
      </w:r>
    </w:p>
    <w:p>
      <w:pPr>
        <w:pStyle w:val="TextBody"/>
        <w:bidi w:val="0"/>
        <w:spacing w:before="120" w:after="0"/>
        <w:jc w:val="left"/>
        <w:rPr>
          <w:rFonts w:ascii="Times New Roman" w:hAnsi="Times New Roman"/>
          <w:sz w:val="20"/>
        </w:rPr>
      </w:pPr>
      <w:r>
        <w:rPr>
          <w:rFonts w:ascii="Times New Roman" w:hAnsi="Times New Roman"/>
          <w:sz w:val="20"/>
        </w:rPr>
        <w:t xml:space="preserve">(19) 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 </w:t>
      </w:r>
    </w:p>
    <w:p>
      <w:pPr>
        <w:pStyle w:val="TextBody"/>
        <w:bidi w:val="0"/>
        <w:spacing w:before="120" w:after="0"/>
        <w:jc w:val="left"/>
        <w:rPr>
          <w:rFonts w:ascii="Times New Roman" w:hAnsi="Times New Roman"/>
          <w:sz w:val="20"/>
        </w:rPr>
      </w:pPr>
      <w:r>
        <w:rPr>
          <w:rFonts w:ascii="Times New Roman" w:hAnsi="Times New Roman"/>
          <w:sz w:val="20"/>
        </w:rPr>
        <w:t xml:space="preserve">(20) whether interest will be payable in cash or additional Securities at the Companys or the Securityholders option and the terms and conditions upon which the election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120" w:after="0"/>
        <w:jc w:val="left"/>
        <w:rPr>
          <w:rFonts w:ascii="Times New Roman" w:hAnsi="Times New Roman"/>
          <w:sz w:val="20"/>
        </w:rPr>
      </w:pPr>
      <w:r>
        <w:rPr>
          <w:rFonts w:ascii="Times New Roman" w:hAnsi="Times New Roman"/>
          <w:sz w:val="20"/>
        </w:rPr>
        <w:t xml:space="preserve">(22) additional or alternative provisions, if any, related to defeasance and discharge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(23) the applicability of any guarantees; </w:t>
      </w:r>
    </w:p>
    <w:p>
      <w:pPr>
        <w:pStyle w:val="TextBody"/>
        <w:bidi w:val="0"/>
        <w:spacing w:before="120" w:after="0"/>
        <w:jc w:val="left"/>
        <w:rPr>
          <w:rFonts w:ascii="Times New Roman" w:hAnsi="Times New Roman"/>
          <w:sz w:val="20"/>
        </w:rPr>
      </w:pPr>
      <w:r>
        <w:rPr>
          <w:rFonts w:ascii="Times New Roman" w:hAnsi="Times New Roman"/>
          <w:sz w:val="20"/>
        </w:rPr>
        <w:t xml:space="preserve">(24) any restrictions on transfer, sale or assignment of the Securities of the series; and </w:t>
      </w:r>
    </w:p>
    <w:p>
      <w:pPr>
        <w:pStyle w:val="TextBody"/>
        <w:bidi w:val="0"/>
        <w:spacing w:before="120" w:after="0"/>
        <w:jc w:val="left"/>
        <w:rPr>
          <w:rFonts w:ascii="Times New Roman" w:hAnsi="Times New Roman"/>
          <w:sz w:val="20"/>
        </w:rPr>
      </w:pPr>
      <w:r>
        <w:rPr>
          <w:rFonts w:ascii="Times New Roman" w:hAnsi="Times New Roman"/>
          <w:sz w:val="20"/>
        </w:rPr>
        <w:t xml:space="preserve">(25) any other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w:t>
      </w:r>
      <w:r>
        <w:rPr>
          <w:rFonts w:ascii="Times New Roman" w:hAnsi="Times New Roman"/>
          <w:sz w:val="20"/>
          <w:u w:val="single"/>
        </w:rPr>
        <w:t> Section 2.01(a)(18)</w:t>
      </w:r>
      <w:r>
        <w:rPr>
          <w:rFonts w:ascii="Times New Roman" w:hAnsi="Times New Roman"/>
          <w:sz w:val="20"/>
        </w:rPr>
        <w:t xml:space="preserve">,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240" w:after="0"/>
        <w:jc w:val="left"/>
        <w:rPr>
          <w:rFonts w:ascii="Times New Roman" w:hAnsi="Times New Roman"/>
          <w:sz w:val="20"/>
        </w:rPr>
      </w:pPr>
      <w:r>
        <w:rPr>
          <w:rFonts w:ascii="Times New Roman" w:hAnsi="Times New Roman"/>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w:t>
      </w:r>
      <w:r>
        <w:rPr>
          <w:rFonts w:ascii="Times New Roman" w:hAnsi="Times New Roman"/>
          <w:sz w:val="20"/>
          <w:u w:val="single"/>
        </w:rPr>
        <w:t> Section 3.03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interest on any Security that is payable, but is not punctually paid or duly provided for, on any Interest Payment Date for Securities of the same series (herein called </w:t>
      </w:r>
      <w:r>
        <w:rPr>
          <w:rFonts w:ascii="Times New Roman" w:hAnsi="Times New Roman"/>
          <w:b/>
          <w:sz w:val="20"/>
        </w:rPr>
        <w:t>Defaulted Interest</w:t>
      </w:r>
      <w:r>
        <w:rPr>
          <w:rFonts w:ascii="Times New Roman" w:hAnsi="Times New Roman"/>
          <w:sz w:val="20"/>
        </w:rPr>
        <w:t xml:space="preserve">)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 </w:t>
      </w:r>
    </w:p>
    <w:p>
      <w:pPr>
        <w:pStyle w:val="TextBody"/>
        <w:bidi w:val="0"/>
        <w:spacing w:before="120" w:after="0"/>
        <w:jc w:val="left"/>
        <w:rPr>
          <w:rFonts w:ascii="Times New Roman" w:hAnsi="Times New Roman"/>
          <w:sz w:val="20"/>
        </w:rPr>
      </w:pPr>
      <w:r>
        <w:rPr>
          <w:rFonts w:ascii="Times New Roman" w:hAnsi="Times New Roman"/>
          <w:sz w:val="20"/>
        </w:rPr>
        <w:t xml:space="preserve">(2) 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Unless otherwise set forth in a Board Resolution or one or more indentures supplemental hereto establishing the terms of any series of Securities pursuant to</w:t>
      </w:r>
      <w:r>
        <w:rPr>
          <w:rFonts w:ascii="Times New Roman" w:hAnsi="Times New Roman"/>
          <w:sz w:val="20"/>
          <w:u w:val="single"/>
        </w:rPr>
        <w:t> Section 2.01</w:t>
      </w:r>
      <w:r>
        <w:rPr>
          <w:rFonts w:ascii="Times New Roman" w:hAnsi="Times New Roman"/>
          <w:sz w:val="20"/>
        </w:rPr>
        <w:t>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w:t>
      </w:r>
      <w:r>
        <w:rPr>
          <w:rFonts w:ascii="Times New Roman" w:hAnsi="Times New Roman"/>
          <w:sz w:val="20"/>
          <w:u w:val="single"/>
        </w:rPr>
        <w:t> Section 2.01</w:t>
      </w:r>
      <w:r>
        <w:rPr>
          <w:rFonts w:ascii="Times New Roman" w:hAnsi="Times New Roman"/>
          <w:sz w:val="20"/>
        </w:rPr>
        <w:t> hereof shall occur, if such Interest Payment Date is the first day of a month, or (ii) the first day of the month in which an Interest Payment Date established for such series pursuant to</w:t>
      </w:r>
      <w:r>
        <w:rPr>
          <w:rFonts w:ascii="Times New Roman" w:hAnsi="Times New Roman"/>
          <w:sz w:val="20"/>
          <w:u w:val="single"/>
        </w:rPr>
        <w:t> Section 2.01</w:t>
      </w:r>
      <w:r>
        <w:rPr>
          <w:rFonts w:ascii="Times New Roman" w:hAnsi="Times New Roman"/>
          <w:sz w:val="20"/>
        </w:rPr>
        <w:t xml:space="preserve">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In authenticating such Securities and accepting the additional responsibilities under this Indenture in relation to such Securities, the Trustee shall receive, and (subject to</w:t>
      </w:r>
      <w:r>
        <w:rPr>
          <w:rFonts w:ascii="Times New Roman" w:hAnsi="Times New Roman"/>
          <w:sz w:val="20"/>
          <w:u w:val="single"/>
        </w:rPr>
        <w:t> Section 7.01</w:t>
      </w:r>
      <w:r>
        <w:rPr>
          <w:rFonts w:ascii="Times New Roman" w:hAnsi="Times New Roman"/>
          <w:sz w:val="20"/>
        </w:rPr>
        <w:t xml:space="preserve">)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(b) The Company shall keep, or cause to be kept, at its office or agency designated for such purpose a register or registers (herein referred to as the </w:t>
      </w:r>
      <w:r>
        <w:rPr>
          <w:rFonts w:ascii="Times New Roman" w:hAnsi="Times New Roman"/>
          <w:b/>
          <w:sz w:val="20"/>
        </w:rPr>
        <w:t>Security Register</w:t>
      </w:r>
      <w:r>
        <w:rPr>
          <w:rFonts w:ascii="Times New Roman" w:hAnsi="Times New Roman"/>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hAnsi="Times New Roman"/>
          <w:b/>
          <w:sz w:val="20"/>
        </w:rPr>
        <w:t>Security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(c) Except as provided pursuant to</w:t>
      </w:r>
      <w:r>
        <w:rPr>
          <w:rFonts w:ascii="Times New Roman" w:hAnsi="Times New Roman"/>
          <w:sz w:val="20"/>
          <w:u w:val="single"/>
        </w:rPr>
        <w:t> Section 2.01</w:t>
      </w:r>
      <w:r>
        <w:rPr>
          <w:rFonts w:ascii="Times New Roman" w:hAnsi="Times New Roman"/>
          <w:sz w:val="20"/>
        </w:rPr>
        <w:t>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w:t>
      </w:r>
      <w:r>
        <w:rPr>
          <w:rFonts w:ascii="Times New Roman" w:hAnsi="Times New Roman"/>
          <w:sz w:val="20"/>
          <w:u w:val="single"/>
        </w:rPr>
        <w:t> Section 2.06</w:t>
      </w:r>
      <w:r>
        <w:rPr>
          <w:rFonts w:ascii="Times New Roman" w:hAnsi="Times New Roman"/>
          <w:sz w:val="20"/>
        </w:rPr>
        <w:t>,</w:t>
      </w:r>
      <w:r>
        <w:rPr>
          <w:rFonts w:ascii="Times New Roman" w:hAnsi="Times New Roman"/>
          <w:sz w:val="20"/>
          <w:u w:val="single"/>
        </w:rPr>
        <w:t> Section 3.03(b)</w:t>
      </w:r>
      <w:r>
        <w:rPr>
          <w:rFonts w:ascii="Times New Roman" w:hAnsi="Times New Roman"/>
          <w:sz w:val="20"/>
        </w:rPr>
        <w:t> and</w:t>
      </w:r>
      <w:r>
        <w:rPr>
          <w:rFonts w:ascii="Times New Roman" w:hAnsi="Times New Roman"/>
          <w:sz w:val="20"/>
          <w:u w:val="single"/>
        </w:rPr>
        <w:t> Section 9.04</w:t>
      </w:r>
      <w:r>
        <w:rPr>
          <w:rFonts w:ascii="Times New Roman" w:hAnsi="Times New Roman"/>
          <w:sz w:val="20"/>
        </w:rPr>
        <w:t xml:space="preserve"> not involving any transfer. </w:t>
      </w:r>
    </w:p>
    <w:p>
      <w:pPr>
        <w:pStyle w:val="TextBody"/>
        <w:bidi w:val="0"/>
        <w:spacing w:before="240" w:after="0"/>
        <w:jc w:val="left"/>
        <w:rPr>
          <w:rFonts w:ascii="Times New Roman" w:hAnsi="Times New Roman"/>
          <w:sz w:val="20"/>
        </w:rPr>
      </w:pPr>
      <w:r>
        <w:rPr>
          <w:rFonts w:ascii="Times New Roman" w:hAnsi="Times New Roman"/>
          <w:sz w:val="20"/>
        </w:rPr>
        <w:t>(d)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w:t>
      </w:r>
      <w:r>
        <w:rPr>
          <w:rFonts w:ascii="Times New Roman" w:hAnsi="Times New Roman"/>
          <w:sz w:val="20"/>
          <w:u w:val="single"/>
        </w:rPr>
        <w:t> Section 2.05</w:t>
      </w:r>
      <w:r>
        <w:rPr>
          <w:rFonts w:ascii="Times New Roman" w:hAnsi="Times New Roman"/>
          <w:sz w:val="20"/>
        </w:rPr>
        <w:t> are, with respect to any Global Security, subject to</w:t>
      </w:r>
      <w:r>
        <w:rPr>
          <w:rFonts w:ascii="Times New Roman" w:hAnsi="Times New Roman"/>
          <w:sz w:val="20"/>
          <w:u w:val="single"/>
        </w:rPr>
        <w:t> Section 2.11</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Neither the Trustee nor any Agent shall have any responsibility or liability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Nothing in this Indenture or in the Securities, express or implied, shall give or be construed to give to any Person, other than the parties hereto and the holders of the Securities (and, with respect to the provisions of</w:t>
      </w:r>
      <w:r>
        <w:rPr>
          <w:rFonts w:ascii="Times New Roman" w:hAnsi="Times New Roman"/>
          <w:sz w:val="20"/>
          <w:u w:val="single"/>
        </w:rPr>
        <w:t> Article 14</w:t>
      </w:r>
      <w:r>
        <w:rPr>
          <w:rFonts w:ascii="Times New Roman" w:hAnsi="Times New Roman"/>
          <w:sz w:val="20"/>
        </w:rPr>
        <w:t>,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w:t>
      </w:r>
      <w:r>
        <w:rPr>
          <w:rFonts w:ascii="Times New Roman" w:hAnsi="Times New Roman"/>
          <w:sz w:val="20"/>
          <w:u w:val="single"/>
        </w:rPr>
        <w:t> Article 14</w:t>
      </w:r>
      <w:r>
        <w:rPr>
          <w:rFonts w:ascii="Times New Roman" w:hAnsi="Times New Roman"/>
          <w:sz w:val="20"/>
        </w:rPr>
        <w:t xml:space="preserve">, the holders of any indebtedness of the Company to which the Securities of any series are subordinated).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Company shall establish pursuant to</w:t>
      </w:r>
      <w:r>
        <w:rPr>
          <w:rFonts w:ascii="Times New Roman" w:hAnsi="Times New Roman"/>
          <w:sz w:val="20"/>
          <w:u w:val="single"/>
        </w:rPr>
        <w:t> Section 2.01</w:t>
      </w:r>
      <w:r>
        <w:rPr>
          <w:rFonts w:ascii="Times New Roman" w:hAnsi="Times New Roman"/>
          <w:sz w:val="20"/>
        </w:rPr>
        <w:t> that the Securities of a particular series are to be issued as a Global Security, then the Company shall execute and the Trustee shall, in accordance with</w:t>
      </w:r>
      <w:r>
        <w:rPr>
          <w:rFonts w:ascii="Times New Roman" w:hAnsi="Times New Roman"/>
          <w:sz w:val="20"/>
          <w:u w:val="single"/>
        </w:rPr>
        <w:t> Section 2.04</w:t>
      </w:r>
      <w:r>
        <w:rPr>
          <w:rFonts w:ascii="Times New Roman" w:hAnsi="Times New Roman"/>
          <w:sz w:val="20"/>
        </w:rPr>
        <w:t>,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w:t>
      </w:r>
      <w:r>
        <w:rPr>
          <w:rFonts w:ascii="Times New Roman" w:hAnsi="Times New Roman"/>
          <w:sz w:val="20"/>
          <w:u w:val="single"/>
        </w:rPr>
        <w:t> Section 2.11</w:t>
      </w:r>
      <w:r>
        <w:rPr>
          <w:rFonts w:ascii="Times New Roman" w:hAnsi="Times New Roman"/>
          <w:sz w:val="20"/>
        </w:rPr>
        <w:t xml:space="preserve">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(b) Notwithstanding the provisions of</w:t>
      </w:r>
      <w:r>
        <w:rPr>
          <w:rFonts w:ascii="Times New Roman" w:hAnsi="Times New Roman"/>
          <w:sz w:val="20"/>
          <w:u w:val="single"/>
        </w:rPr>
        <w:t> Section 2.05</w:t>
      </w:r>
      <w:r>
        <w:rPr>
          <w:rFonts w:ascii="Times New Roman" w:hAnsi="Times New Roman"/>
          <w:sz w:val="20"/>
        </w:rPr>
        <w:t>, the Global Security of a series may be transferred, in whole but not in part and in the manner provided in</w:t>
      </w:r>
      <w:r>
        <w:rPr>
          <w:rFonts w:ascii="Times New Roman" w:hAnsi="Times New Roman"/>
          <w:sz w:val="20"/>
          <w:u w:val="single"/>
        </w:rPr>
        <w:t> Section 2.05</w:t>
      </w:r>
      <w:r>
        <w:rPr>
          <w:rFonts w:ascii="Times New Roman" w:hAnsi="Times New Roman"/>
          <w:sz w:val="20"/>
        </w:rPr>
        <w:t xml:space="preserve">,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(c)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w:t>
      </w:r>
      <w:r>
        <w:rPr>
          <w:rFonts w:ascii="Times New Roman" w:hAnsi="Times New Roman"/>
          <w:sz w:val="20"/>
          <w:u w:val="single"/>
        </w:rPr>
        <w:t> Section 2.11</w:t>
      </w:r>
      <w:r>
        <w:rPr>
          <w:rFonts w:ascii="Times New Roman" w:hAnsi="Times New Roman"/>
          <w:sz w:val="20"/>
        </w:rPr>
        <w:t> shall no longer be applicable to the Securities of such series and the Company will execute, and subject to</w:t>
      </w:r>
      <w:r>
        <w:rPr>
          <w:rFonts w:ascii="Times New Roman" w:hAnsi="Times New Roman"/>
          <w:sz w:val="20"/>
          <w:u w:val="single"/>
        </w:rPr>
        <w:t> Section 2.04</w:t>
      </w:r>
      <w:r>
        <w:rPr>
          <w:rFonts w:ascii="Times New Roman" w:hAnsi="Times New Roman"/>
          <w:sz w:val="20"/>
        </w:rPr>
        <w:t>,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w:t>
      </w:r>
      <w:r>
        <w:rPr>
          <w:rFonts w:ascii="Times New Roman" w:hAnsi="Times New Roman"/>
          <w:sz w:val="20"/>
          <w:u w:val="single"/>
        </w:rPr>
        <w:t> Section 2.11</w:t>
      </w:r>
      <w:r>
        <w:rPr>
          <w:rFonts w:ascii="Times New Roman" w:hAnsi="Times New Roman"/>
          <w:sz w:val="20"/>
        </w:rPr>
        <w:t> shall no longer apply to the Securities of such series. In such event the Company will execute and, subject to</w:t>
      </w:r>
      <w:r>
        <w:rPr>
          <w:rFonts w:ascii="Times New Roman" w:hAnsi="Times New Roman"/>
          <w:sz w:val="20"/>
          <w:u w:val="single"/>
        </w:rPr>
        <w:t> Section 2.04</w:t>
      </w:r>
      <w:r>
        <w:rPr>
          <w:rFonts w:ascii="Times New Roman" w:hAnsi="Times New Roman"/>
          <w:sz w:val="20"/>
        </w:rPr>
        <w:t>,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w:t>
      </w:r>
      <w:r>
        <w:rPr>
          <w:rFonts w:ascii="Times New Roman" w:hAnsi="Times New Roman"/>
          <w:sz w:val="20"/>
          <w:u w:val="single"/>
        </w:rPr>
        <w:t> Section 2.11(c)</w:t>
      </w:r>
      <w:r>
        <w:rPr>
          <w:rFonts w:ascii="Times New Roman" w:hAnsi="Times New Roman"/>
          <w:sz w:val="20"/>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may redeem the Securities of any series issued hereunder on and after the dates and in accordance with the terms established for such series pursuant to</w:t>
      </w:r>
      <w:r>
        <w:rPr>
          <w:rFonts w:ascii="Times New Roman" w:hAnsi="Times New Roman"/>
          <w:sz w:val="20"/>
          <w:u w:val="single"/>
        </w:rPr>
        <w:t> Section 2.01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the Company shall desire to exercise such right to redeem all or, as the case may be, a portion of the Securities of any series in accordance with any right the Company reserved for itself to do so pursuant to</w:t>
      </w:r>
      <w:r>
        <w:rPr>
          <w:rFonts w:ascii="Times New Roman" w:hAnsi="Times New Roman"/>
          <w:sz w:val="20"/>
          <w:u w:val="single"/>
        </w:rPr>
        <w:t> Section 2.01</w:t>
      </w:r>
      <w:r>
        <w:rPr>
          <w:rFonts w:ascii="Times New Roman" w:hAnsi="Times New Roman"/>
          <w:sz w:val="20"/>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(b) 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w:t>
      </w:r>
      <w:r>
        <w:rPr>
          <w:rFonts w:ascii="Times New Roman" w:hAnsi="Times New Roman"/>
          <w:sz w:val="20"/>
          <w:u w:val="single"/>
        </w:rPr>
        <w:t> Section 2.03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provisions of</w:t>
      </w:r>
      <w:r>
        <w:rPr>
          <w:rFonts w:ascii="Times New Roman" w:hAnsi="Times New Roman"/>
          <w:sz w:val="20"/>
          <w:u w:val="single"/>
        </w:rPr>
        <w:t> Sections 3.04</w:t>
      </w:r>
      <w:r>
        <w:rPr>
          <w:rFonts w:ascii="Times New Roman" w:hAnsi="Times New Roman"/>
          <w:sz w:val="20"/>
        </w:rPr>
        <w:t>,</w:t>
      </w:r>
      <w:r>
        <w:rPr>
          <w:rFonts w:ascii="Times New Roman" w:hAnsi="Times New Roman"/>
          <w:sz w:val="20"/>
          <w:u w:val="single"/>
        </w:rPr>
        <w:t> 3.05</w:t>
      </w:r>
      <w:r>
        <w:rPr>
          <w:rFonts w:ascii="Times New Roman" w:hAnsi="Times New Roman"/>
          <w:sz w:val="20"/>
        </w:rPr>
        <w:t> and</w:t>
      </w:r>
      <w:r>
        <w:rPr>
          <w:rFonts w:ascii="Times New Roman" w:hAnsi="Times New Roman"/>
          <w:sz w:val="20"/>
          <w:u w:val="single"/>
        </w:rPr>
        <w:t> 3.06</w:t>
      </w:r>
      <w:r>
        <w:rPr>
          <w:rFonts w:ascii="Times New Roman" w:hAnsi="Times New Roman"/>
          <w:sz w:val="20"/>
        </w:rPr>
        <w:t> shall be applicable to any sinking fund for the retirement of Securities of a series, except as otherwise specified as contemplated by</w:t>
      </w:r>
      <w:r>
        <w:rPr>
          <w:rFonts w:ascii="Times New Roman" w:hAnsi="Times New Roman"/>
          <w:sz w:val="20"/>
          <w:u w:val="single"/>
        </w:rPr>
        <w:t> Section 2.01</w:t>
      </w:r>
      <w:r>
        <w:rPr>
          <w:rFonts w:ascii="Times New Roman" w:hAnsi="Times New Roman"/>
          <w:sz w:val="20"/>
        </w:rPr>
        <w:t xml:space="preserve"> for Securities of such series.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w:t>
      </w:r>
      <w:r>
        <w:rPr>
          <w:rFonts w:ascii="Times New Roman" w:hAnsi="Times New Roman"/>
          <w:sz w:val="20"/>
          <w:u w:val="single"/>
        </w:rPr>
        <w:t> Section 3.05</w:t>
      </w:r>
      <w:r>
        <w:rPr>
          <w:rFonts w:ascii="Times New Roman" w:hAnsi="Times New Roman"/>
          <w:sz w:val="20"/>
        </w:rPr>
        <w:t xml:space="preserve">.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hAnsi="Times New Roman"/>
          <w:i/>
          <w:sz w:val="20"/>
        </w:rPr>
        <w:t>provided</w:t>
      </w:r>
      <w:r>
        <w:rPr>
          <w:rFonts w:ascii="Times New Roman" w:hAnsi="Times New Roman"/>
          <w:sz w:val="20"/>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w:t>
      </w:r>
      <w:r>
        <w:rPr>
          <w:rFonts w:ascii="Times New Roman" w:hAnsi="Times New Roman"/>
          <w:sz w:val="20"/>
          <w:u w:val="single"/>
        </w:rPr>
        <w:t> Section 3.05</w:t>
      </w:r>
      <w:r>
        <w:rPr>
          <w:rFonts w:ascii="Times New Roman" w:hAnsi="Times New Roman"/>
          <w:sz w:val="20"/>
        </w:rPr>
        <w:t>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w:t>
      </w:r>
      <w:r>
        <w:rPr>
          <w:rFonts w:ascii="Times New Roman" w:hAnsi="Times New Roman"/>
          <w:sz w:val="20"/>
          <w:u w:val="single"/>
        </w:rPr>
        <w:t> Section 3.02</w:t>
      </w:r>
      <w:r>
        <w:rPr>
          <w:rFonts w:ascii="Times New Roman" w:hAnsi="Times New Roman"/>
          <w:sz w:val="20"/>
        </w:rPr>
        <w:t> and cause notice of the redemption thereof to be given in the name of and at the expense of the Company in the manner provided in</w:t>
      </w:r>
      <w:r>
        <w:rPr>
          <w:rFonts w:ascii="Times New Roman" w:hAnsi="Times New Roman"/>
          <w:sz w:val="20"/>
          <w:u w:val="single"/>
        </w:rPr>
        <w:t> Section 3.02</w:t>
      </w:r>
      <w:r>
        <w:rPr>
          <w:rFonts w:ascii="Times New Roman" w:hAnsi="Times New Roman"/>
          <w:sz w:val="20"/>
        </w:rPr>
        <w:t>. Such notice having been duly given, the redemption of such Securities shall be made upon the terms and in the manner stated in</w:t>
      </w:r>
      <w:r>
        <w:rPr>
          <w:rFonts w:ascii="Times New Roman" w:hAnsi="Times New Roman"/>
          <w:sz w:val="20"/>
          <w:u w:val="single"/>
        </w:rPr>
        <w:t> Section 3.03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So long as any series of the Securities remain Outstanding, the Company agrees to maintain an office or agency with respect to each such series and at such other location or locations as may be designated as provided in this</w:t>
      </w:r>
      <w:r>
        <w:rPr>
          <w:rFonts w:ascii="Times New Roman" w:hAnsi="Times New Roman"/>
          <w:sz w:val="20"/>
          <w:u w:val="single"/>
        </w:rPr>
        <w:t> Section 4.02</w:t>
      </w:r>
      <w:r>
        <w:rPr>
          <w:rFonts w:ascii="Times New Roman" w:hAnsi="Times New Roman"/>
          <w:sz w:val="20"/>
        </w:rPr>
        <w:t xml:space="preserve">,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(1)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(2)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(3) that it will, at any time during the continuance of any failure referred to in the preceding paragraph (a)(2) above, upon the written request of the Trustee, forthwith pay to the Trustee all sums so held in trust by such paying agent; </w:t>
      </w:r>
    </w:p>
    <w:p>
      <w:pPr>
        <w:pStyle w:val="TextBody"/>
        <w:bidi w:val="0"/>
        <w:spacing w:before="120" w:after="0"/>
        <w:jc w:val="left"/>
        <w:rPr>
          <w:rFonts w:ascii="Times New Roman" w:hAnsi="Times New Roman"/>
          <w:sz w:val="20"/>
        </w:rPr>
      </w:pPr>
      <w:r>
        <w:rPr>
          <w:rFonts w:ascii="Times New Roman" w:hAnsi="Times New Roman"/>
          <w:sz w:val="20"/>
        </w:rPr>
        <w:t xml:space="preserve">(4) that upon any receivership, insolvency, liquidation, bankruptcy, reorganization, readjustment, arrangement, composition or judicial proceedings affecting the Company, the Trustee will automatically be the paying agent; and </w:t>
      </w:r>
    </w:p>
    <w:p>
      <w:pPr>
        <w:pStyle w:val="TextBody"/>
        <w:bidi w:val="0"/>
        <w:spacing w:before="120" w:after="0"/>
        <w:jc w:val="left"/>
        <w:rPr>
          <w:rFonts w:ascii="Times New Roman" w:hAnsi="Times New Roman"/>
          <w:sz w:val="20"/>
        </w:rPr>
      </w:pPr>
      <w:r>
        <w:rPr>
          <w:rFonts w:ascii="Times New Roman" w:hAnsi="Times New Roman"/>
          <w:sz w:val="20"/>
        </w:rPr>
        <w:t xml:space="preserve">(5)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(c) Notwithstanding anything in this Section to the contrary, (i) the agreement to hold sums in trust as provided in this Section is subject to the provisions of</w:t>
      </w:r>
      <w:r>
        <w:rPr>
          <w:rFonts w:ascii="Times New Roman" w:hAnsi="Times New Roman"/>
          <w:sz w:val="20"/>
          <w:u w:val="single"/>
        </w:rPr>
        <w:t> Section 11.05</w:t>
      </w:r>
      <w:r>
        <w:rPr>
          <w:rFonts w:ascii="Times New Roman" w:hAnsi="Times New Roman"/>
          <w:sz w:val="20"/>
        </w:rPr>
        <w:t xml:space="preserve">,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initially appoints the Trustee at its Corporate Trust Office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whenever necessary to avoid or fill a vacancy in the office of Trustee, will appoint, in the manner provided in</w:t>
      </w:r>
      <w:r>
        <w:rPr>
          <w:rFonts w:ascii="Times New Roman" w:hAnsi="Times New Roman"/>
          <w:sz w:val="20"/>
          <w:u w:val="single"/>
        </w:rPr>
        <w:t> Section 7.10</w:t>
      </w:r>
      <w:r>
        <w:rPr>
          <w:rFonts w:ascii="Times New Roman" w:hAnsi="Times New Roman"/>
          <w:sz w:val="20"/>
        </w:rPr>
        <w:t xml:space="preserve">,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Compliance with Consolidation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w:t>
      </w:r>
      <w:r>
        <w:rPr>
          <w:rFonts w:ascii="Times New Roman" w:hAnsi="Times New Roman"/>
          <w:sz w:val="20"/>
          <w:u w:val="single"/>
        </w:rPr>
        <w:t> Article 10</w:t>
      </w:r>
      <w:r>
        <w:rPr>
          <w:rFonts w:ascii="Times New Roman" w:hAnsi="Times New Roman"/>
          <w:sz w:val="20"/>
        </w:rPr>
        <w:t xml:space="preserve"> hereof are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SECURITYHOLDERS LISTS AND REPORTS BY THE COMPANY </w:t>
      </w:r>
    </w:p>
    <w:p>
      <w:pPr>
        <w:pStyle w:val="TextBody"/>
        <w:bidi w:val="0"/>
        <w:spacing w:before="0" w:after="0"/>
        <w:jc w:val="center"/>
        <w:rPr>
          <w:rFonts w:ascii="Times New Roman" w:hAnsi="Times New Roman"/>
          <w:b/>
          <w:sz w:val="20"/>
        </w:rPr>
      </w:pPr>
      <w:r>
        <w:rPr>
          <w:rFonts w:ascii="Times New Roman" w:hAnsi="Times New Roman"/>
          <w:b/>
          <w:sz w:val="20"/>
        </w:rPr>
        <w:t xml:space="preserve">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furnish or cause to be furnished to the Trustee (a) within 5 days after each regular record date (as defined in</w:t>
      </w:r>
      <w:r>
        <w:rPr>
          <w:rFonts w:ascii="Times New Roman" w:hAnsi="Times New Roman"/>
          <w:sz w:val="20"/>
          <w:u w:val="single"/>
        </w:rPr>
        <w:t> Section 2.03</w:t>
      </w:r>
      <w:r>
        <w:rPr>
          <w:rFonts w:ascii="Times New Roman" w:hAnsi="Times New Roman"/>
          <w:sz w:val="20"/>
        </w:rPr>
        <w:t>) a list, in such form as the Trustee may reasonably require, of the names and addresses of the holders of each series of Securities as of such regular record date, </w:t>
      </w:r>
      <w:r>
        <w:rPr>
          <w:rFonts w:ascii="Times New Roman" w:hAnsi="Times New Roman"/>
          <w:i/>
          <w:sz w:val="20"/>
        </w:rPr>
        <w:t>provided</w:t>
      </w:r>
      <w:r>
        <w:rPr>
          <w:rFonts w:ascii="Times New Roman" w:hAnsi="Times New Roman"/>
          <w:sz w:val="20"/>
        </w:rPr>
        <w:t> 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Trustee shall preserve, in as current a form as is reasonably practicable, all information as to the names and addresses of the holders of Securities contained in the most recent list furnished to it as provided in</w:t>
      </w:r>
      <w:r>
        <w:rPr>
          <w:rFonts w:ascii="Times New Roman" w:hAnsi="Times New Roman"/>
          <w:sz w:val="20"/>
          <w:u w:val="single"/>
        </w:rPr>
        <w:t> Section 5.01</w:t>
      </w:r>
      <w:r>
        <w:rPr>
          <w:rFonts w:ascii="Times New Roman" w:hAnsi="Times New Roman"/>
          <w:sz w:val="20"/>
        </w:rPr>
        <w:t xml:space="preserve">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sz w:val="20"/>
        </w:rPr>
        <w:t>(b) The Trustee may destroy any list furnished to it as provided in</w:t>
      </w:r>
      <w:r>
        <w:rPr>
          <w:rFonts w:ascii="Times New Roman" w:hAnsi="Times New Roman"/>
          <w:sz w:val="20"/>
          <w:u w:val="single"/>
        </w:rPr>
        <w:t> Section 5.01</w:t>
      </w:r>
      <w:r>
        <w:rPr>
          <w:rFonts w:ascii="Times New Roman" w:hAnsi="Times New Roman"/>
          <w:sz w:val="20"/>
        </w:rPr>
        <w:t xml:space="preserve">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(c)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the Company shall not be required to deliver to the Trustee any materials for which the Company has sought and received confidential treatment by the Commission; and </w:t>
      </w:r>
      <w:r>
        <w:rPr>
          <w:rFonts w:ascii="Times New Roman" w:hAnsi="Times New Roman"/>
          <w:i/>
          <w:sz w:val="20"/>
        </w:rPr>
        <w:t>provided further</w:t>
      </w:r>
      <w:r>
        <w:rPr>
          <w:rFonts w:ascii="Times New Roman" w:hAnsi="Times New Roman"/>
          <w:sz w:val="20"/>
        </w:rPr>
        <w:t>,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hAnsi="Times New Roman"/>
          <w:i/>
          <w:sz w:val="20"/>
        </w:rPr>
        <w:t>provided</w:t>
      </w:r>
      <w:r>
        <w:rPr>
          <w:rFonts w:ascii="Times New Roman" w:hAnsi="Times New Roman"/>
          <w:sz w:val="20"/>
        </w:rPr>
        <w:t>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w:t>
      </w:r>
      <w:r>
        <w:rPr>
          <w:rFonts w:ascii="Times New Roman" w:hAnsi="Times New Roman"/>
          <w:sz w:val="20"/>
          <w:u w:val="single"/>
        </w:rPr>
        <w:t> Section 5.03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Delivery of reports, information and documents to the Trustee under</w:t>
      </w:r>
      <w:r>
        <w:rPr>
          <w:rFonts w:ascii="Times New Roman" w:hAnsi="Times New Roman"/>
          <w:sz w:val="20"/>
          <w:u w:val="single"/>
        </w:rPr>
        <w:t> Section 5.03</w:t>
      </w:r>
      <w:r>
        <w:rPr>
          <w:rFonts w:ascii="Times New Roman" w:hAnsi="Times New Roman"/>
          <w:sz w:val="20"/>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OF THE TRUSTEE AND SECURITYHOLDERS ON </w:t>
      </w:r>
    </w:p>
    <w:p>
      <w:pPr>
        <w:pStyle w:val="TextBody"/>
        <w:bidi w:val="0"/>
        <w:spacing w:before="0" w:after="0"/>
        <w:jc w:val="center"/>
        <w:rPr>
          <w:rFonts w:ascii="Times New Roman" w:hAnsi="Times New Roman"/>
          <w:b/>
          <w:sz w:val="20"/>
        </w:rPr>
      </w:pPr>
      <w:r>
        <w:rPr>
          <w:rFonts w:ascii="Times New Roman" w:hAnsi="Times New Roman"/>
          <w:b/>
          <w:sz w:val="20"/>
        </w:rPr>
        <w:t xml:space="preserve">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120" w:after="0"/>
        <w:jc w:val="left"/>
        <w:rPr>
          <w:rFonts w:ascii="Times New Roman" w:hAnsi="Times New Roman"/>
          <w:sz w:val="20"/>
        </w:rPr>
      </w:pPr>
      <w:r>
        <w:rPr>
          <w:rFonts w:ascii="Times New Roman" w:hAnsi="Times New Roman"/>
          <w:sz w:val="20"/>
        </w:rPr>
        <w:t xml:space="preserve">(2)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120" w:after="0"/>
        <w:jc w:val="left"/>
        <w:rPr>
          <w:rFonts w:ascii="Times New Roman" w:hAnsi="Times New Roman"/>
          <w:sz w:val="20"/>
        </w:rPr>
      </w:pPr>
      <w:r>
        <w:rPr>
          <w:rFonts w:ascii="Times New Roman" w:hAnsi="Times New Roman"/>
          <w:sz w:val="20"/>
        </w:rPr>
        <w:t>(3) the Company fails to observe or perform any other of its covenants or agreements with respect to that series contained in this Indenture or otherwise established with respect to that series of Securities pursuant to</w:t>
      </w:r>
      <w:r>
        <w:rPr>
          <w:rFonts w:ascii="Times New Roman" w:hAnsi="Times New Roman"/>
          <w:sz w:val="20"/>
          <w:u w:val="single"/>
        </w:rPr>
        <w:t> Section 2.01</w:t>
      </w:r>
      <w:r>
        <w:rPr>
          <w:rFonts w:ascii="Times New Roman" w:hAnsi="Times New Roman"/>
          <w:sz w:val="20"/>
        </w:rPr>
        <w:t>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hAnsi="Times New Roman"/>
          <w:b/>
          <w:sz w:val="20"/>
        </w:rPr>
        <w:t>Notice of Default</w:t>
      </w:r>
      <w:r>
        <w:rPr>
          <w:rFonts w:ascii="Times New Roman" w:hAnsi="Times New Roman"/>
          <w:sz w:val="20"/>
        </w:rPr>
        <w:t xml:space="preserve"> hereunder, shall have been given to the Company by the Trustee or to the Company and the Trustee by the holders of at least 25% in principal amount of the Securities of that series at the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sz w:val="20"/>
        </w:rPr>
        <w:t xml:space="preserve">(5)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sz w:val="20"/>
        </w:rPr>
        <w:t xml:space="preserve">(b)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sz w:val="20"/>
        </w:rPr>
        <w:t>(c)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w:t>
      </w:r>
      <w:r>
        <w:rPr>
          <w:rFonts w:ascii="Times New Roman" w:hAnsi="Times New Roman"/>
          <w:sz w:val="20"/>
          <w:u w:val="single"/>
        </w:rPr>
        <w:t> Section 7.06</w:t>
      </w:r>
      <w:r>
        <w:rPr>
          <w:rFonts w:ascii="Times New Roman" w:hAnsi="Times New Roman"/>
          <w:sz w:val="20"/>
        </w:rPr>
        <w:t>,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w:t>
      </w:r>
      <w:r>
        <w:rPr>
          <w:rFonts w:ascii="Times New Roman" w:hAnsi="Times New Roman"/>
          <w:sz w:val="20"/>
          <w:u w:val="single"/>
        </w:rPr>
        <w:t> Section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(d)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r>
        <w:rPr>
          <w:rFonts w:ascii="Times New Roman" w:hAnsi="Times New Roman"/>
          <w:sz w:val="20"/>
          <w:u w:val="single"/>
        </w:rPr>
        <w:t> Section 7.06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(c) 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w:t>
      </w:r>
      <w:r>
        <w:rPr>
          <w:rFonts w:ascii="Times New Roman" w:hAnsi="Times New Roman"/>
          <w:sz w:val="20"/>
          <w:u w:val="single"/>
        </w:rPr>
        <w:t> Section 7.06</w:t>
      </w:r>
      <w:r>
        <w:rPr>
          <w:rFonts w:ascii="Times New Roman" w:hAnsi="Times New Roman"/>
          <w:sz w:val="20"/>
        </w:rPr>
        <w:t>;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w:t>
      </w:r>
      <w:r>
        <w:rPr>
          <w:rFonts w:ascii="Times New Roman" w:hAnsi="Times New Roman"/>
          <w:sz w:val="20"/>
          <w:u w:val="single"/>
        </w:rPr>
        <w:t> Section 7.06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w:t>
      </w:r>
      <w:r>
        <w:rPr>
          <w:rFonts w:ascii="Times New Roman" w:hAnsi="Times New Roman"/>
          <w:sz w:val="20"/>
          <w:u w:val="single"/>
        </w:rPr>
        <w:t> Section 7.06</w:t>
      </w:r>
      <w:r>
        <w:rPr>
          <w:rFonts w:ascii="Times New Roman" w:hAnsi="Times New Roman"/>
          <w:sz w:val="20"/>
        </w:rPr>
        <w:t xml:space="preserve">,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To the payment of all indebtedness of the Company to which such series of Securities is subordinated to the extent required by</w:t>
      </w:r>
      <w:r>
        <w:rPr>
          <w:rFonts w:ascii="Times New Roman" w:hAnsi="Times New Roman"/>
          <w:sz w:val="20"/>
          <w:u w:val="single"/>
        </w:rPr>
        <w:t> Section 7.06</w:t>
      </w:r>
      <w:r>
        <w:rPr>
          <w:rFonts w:ascii="Times New Roman" w:hAnsi="Times New Roman"/>
          <w:sz w:val="20"/>
        </w:rPr>
        <w:t> and any subordination terms of the series specified as contemplated by</w:t>
      </w:r>
      <w:r>
        <w:rPr>
          <w:rFonts w:ascii="Times New Roman" w:hAnsi="Times New Roman"/>
          <w:sz w:val="20"/>
          <w:u w:val="single"/>
        </w:rPr>
        <w:t> Article 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in</w:t>
      </w:r>
      <w:r>
        <w:rPr>
          <w:rFonts w:ascii="Times New Roman" w:hAnsi="Times New Roman"/>
          <w:sz w:val="20"/>
          <w:u w:val="single"/>
        </w:rPr>
        <w:t> Section 2.07</w:t>
      </w:r>
      <w:r>
        <w:rPr>
          <w:rFonts w:ascii="Times New Roman" w:hAnsi="Times New Roman"/>
          <w:sz w:val="20"/>
        </w:rPr>
        <w:t xml:space="preserve">,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(b)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w:t>
      </w:r>
      <w:r>
        <w:rPr>
          <w:rFonts w:ascii="Times New Roman" w:hAnsi="Times New Roman"/>
          <w:sz w:val="20"/>
          <w:u w:val="single"/>
        </w:rPr>
        <w:t> Section 6.04</w:t>
      </w:r>
      <w:r>
        <w:rPr>
          <w:rFonts w:ascii="Times New Roman" w:hAnsi="Times New Roman"/>
          <w:sz w:val="20"/>
        </w:rPr>
        <w:t xml:space="preserve">, every power and remedy given by this Article or by law to the Trustee or the Securityholders may be exercised from time to time, and as often as shall be deemed expedient, by the Trustee or by the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holders of a majority in aggregate principal amount of the Securities of any series at the time Outstanding, determined in accordance with</w:t>
      </w:r>
      <w:r>
        <w:rPr>
          <w:rFonts w:ascii="Times New Roman" w:hAnsi="Times New Roman"/>
          <w:sz w:val="20"/>
          <w:u w:val="single"/>
        </w:rPr>
        <w:t> Section 8.04</w:t>
      </w:r>
      <w:r>
        <w:rPr>
          <w:rFonts w:ascii="Times New Roman" w:hAnsi="Times New Roman"/>
          <w:sz w:val="20"/>
        </w:rPr>
        <w:t>, shall have the right to direct the time, method and place of conducting any proceeding for any remedy available to the Trustee, or exercising any trust or power conferred on the Trustee with respect to such series;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w:t>
      </w:r>
      <w:r>
        <w:rPr>
          <w:rFonts w:ascii="Times New Roman" w:hAnsi="Times New Roman"/>
          <w:sz w:val="20"/>
          <w:u w:val="single"/>
        </w:rPr>
        <w:t> Section 8.04</w:t>
      </w:r>
      <w:r>
        <w:rPr>
          <w:rFonts w:ascii="Times New Roman" w:hAnsi="Times New Roman"/>
          <w:sz w:val="20"/>
        </w:rPr>
        <w:t>, may on behalf of the holders of all of the Securities of such series waive any past default in the performance of any of the covenants contained herein or established pursuant to</w:t>
      </w:r>
      <w:r>
        <w:rPr>
          <w:rFonts w:ascii="Times New Roman" w:hAnsi="Times New Roman"/>
          <w:sz w:val="20"/>
          <w:u w:val="single"/>
        </w:rPr>
        <w:t> Section 2.01</w:t>
      </w:r>
      <w:r>
        <w:rPr>
          <w:rFonts w:ascii="Times New Roman" w:hAnsi="Times New Roman"/>
          <w:sz w:val="20"/>
        </w:rPr>
        <w:t>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w:t>
      </w:r>
      <w:r>
        <w:rPr>
          <w:rFonts w:ascii="Times New Roman" w:hAnsi="Times New Roman"/>
          <w:sz w:val="20"/>
          <w:u w:val="single"/>
        </w:rPr>
        <w:t> Section 6.01(c)</w:t>
      </w:r>
      <w:r>
        <w:rPr>
          <w:rFonts w:ascii="Times New Roman" w:hAnsi="Times New Roman"/>
          <w:sz w:val="20"/>
        </w:rPr>
        <w:t xml:space="preserve">).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(1)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 </w:t>
      </w:r>
    </w:p>
    <w:p>
      <w:pPr>
        <w:pStyle w:val="TextBody"/>
        <w:bidi w:val="0"/>
        <w:spacing w:before="120" w:after="0"/>
        <w:jc w:val="left"/>
        <w:rPr>
          <w:rFonts w:ascii="Times New Roman" w:hAnsi="Times New Roman"/>
          <w:sz w:val="20"/>
        </w:rPr>
      </w:pPr>
      <w:r>
        <w:rPr>
          <w:rFonts w:ascii="Times New Roman" w:hAnsi="Times New Roman"/>
          <w:sz w:val="20"/>
        </w:rPr>
        <w:t xml:space="preserve">(4) 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otherwise provided in</w:t>
      </w:r>
      <w:r>
        <w:rPr>
          <w:rFonts w:ascii="Times New Roman" w:hAnsi="Times New Roman"/>
          <w:sz w:val="20"/>
          <w:u w:val="single"/>
        </w:rPr>
        <w:t> Section 7.01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w:t>
      </w:r>
      <w:r>
        <w:rPr>
          <w:rFonts w:ascii="Times New Roman" w:hAnsi="Times New Roman"/>
          <w:sz w:val="20"/>
          <w:u w:val="single"/>
        </w:rPr>
        <w:t> Section 8.04</w:t>
      </w:r>
      <w:r>
        <w:rPr>
          <w:rFonts w:ascii="Times New Roman" w:hAnsi="Times New Roman"/>
          <w:sz w:val="20"/>
        </w:rPr>
        <w: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 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(j) The permissive rights of the Trustee enumerated herein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(k) The Trustee may request that the Company deliver a certificate setting forth the names of individuals and/or titles of officers authorized at such time to take specified actions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(l) The Trustee shall not be required to give any bond or surety in respect of the performance of its powers and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recitals contained herein and in the Securities shall be taken as the statements of the Company, and the Trustee assumes no responsibility for the correctness of the same.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(c)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w:t>
      </w:r>
      <w:r>
        <w:rPr>
          <w:rFonts w:ascii="Times New Roman" w:hAnsi="Times New Roman"/>
          <w:sz w:val="20"/>
          <w:u w:val="single"/>
        </w:rPr>
        <w:t> Section 2.01</w:t>
      </w:r>
      <w:r>
        <w:rPr>
          <w:rFonts w:ascii="Times New Roman" w:hAnsi="Times New Roman"/>
          <w:sz w:val="20"/>
        </w:rPr>
        <w:t xml:space="preserve">,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provisions of</w:t>
      </w:r>
      <w:r>
        <w:rPr>
          <w:rFonts w:ascii="Times New Roman" w:hAnsi="Times New Roman"/>
          <w:sz w:val="20"/>
          <w:u w:val="single"/>
        </w:rPr>
        <w:t> Section 11.05</w:t>
      </w:r>
      <w:r>
        <w:rPr>
          <w:rFonts w:ascii="Times New Roman" w:hAnsi="Times New Roman"/>
          <w:sz w:val="20"/>
        </w:rPr>
        <w:t xml:space="preserve">,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 </w:t>
      </w:r>
    </w:p>
    <w:p>
      <w:pPr>
        <w:pStyle w:val="TextBody"/>
        <w:bidi w:val="0"/>
        <w:spacing w:before="240" w:after="0"/>
        <w:jc w:val="left"/>
        <w:rPr>
          <w:rFonts w:ascii="Times New Roman" w:hAnsi="Times New Roman"/>
          <w:sz w:val="20"/>
        </w:rPr>
      </w:pPr>
      <w:r>
        <w:rPr>
          <w:rFonts w:ascii="Times New Roman" w:hAnsi="Times New Roman"/>
          <w:sz w:val="20"/>
        </w:rPr>
        <w:t>(c) 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w:t>
      </w:r>
      <w:r>
        <w:rPr>
          <w:rFonts w:ascii="Times New Roman" w:hAnsi="Times New Roman"/>
          <w:sz w:val="20"/>
          <w:u w:val="single"/>
        </w:rPr>
        <w:t> Section 6.01(a)(4)</w:t>
      </w:r>
      <w:r>
        <w:rPr>
          <w:rFonts w:ascii="Times New Roman" w:hAnsi="Times New Roman"/>
          <w:sz w:val="20"/>
        </w:rPr>
        <w:t> or</w:t>
      </w:r>
      <w:r>
        <w:rPr>
          <w:rFonts w:ascii="Times New Roman" w:hAnsi="Times New Roman"/>
          <w:sz w:val="20"/>
          <w:u w:val="single"/>
        </w:rPr>
        <w:t> (5)</w:t>
      </w:r>
      <w:r>
        <w:rPr>
          <w:rFonts w:ascii="Times New Roman" w:hAnsi="Times New Roman"/>
          <w:sz w:val="20"/>
        </w:rPr>
        <w:t>, the expenses (including the reasonable fees and expenses of its counsel) and the compensation for services in connection therewith are to constitute expenses of administration under any Bankruptcy Law. The provisions of this</w:t>
      </w:r>
      <w:r>
        <w:rPr>
          <w:rFonts w:ascii="Times New Roman" w:hAnsi="Times New Roman"/>
          <w:sz w:val="20"/>
          <w:u w:val="single"/>
        </w:rPr>
        <w:t> Section 7.06</w:t>
      </w:r>
      <w:r>
        <w:rPr>
          <w:rFonts w:ascii="Times New Roman" w:hAnsi="Times New Roman"/>
          <w:sz w:val="20"/>
        </w:rPr>
        <w:t xml:space="preserve"> shall survive the termination of this Indenture and the earlier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Reliance on Officers Certificate or Opinion of Counsel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otherwise provided in</w:t>
      </w:r>
      <w:r>
        <w:rPr>
          <w:rFonts w:ascii="Times New Roman" w:hAnsi="Times New Roman"/>
          <w:sz w:val="20"/>
          <w:u w:val="single"/>
        </w:rPr>
        <w:t> Section 7.01</w:t>
      </w:r>
      <w:r>
        <w:rPr>
          <w:rFonts w:ascii="Times New Roman" w:hAnsi="Times New Roman"/>
          <w:sz w:val="20"/>
        </w:rPr>
        <w:t xml:space="preserve">,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w:t>
      </w:r>
      <w:r>
        <w:rPr>
          <w:rFonts w:ascii="Times New Roman" w:hAnsi="Times New Roman"/>
          <w:sz w:val="20"/>
          <w:u w:val="single"/>
        </w:rPr>
        <w:t> 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(i) the Trustee shall fail to comply with the provisions of</w:t>
      </w:r>
      <w:r>
        <w:rPr>
          <w:rFonts w:ascii="Times New Roman" w:hAnsi="Times New Roman"/>
          <w:sz w:val="20"/>
          <w:u w:val="single"/>
        </w:rPr>
        <w:t> Section 7.08</w:t>
      </w:r>
      <w:r>
        <w:rPr>
          <w:rFonts w:ascii="Times New Roman" w:hAnsi="Times New Roman"/>
          <w:sz w:val="20"/>
        </w:rPr>
        <w:t xml:space="preserve"> after written request therefor by the Company or by any Securityholder who has been a bona fide holder of a Security or Securities for at least six months; or </w:t>
      </w:r>
    </w:p>
    <w:p>
      <w:pPr>
        <w:pStyle w:val="TextBody"/>
        <w:bidi w:val="0"/>
        <w:spacing w:before="120" w:after="0"/>
        <w:jc w:val="left"/>
        <w:rPr>
          <w:rFonts w:ascii="Times New Roman" w:hAnsi="Times New Roman"/>
          <w:sz w:val="20"/>
        </w:rPr>
      </w:pPr>
      <w:r>
        <w:rPr>
          <w:rFonts w:ascii="Times New Roman" w:hAnsi="Times New Roman"/>
          <w:sz w:val="20"/>
        </w:rPr>
        <w:t>(ii) the Trustee shall cease to be eligible in accordance with the provisions of</w:t>
      </w:r>
      <w:r>
        <w:rPr>
          <w:rFonts w:ascii="Times New Roman" w:hAnsi="Times New Roman"/>
          <w:sz w:val="20"/>
          <w:u w:val="single"/>
        </w:rPr>
        <w:t> Section 7.09</w:t>
      </w:r>
      <w:r>
        <w:rPr>
          <w:rFonts w:ascii="Times New Roman" w:hAnsi="Times New Roman"/>
          <w:sz w:val="20"/>
        </w:rPr>
        <w:t xml:space="preserve"> and shall fail to resign after written request therefor by the Company or by any such Securityholder;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Any resignation or removal of the Trustee and appointment of a successor trustee with respect to the Securities of a series pursuant to any of the provisions of this Section shall become effective upon acceptance of appointment by the successor trustee as provided in</w:t>
      </w:r>
      <w:r>
        <w:rPr>
          <w:rFonts w:ascii="Times New Roman" w:hAnsi="Times New Roman"/>
          <w:sz w:val="20"/>
          <w:u w:val="single"/>
        </w:rPr>
        <w:t> 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w:t>
      </w:r>
      <w:r>
        <w:rPr>
          <w:rFonts w:ascii="Times New Roman" w:hAnsi="Times New Roman"/>
          <w:sz w:val="20"/>
          <w:u w:val="single"/>
        </w:rPr>
        <w:t> Section 7.06</w:t>
      </w:r>
      <w:r>
        <w:rPr>
          <w:rFonts w:ascii="Times New Roman" w:hAnsi="Times New Roman"/>
          <w:sz w:val="20"/>
        </w:rPr>
        <w:t xml:space="preserve">,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hAnsi="Times New Roman"/>
          <w:i/>
          <w:sz w:val="20"/>
        </w:rPr>
        <w:t>provided</w:t>
      </w:r>
      <w:r>
        <w:rPr>
          <w:rFonts w:ascii="Times New Roman" w:hAnsi="Times New Roman"/>
          <w:sz w:val="20"/>
        </w:rPr>
        <w:t> that such corporation shall be qualified under the provisions of</w:t>
      </w:r>
      <w:r>
        <w:rPr>
          <w:rFonts w:ascii="Times New Roman" w:hAnsi="Times New Roman"/>
          <w:sz w:val="20"/>
          <w:u w:val="single"/>
        </w:rPr>
        <w:t> Section 7.08</w:t>
      </w:r>
      <w:r>
        <w:rPr>
          <w:rFonts w:ascii="Times New Roman" w:hAnsi="Times New Roman"/>
          <w:sz w:val="20"/>
        </w:rPr>
        <w:t> and eligible under the provisions of</w:t>
      </w:r>
      <w:r>
        <w:rPr>
          <w:rFonts w:ascii="Times New Roman" w:hAnsi="Times New Roman"/>
          <w:sz w:val="20"/>
          <w:u w:val="single"/>
        </w:rPr>
        <w:t> Section 7.09</w:t>
      </w:r>
      <w:r>
        <w:rPr>
          <w:rFonts w:ascii="Times New Roman" w:hAnsi="Times New Roman"/>
          <w:sz w:val="20"/>
        </w:rPr>
        <w:t xml:space="preserve">,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Whenever in this Indenture it is </w:t>
      </w:r>
      <w:r>
        <w:rPr>
          <w:rFonts w:ascii="Times New Roman" w:hAnsi="Times New Roman"/>
          <w:i/>
          <w:sz w:val="20"/>
        </w:rPr>
        <w:t>provided</w:t>
      </w:r>
      <w:r>
        <w:rPr>
          <w:rFonts w:ascii="Times New Roman" w:hAnsi="Times New Roman"/>
          <w:sz w:val="20"/>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provisions of</w:t>
      </w:r>
      <w:r>
        <w:rPr>
          <w:rFonts w:ascii="Times New Roman" w:hAnsi="Times New Roman"/>
          <w:sz w:val="20"/>
          <w:u w:val="single"/>
        </w:rPr>
        <w:t> Section 7.01</w:t>
      </w:r>
      <w:r>
        <w:rPr>
          <w:rFonts w:ascii="Times New Roman" w:hAnsi="Times New Roman"/>
          <w:sz w:val="20"/>
        </w:rPr>
        <w:t xml:space="preserve">, proof of the execution of any instrument by a Securityholder (such proof will not require notarization) or his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(a)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ownership of Securities shall be proved by the Security Register of such Securities or by a certificate of the Security Registrar thereof. 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w:t>
      </w:r>
      <w:r>
        <w:rPr>
          <w:rFonts w:ascii="Times New Roman" w:hAnsi="Times New Roman"/>
          <w:sz w:val="20"/>
          <w:u w:val="single"/>
        </w:rPr>
        <w:t> Section 2.03</w:t>
      </w:r>
      <w:r>
        <w:rPr>
          <w:rFonts w:ascii="Times New Roman" w:hAnsi="Times New Roman"/>
          <w:sz w:val="20"/>
        </w:rPr>
        <w:t xml:space="preserve">)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At any time prior to (but not after) the evidencing to the Trustee, as provided in</w:t>
      </w:r>
      <w:r>
        <w:rPr>
          <w:rFonts w:ascii="Times New Roman" w:hAnsi="Times New Roman"/>
          <w:sz w:val="20"/>
          <w:u w:val="single"/>
        </w:rPr>
        <w:t> Section 8.01</w:t>
      </w:r>
      <w:r>
        <w:rPr>
          <w:rFonts w:ascii="Times New Roman" w:hAnsi="Times New Roman"/>
          <w:sz w:val="20"/>
        </w:rPr>
        <w:t>,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w:t>
      </w:r>
      <w:r>
        <w:rPr>
          <w:rFonts w:ascii="Times New Roman" w:hAnsi="Times New Roman"/>
          <w:sz w:val="20"/>
          <w:u w:val="single"/>
        </w:rPr>
        <w:t> Section 8.02</w:t>
      </w:r>
      <w:r>
        <w:rPr>
          <w:rFonts w:ascii="Times New Roman" w:hAnsi="Times New Roman"/>
          <w:sz w:val="20"/>
        </w:rPr>
        <w:t xml:space="preserve">,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(b) to comply with</w:t>
      </w:r>
      <w:r>
        <w:rPr>
          <w:rFonts w:ascii="Times New Roman" w:hAnsi="Times New Roman"/>
          <w:sz w:val="20"/>
          <w:u w:val="single"/>
        </w:rPr>
        <w:t> 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(f)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sz w:val="20"/>
        </w:rPr>
        <w:t>(g) to provide for the issuance of and establish the form and terms and conditions of the Securities of any series as provided in</w:t>
      </w:r>
      <w:r>
        <w:rPr>
          <w:rFonts w:ascii="Times New Roman" w:hAnsi="Times New Roman"/>
          <w:sz w:val="20"/>
          <w:u w:val="single"/>
        </w:rPr>
        <w:t> Section 2.01</w:t>
      </w:r>
      <w:r>
        <w:rPr>
          <w:rFonts w:ascii="Times New Roman" w:hAnsi="Times New Roman"/>
          <w:sz w:val="20"/>
        </w:rPr>
        <w:t xml:space="preserve">,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or to appoint a separate trustee with respect to any series; or </w:t>
      </w:r>
    </w:p>
    <w:p>
      <w:pPr>
        <w:pStyle w:val="TextBody"/>
        <w:bidi w:val="0"/>
        <w:spacing w:before="240" w:after="0"/>
        <w:jc w:val="left"/>
        <w:rPr>
          <w:rFonts w:ascii="Times New Roman" w:hAnsi="Times New Roman"/>
          <w:sz w:val="20"/>
        </w:rPr>
      </w:pPr>
      <w:r>
        <w:rPr>
          <w:rFonts w:ascii="Times New Roman" w:hAnsi="Times New Roman"/>
          <w:sz w:val="20"/>
        </w:rPr>
        <w:t xml:space="preserve">(i)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Any supplemental indenture authorized by the provisions of this Section may be executed by the Company and the Trustee without the consent of the holders of any of the Securities at the time Outstanding, notwithstanding any of the provisions of</w:t>
      </w:r>
      <w:r>
        <w:rPr>
          <w:rFonts w:ascii="Times New Roman" w:hAnsi="Times New Roman"/>
          <w:sz w:val="20"/>
          <w:u w:val="single"/>
        </w:rPr>
        <w:t> 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With the consent (evidenced as provided in</w:t>
      </w:r>
      <w:r>
        <w:rPr>
          <w:rFonts w:ascii="Times New Roman" w:hAnsi="Times New Roman"/>
          <w:sz w:val="20"/>
          <w:u w:val="single"/>
        </w:rPr>
        <w:t> Section 8.01</w:t>
      </w:r>
      <w:r>
        <w:rPr>
          <w:rFonts w:ascii="Times New Roman" w:hAnsi="Times New Roman"/>
          <w:sz w:val="20"/>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eliminating any of the provisions of this Indenture or of any supplemental indenture or of modifying in any manner not covered by</w:t>
      </w:r>
      <w:r>
        <w:rPr>
          <w:rFonts w:ascii="Times New Roman" w:hAnsi="Times New Roman"/>
          <w:sz w:val="20"/>
          <w:u w:val="single"/>
        </w:rPr>
        <w:t> Section 9.01</w:t>
      </w:r>
      <w:r>
        <w:rPr>
          <w:rFonts w:ascii="Times New Roman" w:hAnsi="Times New Roman"/>
          <w:sz w:val="20"/>
        </w:rPr>
        <w:t> the rights of the holders of the Securities of such series under this Indenture;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execution of any supplemental indenture pursuant to the provisions of this Article or of</w:t>
      </w:r>
      <w:r>
        <w:rPr>
          <w:rFonts w:ascii="Times New Roman" w:hAnsi="Times New Roman"/>
          <w:sz w:val="20"/>
          <w:u w:val="single"/>
        </w:rPr>
        <w:t> Section 10.01</w:t>
      </w:r>
      <w:r>
        <w:rPr>
          <w:rFonts w:ascii="Times New Roman" w:hAnsi="Times New Roman"/>
          <w:sz w:val="20"/>
        </w:rPr>
        <w:t xml:space="preserve">,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Securities of any series affected by a supplemental indenture, authenticated and delivered after the execution of such supplemental indenture pursuant to the provisions of this Article or of</w:t>
      </w:r>
      <w:r>
        <w:rPr>
          <w:rFonts w:ascii="Times New Roman" w:hAnsi="Times New Roman"/>
          <w:sz w:val="20"/>
          <w:u w:val="single"/>
        </w:rPr>
        <w:t> Section 10.01</w:t>
      </w:r>
      <w:r>
        <w:rPr>
          <w:rFonts w:ascii="Times New Roman" w:hAnsi="Times New Roman"/>
          <w:sz w:val="20"/>
        </w:rPr>
        <w:t xml:space="preserve">,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w:t>
      </w:r>
      <w:r>
        <w:rPr>
          <w:rFonts w:ascii="Times New Roman" w:hAnsi="Times New Roman"/>
          <w:sz w:val="20"/>
          <w:u w:val="single"/>
        </w:rPr>
        <w:t> Section 2.01</w:t>
      </w:r>
      <w:r>
        <w:rPr>
          <w:rFonts w:ascii="Times New Roman" w:hAnsi="Times New Roman"/>
          <w:sz w:val="20"/>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of any such consolidation, merger, sale, conveyance, transfer or other disposition and upon the assumption by the successor entity by supplemental indenture, executed and delivered to the Trustee, of the obligations set forth under</w:t>
      </w:r>
      <w:r>
        <w:rPr>
          <w:rFonts w:ascii="Times New Roman" w:hAnsi="Times New Roman"/>
          <w:sz w:val="20"/>
          <w:u w:val="single"/>
        </w:rPr>
        <w:t> Section 10.01</w:t>
      </w:r>
      <w:r>
        <w:rPr>
          <w:rFonts w:ascii="Times New Roman" w:hAnsi="Times New Roman"/>
          <w:sz w:val="20"/>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(b)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w:t>
      </w:r>
      <w:r>
        <w:rPr>
          <w:rFonts w:ascii="Times New Roman" w:hAnsi="Times New Roman"/>
          <w:sz w:val="20"/>
          <w:u w:val="single"/>
        </w:rPr>
        <w:t> Section 2.07</w:t>
      </w:r>
      <w:r>
        <w:rPr>
          <w:rFonts w:ascii="Times New Roman" w:hAnsi="Times New Roman"/>
          <w:sz w:val="20"/>
        </w:rPr>
        <w:t xml:space="preserve"> and Securities for whose payment money or Governmental Obligations have theretofore been deposited in trust or segregated and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trust by the Company and thereupon repaid to the Company or discharged from such trust, as provided in</w:t>
      </w:r>
      <w:r>
        <w:rPr>
          <w:rFonts w:ascii="Times New Roman" w:hAnsi="Times New Roman"/>
          <w:sz w:val="20"/>
          <w:u w:val="single"/>
        </w:rPr>
        <w:t> Section 11.05</w:t>
      </w:r>
      <w:r>
        <w:rPr>
          <w:rFonts w:ascii="Times New Roman" w:hAnsi="Times New Roman"/>
          <w:sz w:val="20"/>
        </w:rPr>
        <w:t>);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w:t>
      </w:r>
      <w:r>
        <w:rPr>
          <w:rFonts w:ascii="Times New Roman" w:hAnsi="Times New Roman"/>
          <w:sz w:val="20"/>
          <w:u w:val="single"/>
        </w:rPr>
        <w:t xml:space="preserve"> Sections 2.03</w:t>
      </w:r>
      <w:r>
        <w:rPr>
          <w:rFonts w:ascii="Times New Roman" w:hAnsi="Times New Roman"/>
          <w:sz w:val="20"/>
        </w:rPr>
        <w:t>,</w:t>
      </w:r>
      <w:r>
        <w:rPr>
          <w:rFonts w:ascii="Times New Roman" w:hAnsi="Times New Roman"/>
          <w:sz w:val="20"/>
          <w:u w:val="single"/>
        </w:rPr>
        <w:t> 2.05</w:t>
      </w:r>
      <w:r>
        <w:rPr>
          <w:rFonts w:ascii="Times New Roman" w:hAnsi="Times New Roman"/>
          <w:sz w:val="20"/>
        </w:rPr>
        <w:t>,</w:t>
      </w:r>
      <w:r>
        <w:rPr>
          <w:rFonts w:ascii="Times New Roman" w:hAnsi="Times New Roman"/>
          <w:sz w:val="20"/>
          <w:u w:val="single"/>
        </w:rPr>
        <w:t> 2.07</w:t>
      </w:r>
      <w:r>
        <w:rPr>
          <w:rFonts w:ascii="Times New Roman" w:hAnsi="Times New Roman"/>
          <w:sz w:val="20"/>
        </w:rPr>
        <w:t>,</w:t>
      </w:r>
      <w:r>
        <w:rPr>
          <w:rFonts w:ascii="Times New Roman" w:hAnsi="Times New Roman"/>
          <w:sz w:val="20"/>
          <w:u w:val="single"/>
        </w:rPr>
        <w:t> 4.01</w:t>
      </w:r>
      <w:r>
        <w:rPr>
          <w:rFonts w:ascii="Times New Roman" w:hAnsi="Times New Roman"/>
          <w:sz w:val="20"/>
        </w:rPr>
        <w:t>,</w:t>
      </w:r>
      <w:r>
        <w:rPr>
          <w:rFonts w:ascii="Times New Roman" w:hAnsi="Times New Roman"/>
          <w:sz w:val="20"/>
          <w:u w:val="single"/>
        </w:rPr>
        <w:t> 4.02</w:t>
      </w:r>
      <w:r>
        <w:rPr>
          <w:rFonts w:ascii="Times New Roman" w:hAnsi="Times New Roman"/>
          <w:sz w:val="20"/>
        </w:rPr>
        <w:t>,</w:t>
      </w:r>
      <w:r>
        <w:rPr>
          <w:rFonts w:ascii="Times New Roman" w:hAnsi="Times New Roman"/>
          <w:sz w:val="20"/>
          <w:u w:val="single"/>
        </w:rPr>
        <w:t> 4.03</w:t>
      </w:r>
      <w:r>
        <w:rPr>
          <w:rFonts w:ascii="Times New Roman" w:hAnsi="Times New Roman"/>
          <w:sz w:val="20"/>
        </w:rPr>
        <w:t> and</w:t>
      </w:r>
      <w:r>
        <w:rPr>
          <w:rFonts w:ascii="Times New Roman" w:hAnsi="Times New Roman"/>
          <w:sz w:val="20"/>
          <w:u w:val="single"/>
        </w:rPr>
        <w:t> 7.10</w:t>
      </w:r>
      <w:r>
        <w:rPr>
          <w:rFonts w:ascii="Times New Roman" w:hAnsi="Times New Roman"/>
          <w:sz w:val="20"/>
        </w:rPr>
        <w:t>, that shall survive until the date of maturity or redemption date, as the case may be, and</w:t>
      </w:r>
      <w:r>
        <w:rPr>
          <w:rFonts w:ascii="Times New Roman" w:hAnsi="Times New Roman"/>
          <w:sz w:val="20"/>
          <w:u w:val="single"/>
        </w:rPr>
        <w:t> Sections 7.06</w:t>
      </w:r>
      <w:r>
        <w:rPr>
          <w:rFonts w:ascii="Times New Roman" w:hAnsi="Times New Roman"/>
          <w:sz w:val="20"/>
        </w:rPr>
        <w:t> and</w:t>
      </w:r>
      <w:r>
        <w:rPr>
          <w:rFonts w:ascii="Times New Roman" w:hAnsi="Times New Roman"/>
          <w:sz w:val="20"/>
          <w:u w:val="single"/>
        </w:rPr>
        <w:t> 11.05</w:t>
      </w:r>
      <w:r>
        <w:rPr>
          <w:rFonts w:ascii="Times New Roman" w:hAnsi="Times New Roman"/>
          <w:sz w:val="20"/>
        </w:rPr>
        <w:t xml:space="preserve">,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at any time all such Securities of a particular series not heretofore delivered to the Trustee for cancellation or that have not become due and payable as described in</w:t>
      </w:r>
      <w:r>
        <w:rPr>
          <w:rFonts w:ascii="Times New Roman" w:hAnsi="Times New Roman"/>
          <w:sz w:val="20"/>
          <w:u w:val="single"/>
        </w:rPr>
        <w:t> Section 11.01</w:t>
      </w:r>
      <w:r>
        <w:rPr>
          <w:rFonts w:ascii="Times New Roman" w:hAnsi="Times New Roman"/>
          <w:sz w:val="20"/>
        </w:rPr>
        <w:t>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w:t>
      </w:r>
      <w:r>
        <w:rPr>
          <w:rFonts w:ascii="Times New Roman" w:hAnsi="Times New Roman"/>
          <w:sz w:val="20"/>
          <w:u w:val="single"/>
        </w:rPr>
        <w:t> Sections 2.03</w:t>
      </w:r>
      <w:r>
        <w:rPr>
          <w:rFonts w:ascii="Times New Roman" w:hAnsi="Times New Roman"/>
          <w:sz w:val="20"/>
        </w:rPr>
        <w:t>,</w:t>
      </w:r>
      <w:r>
        <w:rPr>
          <w:rFonts w:ascii="Times New Roman" w:hAnsi="Times New Roman"/>
          <w:sz w:val="20"/>
          <w:u w:val="single"/>
        </w:rPr>
        <w:t> 2.05</w:t>
      </w:r>
      <w:r>
        <w:rPr>
          <w:rFonts w:ascii="Times New Roman" w:hAnsi="Times New Roman"/>
          <w:sz w:val="20"/>
        </w:rPr>
        <w:t>,</w:t>
      </w:r>
      <w:r>
        <w:rPr>
          <w:rFonts w:ascii="Times New Roman" w:hAnsi="Times New Roman"/>
          <w:sz w:val="20"/>
          <w:u w:val="single"/>
        </w:rPr>
        <w:t> 2.07</w:t>
      </w:r>
      <w:r>
        <w:rPr>
          <w:rFonts w:ascii="Times New Roman" w:hAnsi="Times New Roman"/>
          <w:sz w:val="20"/>
        </w:rPr>
        <w:t>,</w:t>
      </w:r>
      <w:r>
        <w:rPr>
          <w:rFonts w:ascii="Times New Roman" w:hAnsi="Times New Roman"/>
          <w:sz w:val="20"/>
          <w:u w:val="single"/>
        </w:rPr>
        <w:t> 4.01</w:t>
      </w:r>
      <w:r>
        <w:rPr>
          <w:rFonts w:ascii="Times New Roman" w:hAnsi="Times New Roman"/>
          <w:sz w:val="20"/>
        </w:rPr>
        <w:t>,</w:t>
      </w:r>
      <w:r>
        <w:rPr>
          <w:rFonts w:ascii="Times New Roman" w:hAnsi="Times New Roman"/>
          <w:sz w:val="20"/>
          <w:u w:val="single"/>
        </w:rPr>
        <w:t> 4.02</w:t>
      </w:r>
      <w:r>
        <w:rPr>
          <w:rFonts w:ascii="Times New Roman" w:hAnsi="Times New Roman"/>
          <w:sz w:val="20"/>
        </w:rPr>
        <w:t>,</w:t>
      </w:r>
      <w:r>
        <w:rPr>
          <w:rFonts w:ascii="Times New Roman" w:hAnsi="Times New Roman"/>
          <w:sz w:val="20"/>
          <w:u w:val="single"/>
        </w:rPr>
        <w:t> 4.03</w:t>
      </w:r>
      <w:r>
        <w:rPr>
          <w:rFonts w:ascii="Times New Roman" w:hAnsi="Times New Roman"/>
          <w:sz w:val="20"/>
        </w:rPr>
        <w:t>,</w:t>
      </w:r>
      <w:r>
        <w:rPr>
          <w:rFonts w:ascii="Times New Roman" w:hAnsi="Times New Roman"/>
          <w:sz w:val="20"/>
          <w:u w:val="single"/>
        </w:rPr>
        <w:t> 7.06</w:t>
      </w:r>
      <w:r>
        <w:rPr>
          <w:rFonts w:ascii="Times New Roman" w:hAnsi="Times New Roman"/>
          <w:sz w:val="20"/>
        </w:rPr>
        <w:t>,</w:t>
      </w:r>
      <w:r>
        <w:rPr>
          <w:rFonts w:ascii="Times New Roman" w:hAnsi="Times New Roman"/>
          <w:sz w:val="20"/>
          <w:u w:val="single"/>
        </w:rPr>
        <w:t> 7.10</w:t>
      </w:r>
      <w:r>
        <w:rPr>
          <w:rFonts w:ascii="Times New Roman" w:hAnsi="Times New Roman"/>
          <w:sz w:val="20"/>
        </w:rPr>
        <w:t> and</w:t>
      </w:r>
      <w:r>
        <w:rPr>
          <w:rFonts w:ascii="Times New Roman" w:hAnsi="Times New Roman"/>
          <w:sz w:val="20"/>
          <w:u w:val="single"/>
        </w:rPr>
        <w:t> 11.05</w:t>
      </w:r>
      <w:r>
        <w:rPr>
          <w:rFonts w:ascii="Times New Roman" w:hAnsi="Times New Roman"/>
          <w:sz w:val="20"/>
        </w:rPr>
        <w:t xml:space="preserve">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Thereafter,</w:t>
      </w:r>
      <w:r>
        <w:rPr>
          <w:rFonts w:ascii="Times New Roman" w:hAnsi="Times New Roman"/>
          <w:sz w:val="20"/>
          <w:u w:val="single"/>
        </w:rPr>
        <w:t> Sections 7.06</w:t>
      </w:r>
      <w:r>
        <w:rPr>
          <w:rFonts w:ascii="Times New Roman" w:hAnsi="Times New Roman"/>
          <w:sz w:val="20"/>
        </w:rPr>
        <w:t> and</w:t>
      </w:r>
      <w:r>
        <w:rPr>
          <w:rFonts w:ascii="Times New Roman" w:hAnsi="Times New Roman"/>
          <w:sz w:val="20"/>
          <w:u w:val="single"/>
        </w:rPr>
        <w:t> 11.05</w:t>
      </w:r>
      <w:r>
        <w:rPr>
          <w:rFonts w:ascii="Times New Roman" w:hAnsi="Times New Roman"/>
          <w:sz w:val="20"/>
        </w:rPr>
        <w:t xml:space="preserve">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moneys or Governmental Obligations deposited with the Trustee pursuant to</w:t>
      </w:r>
      <w:r>
        <w:rPr>
          <w:rFonts w:ascii="Times New Roman" w:hAnsi="Times New Roman"/>
          <w:sz w:val="20"/>
          <w:u w:val="single"/>
        </w:rPr>
        <w:t> Sections 11.01</w:t>
      </w:r>
      <w:r>
        <w:rPr>
          <w:rFonts w:ascii="Times New Roman" w:hAnsi="Times New Roman"/>
          <w:sz w:val="20"/>
        </w:rPr>
        <w:t> or</w:t>
      </w:r>
      <w:r>
        <w:rPr>
          <w:rFonts w:ascii="Times New Roman" w:hAnsi="Times New Roman"/>
          <w:sz w:val="20"/>
          <w:u w:val="single"/>
        </w:rPr>
        <w:t> 11.02</w:t>
      </w:r>
      <w:r>
        <w:rPr>
          <w:rFonts w:ascii="Times New Roman" w:hAnsi="Times New Roman"/>
          <w:sz w:val="20"/>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IMMUNITY OF INCORPORATORS, STOCKHOLDERS, OFFICERS </w:t>
      </w:r>
    </w:p>
    <w:p>
      <w:pPr>
        <w:pStyle w:val="TextBody"/>
        <w:bidi w:val="0"/>
        <w:spacing w:before="0" w:after="0"/>
        <w:jc w:val="center"/>
        <w:rPr>
          <w:rFonts w:ascii="Times New Roman" w:hAnsi="Times New Roman"/>
          <w:b/>
          <w:sz w:val="20"/>
        </w:rPr>
      </w:pPr>
      <w:r>
        <w:rPr>
          <w:rFonts w:ascii="Times New Roman" w:hAnsi="Times New Roman"/>
          <w:b/>
          <w:sz w:val="20"/>
        </w:rPr>
        <w:t xml:space="preserve">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[    ]. Any notice, election, request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Governing Law; Jury Trial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w:t>
      </w:r>
      <w:r>
        <w:rPr>
          <w:rFonts w:ascii="Times New Roman" w:hAnsi="Times New Roman"/>
          <w:sz w:val="20"/>
          <w:u w:val="single"/>
        </w:rPr>
        <w:t> Section 13.12</w:t>
      </w:r>
      <w:r>
        <w:rPr>
          <w:rFonts w:ascii="Times New Roman" w:hAnsi="Times New Roman"/>
          <w:sz w:val="20"/>
        </w:rPr>
        <w:t xml:space="preserve">) relating to the proposed action have been complied with and an Opinion of Counsel stating that in the opinion of such counsel all such covenants and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(b)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as provided pursuant to</w:t>
      </w:r>
      <w:r>
        <w:rPr>
          <w:rFonts w:ascii="Times New Roman" w:hAnsi="Times New Roman"/>
          <w:sz w:val="20"/>
          <w:u w:val="single"/>
        </w:rPr>
        <w:t> Section 2.01</w:t>
      </w:r>
      <w:r>
        <w:rPr>
          <w:rFonts w:ascii="Times New Roman" w:hAnsi="Times New Roman"/>
          <w:sz w:val="20"/>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Sections 310 to 317, inclusive, of the Trust Indenture Act, such imposed duties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w:t>
      </w:r>
      <w:r>
        <w:rPr>
          <w:rFonts w:ascii="Times New Roman" w:hAnsi="Times New Roman"/>
          <w:sz w:val="20"/>
          <w:u w:val="single"/>
        </w:rPr>
        <w:t> Section 13.12</w:t>
      </w:r>
      <w:r>
        <w:rPr>
          <w:rFonts w:ascii="Times New Roman" w:hAnsi="Times New Roman"/>
          <w:sz w:val="20"/>
        </w:rPr>
        <w:t xml:space="preserve">,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Trustee nor the paying agent shall have no responsibility for any calculations hereunder and shall be entitled to conclusively rely on the calculations of the Company without any independent verification or investigation.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SUBORDINATION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Subordination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payment by the Company of the principal of, premium, if any, and interest on any series of Securities issued hereunder shall be subordinated to the extent set forth in an indenture supplemental hereto relating to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03"/>
        <w:gridCol w:w="136"/>
        <w:gridCol w:w="2543"/>
      </w:tblGrid>
      <w:tr>
        <w:trPr/>
        <w:tc>
          <w:tcPr>
            <w:tcW w:w="140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FULCRUM THERAPEUTICS, INC.,</w:t>
            </w:r>
            <w:r>
              <w:rPr>
                <w:rFonts w:ascii="Times New Roman" w:hAnsi="Times New Roman"/>
                <w:sz w:val="20"/>
              </w:rPr>
              <w:t> as Issuer</w:t>
            </w:r>
          </w:p>
        </w:tc>
      </w:tr>
      <w:tr>
        <w:trPr>
          <w:trHeight w:val="240" w:hRule="atLeast"/>
        </w:trPr>
        <w:tc>
          <w:tcPr>
            <w:tcW w:w="1403" w:type="dxa"/>
            <w:tcBorders/>
            <w:vAlign w:val="center"/>
          </w:tcPr>
          <w:p>
            <w:pPr>
              <w:pStyle w:val="TableContents"/>
              <w:bidi w:val="0"/>
              <w:spacing w:before="0" w:after="283"/>
              <w:jc w:val="left"/>
              <w:rPr>
                <w:sz w:val="4"/>
                <w:szCs w:val="4"/>
              </w:rPr>
            </w:pPr>
            <w:r>
              <w:rPr>
                <w:sz w:val="4"/>
                <w:szCs w:val="4"/>
              </w:rPr>
            </w:r>
          </w:p>
        </w:tc>
        <w:tc>
          <w:tcPr>
            <w:tcW w:w="2679" w:type="dxa"/>
            <w:gridSpan w:val="2"/>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pPr>
            <w:r>
              <w:rPr/>
              <w:t>By:</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543" w:type="dxa"/>
            <w:tcBorders>
              <w:bottom w:val="single" w:sz="2" w:space="0" w:color="000000"/>
            </w:tcBorders>
            <w:tcMar>
              <w:bottom w:w="28" w:type="dxa"/>
            </w:tcMar>
          </w:tcPr>
          <w:p>
            <w:pPr>
              <w:pStyle w:val="TableContents"/>
              <w:bidi w:val="0"/>
              <w:spacing w:before="0" w:after="283"/>
              <w:jc w:val="left"/>
              <w:rPr/>
            </w:pPr>
            <w:r>
              <w:rPr/>
              <w:t> </w:t>
            </w:r>
          </w:p>
        </w:tc>
      </w:tr>
      <w:tr>
        <w:trPr/>
        <w:tc>
          <w:tcPr>
            <w:tcW w:w="1403" w:type="dxa"/>
            <w:tcBorders/>
          </w:tcPr>
          <w:p>
            <w:pPr>
              <w:pStyle w:val="TableContents"/>
              <w:bidi w:val="0"/>
              <w:spacing w:before="0" w:after="283"/>
              <w:jc w:val="left"/>
              <w:rPr/>
            </w:pPr>
            <w:r>
              <w:rPr/>
              <w:t>Name:</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543" w:type="dxa"/>
            <w:tcBorders>
              <w:bottom w:val="single" w:sz="2" w:space="0" w:color="000000"/>
            </w:tcBorders>
            <w:tcMar>
              <w:bottom w:w="28" w:type="dxa"/>
            </w:tcMar>
          </w:tcPr>
          <w:p>
            <w:pPr>
              <w:pStyle w:val="TableContents"/>
              <w:bidi w:val="0"/>
              <w:spacing w:before="0" w:after="283"/>
              <w:jc w:val="left"/>
              <w:rPr/>
            </w:pPr>
            <w:r>
              <w:rPr/>
              <w:t> </w:t>
            </w:r>
          </w:p>
        </w:tc>
      </w:tr>
      <w:tr>
        <w:trPr/>
        <w:tc>
          <w:tcPr>
            <w:tcW w:w="1403" w:type="dxa"/>
            <w:tcBorders/>
          </w:tcPr>
          <w:p>
            <w:pPr>
              <w:pStyle w:val="TableContents"/>
              <w:bidi w:val="0"/>
              <w:spacing w:before="0" w:after="283"/>
              <w:jc w:val="left"/>
              <w:rPr/>
            </w:pPr>
            <w:r>
              <w:rPr/>
              <w:t>Title:</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54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[TRUSTEE],</w:t>
            </w:r>
            <w:r>
              <w:rPr>
                <w:rFonts w:ascii="Times New Roman" w:hAnsi="Times New Roman"/>
                <w:sz w:val="20"/>
              </w:rPr>
              <w:t> as Trustee</w:t>
            </w:r>
          </w:p>
        </w:tc>
      </w:tr>
      <w:tr>
        <w:trPr>
          <w:trHeight w:val="240" w:hRule="atLeast"/>
        </w:trPr>
        <w:tc>
          <w:tcPr>
            <w:tcW w:w="1403" w:type="dxa"/>
            <w:tcBorders/>
            <w:vAlign w:val="center"/>
          </w:tcPr>
          <w:p>
            <w:pPr>
              <w:pStyle w:val="TableContents"/>
              <w:bidi w:val="0"/>
              <w:spacing w:before="0" w:after="283"/>
              <w:jc w:val="left"/>
              <w:rPr>
                <w:sz w:val="4"/>
                <w:szCs w:val="4"/>
              </w:rPr>
            </w:pPr>
            <w:r>
              <w:rPr>
                <w:sz w:val="4"/>
                <w:szCs w:val="4"/>
              </w:rPr>
            </w:r>
          </w:p>
        </w:tc>
        <w:tc>
          <w:tcPr>
            <w:tcW w:w="2679" w:type="dxa"/>
            <w:gridSpan w:val="2"/>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283"/>
              <w:jc w:val="left"/>
              <w:rPr/>
            </w:pPr>
            <w:r>
              <w:rPr/>
              <w:t>By:</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543" w:type="dxa"/>
            <w:tcBorders>
              <w:bottom w:val="single" w:sz="2" w:space="0" w:color="000000"/>
            </w:tcBorders>
            <w:tcMar>
              <w:bottom w:w="28" w:type="dxa"/>
            </w:tcMar>
          </w:tcPr>
          <w:p>
            <w:pPr>
              <w:pStyle w:val="TableContents"/>
              <w:bidi w:val="0"/>
              <w:spacing w:before="0" w:after="283"/>
              <w:jc w:val="left"/>
              <w:rPr/>
            </w:pPr>
            <w:r>
              <w:rPr/>
              <w:t> </w:t>
            </w:r>
          </w:p>
        </w:tc>
      </w:tr>
      <w:tr>
        <w:trPr/>
        <w:tc>
          <w:tcPr>
            <w:tcW w:w="1403" w:type="dxa"/>
            <w:tcBorders/>
          </w:tcPr>
          <w:p>
            <w:pPr>
              <w:pStyle w:val="TableContents"/>
              <w:bidi w:val="0"/>
              <w:spacing w:before="0" w:after="283"/>
              <w:jc w:val="left"/>
              <w:rPr/>
            </w:pPr>
            <w:r>
              <w:rPr/>
              <w:t>Name:</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543" w:type="dxa"/>
            <w:tcBorders>
              <w:bottom w:val="single" w:sz="2" w:space="0" w:color="000000"/>
            </w:tcBorders>
            <w:tcMar>
              <w:bottom w:w="28" w:type="dxa"/>
            </w:tcMar>
          </w:tcPr>
          <w:p>
            <w:pPr>
              <w:pStyle w:val="TableContents"/>
              <w:bidi w:val="0"/>
              <w:spacing w:before="0" w:after="283"/>
              <w:jc w:val="left"/>
              <w:rPr/>
            </w:pPr>
            <w:r>
              <w:rPr/>
              <w:t> </w:t>
            </w:r>
          </w:p>
        </w:tc>
      </w:tr>
      <w:tr>
        <w:trPr/>
        <w:tc>
          <w:tcPr>
            <w:tcW w:w="1403" w:type="dxa"/>
            <w:tcBorders/>
          </w:tcPr>
          <w:p>
            <w:pPr>
              <w:pStyle w:val="TableContents"/>
              <w:bidi w:val="0"/>
              <w:spacing w:before="0" w:after="283"/>
              <w:jc w:val="left"/>
              <w:rPr/>
            </w:pPr>
            <w:r>
              <w:rPr/>
              <w:t>Title:</w:t>
            </w:r>
          </w:p>
        </w:tc>
        <w:tc>
          <w:tcPr>
            <w:tcW w:w="136" w:type="dxa"/>
            <w:tcBorders>
              <w:bottom w:val="single" w:sz="2" w:space="0" w:color="000000"/>
            </w:tcBorders>
            <w:tcMar>
              <w:bottom w:w="28" w:type="dxa"/>
            </w:tcMar>
            <w:vAlign w:val="bottom"/>
          </w:tcPr>
          <w:p>
            <w:pPr>
              <w:pStyle w:val="TableContents"/>
              <w:bidi w:val="0"/>
              <w:spacing w:before="0" w:after="283"/>
              <w:jc w:val="left"/>
              <w:rPr/>
            </w:pPr>
            <w:r>
              <w:rPr/>
              <w:t> </w:t>
            </w:r>
          </w:p>
        </w:tc>
        <w:tc>
          <w:tcPr>
            <w:tcW w:w="254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Form of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TRUST INDENTURE ACT CROSS-REFERENCE TABLE2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25"/>
        <w:gridCol w:w="120"/>
        <w:gridCol w:w="1560"/>
      </w:tblGrid>
      <w:tr>
        <w:trPr/>
        <w:tc>
          <w:tcPr>
            <w:tcW w:w="8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852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 of Trust Indenture Act of 1939, as amended</w:t>
            </w:r>
          </w:p>
        </w:tc>
        <w:tc>
          <w:tcPr>
            <w:tcW w:w="120" w:type="dxa"/>
            <w:tcBorders/>
            <w:vAlign w:val="bottom"/>
          </w:tcPr>
          <w:p>
            <w:pPr>
              <w:pStyle w:val="TableContents"/>
              <w:bidi w:val="0"/>
              <w:spacing w:before="0" w:after="283"/>
              <w:jc w:val="left"/>
              <w:rPr/>
            </w:pPr>
            <w:r>
              <w:rPr/>
              <w:t>  </w:t>
            </w:r>
          </w:p>
        </w:tc>
        <w:tc>
          <w:tcPr>
            <w:tcW w:w="1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 Indenture</w:t>
            </w:r>
          </w:p>
        </w:tc>
      </w:tr>
      <w:tr>
        <w:trPr/>
        <w:tc>
          <w:tcPr>
            <w:tcW w:w="8525" w:type="dxa"/>
            <w:tcBorders/>
          </w:tcPr>
          <w:p>
            <w:pPr>
              <w:pStyle w:val="TableContents"/>
              <w:bidi w:val="0"/>
              <w:spacing w:before="0" w:after="283"/>
              <w:jc w:val="left"/>
              <w:rPr/>
            </w:pPr>
            <w:r>
              <w:rPr/>
              <w:t>310(a)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7.09</w:t>
            </w:r>
          </w:p>
        </w:tc>
      </w:tr>
      <w:tr>
        <w:trPr/>
        <w:tc>
          <w:tcPr>
            <w:tcW w:w="8525" w:type="dxa"/>
            <w:tcBorders/>
          </w:tcPr>
          <w:p>
            <w:pPr>
              <w:pStyle w:val="TableContents"/>
              <w:bidi w:val="0"/>
              <w:spacing w:before="0" w:after="283"/>
              <w:jc w:val="left"/>
              <w:rPr/>
            </w:pPr>
            <w:r>
              <w:rPr/>
              <w:t>310(b)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7.08</w:t>
            </w:r>
          </w:p>
          <w:p>
            <w:pPr>
              <w:pStyle w:val="TableContents"/>
              <w:bidi w:val="0"/>
              <w:spacing w:before="0" w:after="20"/>
              <w:jc w:val="left"/>
              <w:rPr>
                <w:rFonts w:ascii="Times New Roman" w:hAnsi="Times New Roman"/>
                <w:sz w:val="20"/>
              </w:rPr>
            </w:pPr>
            <w:r>
              <w:rPr>
                <w:rFonts w:ascii="Times New Roman" w:hAnsi="Times New Roman"/>
                <w:sz w:val="20"/>
              </w:rPr>
              <w:t>7.10</w:t>
            </w:r>
          </w:p>
        </w:tc>
      </w:tr>
      <w:tr>
        <w:trPr/>
        <w:tc>
          <w:tcPr>
            <w:tcW w:w="8525" w:type="dxa"/>
            <w:tcBorders/>
          </w:tcPr>
          <w:p>
            <w:pPr>
              <w:pStyle w:val="TableContents"/>
              <w:bidi w:val="0"/>
              <w:spacing w:before="0" w:after="283"/>
              <w:jc w:val="left"/>
              <w:rPr/>
            </w:pPr>
            <w:r>
              <w:rPr/>
              <w:t>310(c)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311(a)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7.13</w:t>
            </w:r>
          </w:p>
        </w:tc>
      </w:tr>
      <w:tr>
        <w:trPr/>
        <w:tc>
          <w:tcPr>
            <w:tcW w:w="8525" w:type="dxa"/>
            <w:tcBorders/>
          </w:tcPr>
          <w:p>
            <w:pPr>
              <w:pStyle w:val="TableContents"/>
              <w:bidi w:val="0"/>
              <w:spacing w:before="0" w:after="283"/>
              <w:jc w:val="left"/>
              <w:rPr/>
            </w:pPr>
            <w:r>
              <w:rPr/>
              <w:t>311(b)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7.13</w:t>
            </w:r>
          </w:p>
        </w:tc>
      </w:tr>
      <w:tr>
        <w:trPr/>
        <w:tc>
          <w:tcPr>
            <w:tcW w:w="8525" w:type="dxa"/>
            <w:tcBorders/>
          </w:tcPr>
          <w:p>
            <w:pPr>
              <w:pStyle w:val="TableContents"/>
              <w:bidi w:val="0"/>
              <w:spacing w:before="0" w:after="283"/>
              <w:jc w:val="left"/>
              <w:rPr/>
            </w:pPr>
            <w:r>
              <w:rPr/>
              <w:t>311(c)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312(a)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p>
            <w:pPr>
              <w:pStyle w:val="TableContents"/>
              <w:bidi w:val="0"/>
              <w:spacing w:before="0" w:after="20"/>
              <w:jc w:val="left"/>
              <w:rPr>
                <w:rFonts w:ascii="Times New Roman" w:hAnsi="Times New Roman"/>
                <w:sz w:val="20"/>
              </w:rPr>
            </w:pPr>
            <w:r>
              <w:rPr>
                <w:rFonts w:ascii="Times New Roman" w:hAnsi="Times New Roman"/>
                <w:sz w:val="20"/>
              </w:rPr>
              <w:t>5.02(a)</w:t>
            </w:r>
          </w:p>
        </w:tc>
      </w:tr>
      <w:tr>
        <w:trPr/>
        <w:tc>
          <w:tcPr>
            <w:tcW w:w="8525" w:type="dxa"/>
            <w:tcBorders/>
          </w:tcPr>
          <w:p>
            <w:pPr>
              <w:pStyle w:val="TableContents"/>
              <w:bidi w:val="0"/>
              <w:spacing w:before="0" w:after="283"/>
              <w:jc w:val="left"/>
              <w:rPr/>
            </w:pPr>
            <w:r>
              <w:rPr/>
              <w:t>312(b)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5.02(c)</w:t>
            </w:r>
          </w:p>
        </w:tc>
      </w:tr>
      <w:tr>
        <w:trPr/>
        <w:tc>
          <w:tcPr>
            <w:tcW w:w="8525" w:type="dxa"/>
            <w:tcBorders/>
          </w:tcPr>
          <w:p>
            <w:pPr>
              <w:pStyle w:val="TableContents"/>
              <w:bidi w:val="0"/>
              <w:spacing w:before="0" w:after="283"/>
              <w:jc w:val="left"/>
              <w:rPr/>
            </w:pPr>
            <w:r>
              <w:rPr/>
              <w:t>312(c)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5.02(c)</w:t>
            </w:r>
          </w:p>
        </w:tc>
      </w:tr>
      <w:tr>
        <w:trPr/>
        <w:tc>
          <w:tcPr>
            <w:tcW w:w="8525" w:type="dxa"/>
            <w:tcBorders/>
          </w:tcPr>
          <w:p>
            <w:pPr>
              <w:pStyle w:val="TableContents"/>
              <w:bidi w:val="0"/>
              <w:spacing w:before="0" w:after="283"/>
              <w:jc w:val="left"/>
              <w:rPr/>
            </w:pPr>
            <w:r>
              <w:rPr/>
              <w:t>313(a)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5.04(a)</w:t>
            </w:r>
          </w:p>
        </w:tc>
      </w:tr>
      <w:tr>
        <w:trPr/>
        <w:tc>
          <w:tcPr>
            <w:tcW w:w="8525" w:type="dxa"/>
            <w:tcBorders/>
          </w:tcPr>
          <w:p>
            <w:pPr>
              <w:pStyle w:val="TableContents"/>
              <w:bidi w:val="0"/>
              <w:spacing w:before="0" w:after="283"/>
              <w:jc w:val="left"/>
              <w:rPr/>
            </w:pPr>
            <w:r>
              <w:rPr/>
              <w:t>313(b)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5.04(b)</w:t>
            </w:r>
          </w:p>
        </w:tc>
      </w:tr>
      <w:tr>
        <w:trPr/>
        <w:tc>
          <w:tcPr>
            <w:tcW w:w="8525" w:type="dxa"/>
            <w:tcBorders/>
          </w:tcPr>
          <w:p>
            <w:pPr>
              <w:pStyle w:val="TableContents"/>
              <w:bidi w:val="0"/>
              <w:spacing w:before="0" w:after="283"/>
              <w:jc w:val="left"/>
              <w:rPr/>
            </w:pPr>
            <w:r>
              <w:rPr/>
              <w:t>313(c)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5.04(a)</w:t>
            </w:r>
          </w:p>
          <w:p>
            <w:pPr>
              <w:pStyle w:val="TableContents"/>
              <w:bidi w:val="0"/>
              <w:spacing w:before="0" w:after="20"/>
              <w:jc w:val="left"/>
              <w:rPr>
                <w:rFonts w:ascii="Times New Roman" w:hAnsi="Times New Roman"/>
                <w:sz w:val="20"/>
              </w:rPr>
            </w:pPr>
            <w:r>
              <w:rPr>
                <w:rFonts w:ascii="Times New Roman" w:hAnsi="Times New Roman"/>
                <w:sz w:val="20"/>
              </w:rPr>
              <w:t>5.04(b)</w:t>
            </w:r>
          </w:p>
        </w:tc>
      </w:tr>
      <w:tr>
        <w:trPr/>
        <w:tc>
          <w:tcPr>
            <w:tcW w:w="8525" w:type="dxa"/>
            <w:tcBorders/>
          </w:tcPr>
          <w:p>
            <w:pPr>
              <w:pStyle w:val="TableContents"/>
              <w:bidi w:val="0"/>
              <w:spacing w:before="0" w:after="283"/>
              <w:jc w:val="left"/>
              <w:rPr/>
            </w:pPr>
            <w:r>
              <w:rPr/>
              <w:t>313(d)</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5.04(c)</w:t>
            </w:r>
          </w:p>
        </w:tc>
      </w:tr>
      <w:tr>
        <w:trPr/>
        <w:tc>
          <w:tcPr>
            <w:tcW w:w="8525" w:type="dxa"/>
            <w:tcBorders/>
          </w:tcPr>
          <w:p>
            <w:pPr>
              <w:pStyle w:val="TableContents"/>
              <w:bidi w:val="0"/>
              <w:spacing w:before="0" w:after="283"/>
              <w:jc w:val="left"/>
              <w:rPr/>
            </w:pPr>
            <w:r>
              <w:rPr/>
              <w:t>314(a)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p>
            <w:pPr>
              <w:pStyle w:val="TableContents"/>
              <w:bidi w:val="0"/>
              <w:spacing w:before="0" w:after="20"/>
              <w:jc w:val="left"/>
              <w:rPr>
                <w:rFonts w:ascii="Times New Roman" w:hAnsi="Times New Roman"/>
                <w:sz w:val="20"/>
              </w:rPr>
            </w:pPr>
            <w:r>
              <w:rPr>
                <w:rFonts w:ascii="Times New Roman" w:hAnsi="Times New Roman"/>
                <w:sz w:val="20"/>
              </w:rPr>
              <w:t>13.12</w:t>
            </w:r>
          </w:p>
        </w:tc>
      </w:tr>
      <w:tr>
        <w:trPr/>
        <w:tc>
          <w:tcPr>
            <w:tcW w:w="8525" w:type="dxa"/>
            <w:tcBorders/>
          </w:tcPr>
          <w:p>
            <w:pPr>
              <w:pStyle w:val="TableContents"/>
              <w:bidi w:val="0"/>
              <w:spacing w:before="0" w:after="283"/>
              <w:jc w:val="left"/>
              <w:rPr/>
            </w:pPr>
            <w:r>
              <w:rPr/>
              <w:t>314(b)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314(c)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13.07(a)</w:t>
            </w:r>
          </w:p>
        </w:tc>
      </w:tr>
      <w:tr>
        <w:trPr/>
        <w:tc>
          <w:tcPr>
            <w:tcW w:w="8525" w:type="dxa"/>
            <w:tcBorders/>
          </w:tcPr>
          <w:p>
            <w:pPr>
              <w:pStyle w:val="TableContents"/>
              <w:bidi w:val="0"/>
              <w:spacing w:before="0" w:after="283"/>
              <w:jc w:val="left"/>
              <w:rPr/>
            </w:pPr>
            <w:r>
              <w:rPr/>
              <w:t>314(d)</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314(e)</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13.07(b)</w:t>
            </w:r>
          </w:p>
        </w:tc>
      </w:tr>
      <w:tr>
        <w:trPr/>
        <w:tc>
          <w:tcPr>
            <w:tcW w:w="8525" w:type="dxa"/>
            <w:tcBorders/>
          </w:tcPr>
          <w:p>
            <w:pPr>
              <w:pStyle w:val="TableContents"/>
              <w:bidi w:val="0"/>
              <w:spacing w:before="0" w:after="283"/>
              <w:jc w:val="left"/>
              <w:rPr/>
            </w:pPr>
            <w:r>
              <w:rPr/>
              <w:t>314(f)</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Inapplicable</w:t>
            </w:r>
          </w:p>
        </w:tc>
      </w:tr>
      <w:tr>
        <w:trPr/>
        <w:tc>
          <w:tcPr>
            <w:tcW w:w="8525" w:type="dxa"/>
            <w:tcBorders/>
          </w:tcPr>
          <w:p>
            <w:pPr>
              <w:pStyle w:val="TableContents"/>
              <w:bidi w:val="0"/>
              <w:spacing w:before="0" w:after="283"/>
              <w:jc w:val="left"/>
              <w:rPr/>
            </w:pPr>
            <w:r>
              <w:rPr/>
              <w:t>315(a)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7.01(a)</w:t>
            </w:r>
          </w:p>
          <w:p>
            <w:pPr>
              <w:pStyle w:val="TableContents"/>
              <w:bidi w:val="0"/>
              <w:spacing w:before="0" w:after="20"/>
              <w:jc w:val="left"/>
              <w:rPr>
                <w:rFonts w:ascii="Times New Roman" w:hAnsi="Times New Roman"/>
                <w:sz w:val="20"/>
              </w:rPr>
            </w:pPr>
            <w:r>
              <w:rPr>
                <w:rFonts w:ascii="Times New Roman" w:hAnsi="Times New Roman"/>
                <w:sz w:val="20"/>
              </w:rPr>
              <w:t>7.01(b)</w:t>
            </w:r>
          </w:p>
        </w:tc>
      </w:tr>
      <w:tr>
        <w:trPr/>
        <w:tc>
          <w:tcPr>
            <w:tcW w:w="8525" w:type="dxa"/>
            <w:tcBorders/>
          </w:tcPr>
          <w:p>
            <w:pPr>
              <w:pStyle w:val="TableContents"/>
              <w:bidi w:val="0"/>
              <w:spacing w:before="0" w:after="283"/>
              <w:jc w:val="left"/>
              <w:rPr/>
            </w:pPr>
            <w:r>
              <w:rPr/>
              <w:t>315(b)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7.14</w:t>
            </w:r>
          </w:p>
        </w:tc>
      </w:tr>
      <w:tr>
        <w:trPr/>
        <w:tc>
          <w:tcPr>
            <w:tcW w:w="8525" w:type="dxa"/>
            <w:tcBorders/>
          </w:tcPr>
          <w:p>
            <w:pPr>
              <w:pStyle w:val="TableContents"/>
              <w:bidi w:val="0"/>
              <w:spacing w:before="0" w:after="283"/>
              <w:jc w:val="left"/>
              <w:rPr/>
            </w:pPr>
            <w:r>
              <w:rPr/>
              <w:t>315(c)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7.01(a)</w:t>
            </w:r>
          </w:p>
        </w:tc>
      </w:tr>
      <w:tr>
        <w:trPr/>
        <w:tc>
          <w:tcPr>
            <w:tcW w:w="8525" w:type="dxa"/>
            <w:tcBorders/>
          </w:tcPr>
          <w:p>
            <w:pPr>
              <w:pStyle w:val="TableContents"/>
              <w:bidi w:val="0"/>
              <w:spacing w:before="0" w:after="283"/>
              <w:jc w:val="left"/>
              <w:rPr/>
            </w:pPr>
            <w:r>
              <w:rPr/>
              <w:t>315(d)</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7.01(b)</w:t>
            </w:r>
          </w:p>
        </w:tc>
      </w:tr>
      <w:tr>
        <w:trPr/>
        <w:tc>
          <w:tcPr>
            <w:tcW w:w="8525" w:type="dxa"/>
            <w:tcBorders/>
          </w:tcPr>
          <w:p>
            <w:pPr>
              <w:pStyle w:val="TableContents"/>
              <w:bidi w:val="0"/>
              <w:spacing w:before="0" w:after="283"/>
              <w:jc w:val="left"/>
              <w:rPr/>
            </w:pPr>
            <w:r>
              <w:rPr/>
              <w:t>315(e)</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6.07</w:t>
            </w:r>
          </w:p>
        </w:tc>
      </w:tr>
      <w:tr>
        <w:trPr/>
        <w:tc>
          <w:tcPr>
            <w:tcW w:w="8525" w:type="dxa"/>
            <w:tcBorders/>
          </w:tcPr>
          <w:p>
            <w:pPr>
              <w:pStyle w:val="TableContents"/>
              <w:bidi w:val="0"/>
              <w:spacing w:before="0" w:after="283"/>
              <w:jc w:val="left"/>
              <w:rPr/>
            </w:pPr>
            <w:r>
              <w:rPr/>
              <w:t>316(a)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p>
            <w:pPr>
              <w:pStyle w:val="TableContents"/>
              <w:bidi w:val="0"/>
              <w:spacing w:before="0" w:after="20"/>
              <w:jc w:val="left"/>
              <w:rPr>
                <w:rFonts w:ascii="Times New Roman" w:hAnsi="Times New Roman"/>
                <w:sz w:val="20"/>
              </w:rPr>
            </w:pPr>
            <w:r>
              <w:rPr>
                <w:rFonts w:ascii="Times New Roman" w:hAnsi="Times New Roman"/>
                <w:sz w:val="20"/>
              </w:rPr>
              <w:t>8.04</w:t>
            </w:r>
          </w:p>
        </w:tc>
      </w:tr>
      <w:tr>
        <w:trPr/>
        <w:tc>
          <w:tcPr>
            <w:tcW w:w="8525" w:type="dxa"/>
            <w:tcBorders/>
          </w:tcPr>
          <w:p>
            <w:pPr>
              <w:pStyle w:val="TableContents"/>
              <w:bidi w:val="0"/>
              <w:spacing w:before="0" w:after="283"/>
              <w:jc w:val="left"/>
              <w:rPr/>
            </w:pPr>
            <w:r>
              <w:rPr/>
              <w:t>316(b)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6.04</w:t>
            </w:r>
          </w:p>
        </w:tc>
      </w:tr>
      <w:tr>
        <w:trPr/>
        <w:tc>
          <w:tcPr>
            <w:tcW w:w="8525" w:type="dxa"/>
            <w:tcBorders/>
          </w:tcPr>
          <w:p>
            <w:pPr>
              <w:pStyle w:val="TableContents"/>
              <w:bidi w:val="0"/>
              <w:spacing w:before="0" w:after="283"/>
              <w:jc w:val="left"/>
              <w:rPr/>
            </w:pPr>
            <w:r>
              <w:rPr/>
              <w:t>316(c)</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8.01</w:t>
            </w:r>
          </w:p>
        </w:tc>
      </w:tr>
      <w:tr>
        <w:trPr/>
        <w:tc>
          <w:tcPr>
            <w:tcW w:w="8525" w:type="dxa"/>
            <w:tcBorders/>
          </w:tcPr>
          <w:p>
            <w:pPr>
              <w:pStyle w:val="TableContents"/>
              <w:bidi w:val="0"/>
              <w:spacing w:before="0" w:after="283"/>
              <w:jc w:val="left"/>
              <w:rPr/>
            </w:pPr>
            <w:r>
              <w:rPr/>
              <w:t>317(a)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6.02</w:t>
            </w:r>
          </w:p>
        </w:tc>
      </w:tr>
      <w:tr>
        <w:trPr/>
        <w:tc>
          <w:tcPr>
            <w:tcW w:w="8525" w:type="dxa"/>
            <w:tcBorders/>
          </w:tcPr>
          <w:p>
            <w:pPr>
              <w:pStyle w:val="TableContents"/>
              <w:bidi w:val="0"/>
              <w:spacing w:before="0" w:after="283"/>
              <w:jc w:val="left"/>
              <w:rPr/>
            </w:pPr>
            <w:r>
              <w:rPr/>
              <w:t>317(b)</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4.03</w:t>
            </w:r>
          </w:p>
        </w:tc>
      </w:tr>
      <w:tr>
        <w:trPr/>
        <w:tc>
          <w:tcPr>
            <w:tcW w:w="8525" w:type="dxa"/>
            <w:tcBorders/>
          </w:tcPr>
          <w:p>
            <w:pPr>
              <w:pStyle w:val="TableContents"/>
              <w:bidi w:val="0"/>
              <w:spacing w:before="0" w:after="283"/>
              <w:jc w:val="left"/>
              <w:rPr/>
            </w:pPr>
            <w:r>
              <w:rPr/>
              <w:t>318(a)</w:t>
            </w:r>
          </w:p>
        </w:tc>
        <w:tc>
          <w:tcPr>
            <w:tcW w:w="120" w:type="dxa"/>
            <w:tcBorders/>
            <w:vAlign w:val="bottom"/>
          </w:tcPr>
          <w:p>
            <w:pPr>
              <w:pStyle w:val="TableContents"/>
              <w:bidi w:val="0"/>
              <w:spacing w:before="0" w:after="283"/>
              <w:jc w:val="left"/>
              <w:rPr/>
            </w:pPr>
            <w:r>
              <w:rPr/>
              <w:t>  </w:t>
            </w:r>
          </w:p>
        </w:tc>
        <w:tc>
          <w:tcPr>
            <w:tcW w:w="1560" w:type="dxa"/>
            <w:tcBorders/>
          </w:tcPr>
          <w:p>
            <w:pPr>
              <w:pStyle w:val="TableContents"/>
              <w:bidi w:val="0"/>
              <w:spacing w:before="0" w:after="283"/>
              <w:jc w:val="left"/>
              <w:rPr/>
            </w:pPr>
            <w:r>
              <w:rPr/>
              <w:t>13.09</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right"/>
        <w:rPr>
          <w:rFonts w:ascii="Times New Roman" w:hAnsi="Times New Roman"/>
          <w:b/>
          <w:sz w:val="20"/>
        </w:rPr>
      </w:pPr>
      <w:bookmarkStart w:id="39" w:name="d785884dex51.htm"/>
      <w:bookmarkStart w:id="40" w:name="ksd785884dex51"/>
      <w:bookmarkEnd w:id="39"/>
      <w:bookmarkEnd w:id="40"/>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95"/>
        <w:gridCol w:w="120"/>
        <w:gridCol w:w="3390"/>
      </w:tblGrid>
      <w:tr>
        <w:trPr/>
        <w:tc>
          <w:tcPr>
            <w:tcW w:w="66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6695" w:type="dxa"/>
            <w:tcBorders/>
          </w:tcPr>
          <w:p>
            <w:pPr>
              <w:pStyle w:val="TableContents"/>
              <w:bidi w:val="0"/>
              <w:spacing w:before="0" w:after="283"/>
              <w:jc w:val="left"/>
              <w:rPr/>
            </w:pPr>
            <w:r>
              <w:rPr/>
              <w:drawing>
                <wp:inline distT="0" distB="0" distL="0" distR="0">
                  <wp:extent cx="190500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905000" cy="4286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Three Embarcadero Center, Suite 2800</w:t>
            </w:r>
          </w:p>
          <w:p>
            <w:pPr>
              <w:pStyle w:val="TableContents"/>
              <w:bidi w:val="0"/>
              <w:spacing w:before="0" w:after="0"/>
              <w:jc w:val="left"/>
              <w:rPr>
                <w:rFonts w:ascii="Times New Roman" w:hAnsi="Times New Roman"/>
                <w:sz w:val="20"/>
              </w:rPr>
            </w:pPr>
            <w:r>
              <w:rPr>
                <w:rFonts w:ascii="Times New Roman" w:hAnsi="Times New Roman"/>
                <w:sz w:val="20"/>
              </w:rPr>
              <w:t>San Francisco, CA 94111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0"/>
              <w:jc w:val="left"/>
              <w:rPr>
                <w:rFonts w:ascii="Times New Roman" w:hAnsi="Times New Roman"/>
                <w:sz w:val="20"/>
              </w:rPr>
            </w:pPr>
            <w:r>
              <w:rPr>
                <w:rFonts w:ascii="Times New Roman" w:hAnsi="Times New Roman"/>
                <w:sz w:val="20"/>
              </w:rPr>
              <w:t>+1 415 733 6000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February 27, 2024</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Being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(as amended or supplemented, the Registration Statement) pursuant to the Securities Act of 1933, as amended (the Securities Act), relating to the offering by Fulcrum Therapeutics, Inc., a Delaware corporation (the Company), of up to $350,000,000 of any combination of (i) the Companys common stock, par value $0.001 per share (Common Stock), (ii) the Companys preferred stock, par value $0.001 per share (Preferred Stock), (iii) the Companys debt securities (Debt Securities), (iv) depositary shares representing fractional interests in a share or multiple shares of Preferred Stock (Depositary Shares), (v) warrants to purchase Common Stock, Preferred Stock, Debt Securities or Depositary Shares (Warrants) and (vi) units comprised of Common Stock, Preferred Stock, Debt Securities, Depositary Shares, or Warrants and other securities in any combination (Units). The Common Stock, Preferred Stock, Debt Securities, Depositary Shares, Warrants and Units are sometimes referred to collectively herein as the Securities. Pursuant to the Registration Statement, up to $350,000,000 of Securities may be issued in an unspecified number (with respect to Common Stock, Preferred Stock, Depositary Shares, Warrants and Units) or up to $350,000,000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are limited to the Delaware General Corporation Law and the law of New York.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opinions set forth below, without limiting any other exceptions or qualifications set forth herein, we have assumed that (i) each of the Depositary Shares,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opinions set forth below, we refer to the following as the Future Approval and Issuance of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Depositary Shares, when (a) the Approval by the Company of the amount, terms and issuance of such Securities, the terms of the offering thereof and related matters, including the adoption of a Certificate of Designation relating to the Preferred Stock underlying the Depositary Shares and the filing of the Certificate of Designation with the Secretary of State of the State of Delaware, and such Certificate of Designation has been duly filed, (b) the applicable Depositary Agreement relating to the Depositary Shares has been duly authorized, executed and delivered; any depositary receipts evidencing rights in the Depositary Shares have been executed; and the depositary appointed by the Company, (c) the terms of the issuance and sale of the Depositary Shares have been duly established in conformity with the Charter, Bylaws and Approval, (d) the Depositary Shares have been issued and delivered as contemplated by the Registration Statement, the prospectus and any applicable Prospectus Supplement in accordance with the applicable underwriting or other purchase agreement against payment therefor, (e) the shares of Preferred Stock underlying the Depositary Shares have been deposited with a bank or trust company (which meets the requirements for the depositary set forth in the Registration Statement), and (f) the Company has received the consideration provided for in the Approval and the applicable underwriting agreement or other purchase agreement, the Depositary Shares will be legally issued and will entitle the holders of such Depositary Shares to the rights specified in the applicable Depositary Agreement and the applicable depositary receipts; and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additional qualifications set forth below,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Upon the Future Approval and Issuance of shares of Common Stock, such shares of Common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2. Upon the Future Approval and Issuance of shares of Preferred Stock, such shares of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Upon the Future Approval and Issuance of Debt Securities, such Debt Securities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Upon the Future Approval and Issuance of Depositary Shares, such Depositary Shares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Upon the Future Approval and Issuance of Warrants, such Warrants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6. Upon the Future Approval and Issuance of Units, such Units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bankruptcy, insolvency, fraudulent transfer, reorganization, moratorium and other similar laws of general application affecting the rights and remedies of creditors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opinions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tc>
      </w:tr>
    </w:tbl>
    <w:p>
      <w:pPr>
        <w:pStyle w:val="TextBody"/>
        <w:bidi w:val="0"/>
        <w:spacing w:before="0" w:after="0"/>
        <w:jc w:val="right"/>
        <w:rPr>
          <w:rFonts w:ascii="Times New Roman" w:hAnsi="Times New Roman"/>
          <w:b/>
          <w:sz w:val="20"/>
        </w:rPr>
      </w:pPr>
      <w:bookmarkStart w:id="41" w:name="d785884dex52.htm"/>
      <w:bookmarkStart w:id="42" w:name="ksd785884dex52"/>
      <w:bookmarkEnd w:id="41"/>
      <w:bookmarkEnd w:id="42"/>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5"/>
        <w:gridCol w:w="120"/>
        <w:gridCol w:w="2934"/>
        <w:gridCol w:w="120"/>
        <w:gridCol w:w="3086"/>
      </w:tblGrid>
      <w:tr>
        <w:trPr/>
        <w:tc>
          <w:tcPr>
            <w:tcW w:w="39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3945" w:type="dxa"/>
            <w:tcBorders/>
          </w:tcPr>
          <w:p>
            <w:pPr>
              <w:pStyle w:val="TableContents"/>
              <w:bidi w:val="0"/>
              <w:spacing w:before="0" w:after="283"/>
              <w:jc w:val="left"/>
              <w:rPr/>
            </w:pPr>
            <w:r>
              <w:rPr/>
              <w:drawing>
                <wp:inline distT="0" distB="0" distL="0" distR="0">
                  <wp:extent cx="190500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905000" cy="4286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9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86"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Goodwin Procter </w:t>
            </w:r>
            <w:r>
              <w:rPr>
                <w:rFonts w:ascii="Times New Roman" w:hAnsi="Times New Roman"/>
                <w:sz w:val="20"/>
              </w:rPr>
              <w:t>LLP</w:t>
            </w:r>
          </w:p>
          <w:p>
            <w:pPr>
              <w:pStyle w:val="TableContents"/>
              <w:bidi w:val="0"/>
              <w:spacing w:before="0" w:after="0"/>
              <w:jc w:val="left"/>
              <w:rPr>
                <w:rFonts w:ascii="Times New Roman" w:hAnsi="Times New Roman"/>
                <w:sz w:val="14"/>
              </w:rPr>
            </w:pPr>
            <w:r>
              <w:rPr>
                <w:rFonts w:ascii="Times New Roman" w:hAnsi="Times New Roman"/>
                <w:sz w:val="14"/>
              </w:rPr>
              <w:t>Three Embarcadero Center,</w:t>
            </w:r>
          </w:p>
          <w:p>
            <w:pPr>
              <w:pStyle w:val="TableContents"/>
              <w:bidi w:val="0"/>
              <w:spacing w:before="0" w:after="0"/>
              <w:jc w:val="left"/>
              <w:rPr>
                <w:rFonts w:ascii="Times New Roman" w:hAnsi="Times New Roman"/>
                <w:sz w:val="14"/>
              </w:rPr>
            </w:pPr>
            <w:r>
              <w:rPr>
                <w:rFonts w:ascii="Times New Roman" w:hAnsi="Times New Roman"/>
                <w:sz w:val="14"/>
              </w:rPr>
              <w:t>Suite 2800</w:t>
            </w:r>
          </w:p>
          <w:p>
            <w:pPr>
              <w:pStyle w:val="TableContents"/>
              <w:bidi w:val="0"/>
              <w:spacing w:before="0" w:after="0"/>
              <w:jc w:val="left"/>
              <w:rPr>
                <w:rFonts w:ascii="Times New Roman" w:hAnsi="Times New Roman"/>
                <w:sz w:val="14"/>
              </w:rPr>
            </w:pPr>
            <w:r>
              <w:rPr>
                <w:rFonts w:ascii="Times New Roman" w:hAnsi="Times New Roman"/>
                <w:sz w:val="14"/>
              </w:rPr>
              <w:t>San Francisco, CA 94111</w:t>
            </w:r>
          </w:p>
          <w:p>
            <w:pPr>
              <w:pStyle w:val="TableContents"/>
              <w:bidi w:val="0"/>
              <w:spacing w:before="0" w:after="0"/>
              <w:jc w:val="left"/>
              <w:rPr/>
            </w:pPr>
            <w:r>
              <w:rPr/>
              <w:t> </w:t>
            </w:r>
          </w:p>
          <w:p>
            <w:pPr>
              <w:pStyle w:val="TableContents"/>
              <w:bidi w:val="0"/>
              <w:spacing w:before="0" w:after="0"/>
              <w:jc w:val="left"/>
              <w:rPr>
                <w:rFonts w:ascii="Times New Roman" w:hAnsi="Times New Roman"/>
                <w:sz w:val="14"/>
              </w:rPr>
            </w:pPr>
            <w:r>
              <w:rPr>
                <w:rFonts w:ascii="Times New Roman" w:hAnsi="Times New Roman"/>
                <w:sz w:val="14"/>
              </w:rPr>
              <w:t>goodwinlaw.com</w:t>
            </w:r>
          </w:p>
          <w:p>
            <w:pPr>
              <w:pStyle w:val="TableContents"/>
              <w:bidi w:val="0"/>
              <w:spacing w:before="0" w:after="20"/>
              <w:jc w:val="left"/>
              <w:rPr>
                <w:rFonts w:ascii="Times New Roman" w:hAnsi="Times New Roman"/>
                <w:sz w:val="14"/>
              </w:rPr>
            </w:pPr>
            <w:r>
              <w:rPr>
                <w:rFonts w:ascii="Times New Roman" w:hAnsi="Times New Roman"/>
                <w:sz w:val="14"/>
              </w:rPr>
              <w:t>+1 415 733 6000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February 27, 2024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240" w:after="0"/>
        <w:jc w:val="left"/>
        <w:rPr>
          <w:rFonts w:ascii="Times New Roman" w:hAnsi="Times New Roman"/>
          <w:sz w:val="20"/>
        </w:rPr>
      </w:pPr>
      <w:r>
        <w:rPr>
          <w:rFonts w:ascii="Times New Roman" w:hAnsi="Times New Roman"/>
          <w:sz w:val="20"/>
        </w:rPr>
        <w:t>Re: </w:t>
      </w:r>
      <w:r>
        <w:rPr>
          <w:rFonts w:ascii="Times New Roman" w:hAnsi="Times New Roman"/>
          <w:sz w:val="20"/>
          <w:u w:val="single"/>
        </w:rPr>
        <w:t>Securities Registered under Registration Statement on Form S-3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(as amended or supplemented, the Registration Statement) filed on February 27, 2024 with the Securities and Exchange Commission (the Commission) pursuant to the Securities Act of 1933, as amended (the Securities Act), relating to the registration of the offering by Fulcrum Therapeutics, Inc., a Delaware corporation (the Company) of up to $350,000,000 of any combination of securities of the types specified therein. We are delivering this supplemental opinion letter in connection with the prospectus (the Prospectus) filed as part of the Registration Statement. The Prospectus relates to the offering by the Company of up to $100,000,000 in shares (the Shares) of the Companys common stock, par value $0.001 per share (Common Stock) covered by the Registration Statement. The Shares are being offered and sold by the sales agent(s) named in, and pursuant to, sales agreement(s) among the Company and such sales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the Shares are issued for a price per share equal to or greater than the minimum price authorized by the Companys board of directors (or a duly authorized committee of the board of directors) prior to the date hereof (the Minimum Price) and that no event occurs that causes the number of authorized shares of Common Stock available for issuance by the Company to be less than the number of then unissued Shares that may be issued for the Minimum Price.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upon Future Approval and Issuance,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Registration Statement. We hereby consent to the filing of this opinion letter as an exhibit to the Registration Statement. In giving our consent, we do not admit that we are in the category of persons whose consent is required under Section 7 of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120" w:after="0"/>
        <w:jc w:val="left"/>
        <w:rPr>
          <w:rFonts w:ascii="Times New Roman" w:hAnsi="Times New Roman"/>
          <w:sz w:val="20"/>
        </w:rPr>
      </w:pPr>
      <w:r>
        <w:rPr>
          <w:rFonts w:ascii="Times New Roman" w:hAnsi="Times New Roman"/>
          <w:sz w:val="20"/>
        </w:rPr>
        <w:t xml:space="preserve">/s/Goodwin Procter LLP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right"/>
        <w:rPr>
          <w:rFonts w:ascii="Times New Roman" w:hAnsi="Times New Roman"/>
          <w:b/>
          <w:sz w:val="20"/>
        </w:rPr>
      </w:pPr>
      <w:bookmarkStart w:id="43" w:name="d785884dex231.htm"/>
      <w:bookmarkStart w:id="44" w:name="ksd785884dex231"/>
      <w:bookmarkEnd w:id="43"/>
      <w:bookmarkEnd w:id="44"/>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Fulcrum Therapeutics, Inc. for the registration of debt securities, common stock, preferred stock, depositary shares, units and/or warrants of Fulcrum Therapeutics, Inc. and to the incorporation by reference therein of our report dated February 27, 2024, with respect to the consolidated financial statements of Fulcrum Therapeutics, Inc., included in its Annual Report (Form 10-K) for the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right"/>
        <w:rPr>
          <w:rFonts w:ascii="Times New Roman" w:hAnsi="Times New Roman"/>
          <w:b/>
          <w:sz w:val="20"/>
        </w:rPr>
      </w:pPr>
      <w:bookmarkStart w:id="45" w:name="d785884dexfilingfees.htm"/>
      <w:bookmarkStart w:id="46" w:name="ksd785884dexfilingfees"/>
      <w:bookmarkEnd w:id="45"/>
      <w:bookmarkEnd w:id="46"/>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14675" w:type="dxa"/>
        <w:jc w:val="center"/>
        <w:tblInd w:w="0" w:type="dxa"/>
        <w:tblLayout w:type="fixed"/>
        <w:tblCellMar>
          <w:top w:w="0" w:type="dxa"/>
          <w:left w:w="0" w:type="dxa"/>
          <w:bottom w:w="0" w:type="dxa"/>
          <w:right w:w="0" w:type="dxa"/>
        </w:tblCellMar>
      </w:tblPr>
      <w:tblGrid>
        <w:gridCol w:w="815"/>
        <w:gridCol w:w="60"/>
        <w:gridCol w:w="1160"/>
        <w:gridCol w:w="60"/>
        <w:gridCol w:w="1010"/>
        <w:gridCol w:w="60"/>
        <w:gridCol w:w="1100"/>
        <w:gridCol w:w="60"/>
        <w:gridCol w:w="1340"/>
        <w:gridCol w:w="60"/>
        <w:gridCol w:w="995"/>
        <w:gridCol w:w="60"/>
        <w:gridCol w:w="1415"/>
        <w:gridCol w:w="60"/>
        <w:gridCol w:w="1160"/>
        <w:gridCol w:w="60"/>
        <w:gridCol w:w="1175"/>
        <w:gridCol w:w="60"/>
        <w:gridCol w:w="830"/>
        <w:gridCol w:w="60"/>
        <w:gridCol w:w="830"/>
        <w:gridCol w:w="60"/>
        <w:gridCol w:w="1010"/>
        <w:gridCol w:w="60"/>
        <w:gridCol w:w="111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Security</w:t>
              <w:br/>
              <w:t>Class</w:t>
              <w:b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Maximum</w:t>
              <w:br/>
              <w:t>Aggregate</w:t>
              <w:br/>
              <w:t>Offering 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center"/>
              <w:rPr/>
            </w:pPr>
            <w:r>
              <w:rPr/>
              <w:t>Filing Fee</w:t>
              <w:br/>
              <w:t>Previously</w:t>
              <w:br/>
              <w:t>Paid In</w:t>
              <w:br/>
              <w:t>Connection</w:t>
              <w:br/>
              <w:t>with</w:t>
              <w:br/>
              <w:t>Unsold</w:t>
              <w:br/>
              <w:t>Securities</w:t>
              <w:br/>
              <w:t>to</w:t>
              <w:br/>
              <w:t>be Carried</w:t>
              <w:br/>
              <w:t>Forward</w:t>
            </w:r>
          </w:p>
        </w:tc>
      </w:tr>
      <w:tr>
        <w:trPr>
          <w:trHeight w:val="15" w:hRule="atLeast"/>
        </w:trPr>
        <w:tc>
          <w:tcPr>
            <w:tcW w:w="1467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67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450"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390" w:type="dxa"/>
            <w:gridSpan w:val="5"/>
            <w:tcBorders/>
            <w:vAlign w:val="bottom"/>
          </w:tcPr>
          <w:p>
            <w:pPr>
              <w:pStyle w:val="TableContents"/>
              <w:bidi w:val="0"/>
              <w:spacing w:before="0" w:after="283"/>
              <w:jc w:val="center"/>
              <w:rPr/>
            </w:pPr>
            <w:r>
              <w:rPr/>
              <w:t>Primary Offering of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Common</w:t>
              <w:br/>
              <w:t>Stock,</w:t>
            </w:r>
          </w:p>
          <w:p>
            <w:pPr>
              <w:pStyle w:val="TableContents"/>
              <w:bidi w:val="0"/>
              <w:spacing w:before="0" w:after="20"/>
              <w:jc w:val="center"/>
              <w:rPr>
                <w:rFonts w:ascii="Times New Roman" w:hAnsi="Times New Roman"/>
                <w:sz w:val="20"/>
              </w:rPr>
            </w:pPr>
            <w:r>
              <w:rPr>
                <w:rFonts w:ascii="Times New Roman" w:hAnsi="Times New Roman"/>
                <w:sz w:val="20"/>
              </w:rPr>
              <w:t>par value</w:t>
              <w:br/>
              <w:t>$0.001 per</w:t>
              <w:br/>
              <w:t>share(3)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Preferred</w:t>
              <w:br/>
              <w:t>Stock, par</w:t>
              <w:br/>
              <w:t>value</w:t>
              <w:br/>
              <w:t>$0.001 per</w:t>
              <w:br/>
              <w:t>share(4)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Debt</w:t>
              <w:br/>
              <w:t>Securities(5)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Warrants(6)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Units(7)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Depositary</w:t>
            </w:r>
          </w:p>
          <w:p>
            <w:pPr>
              <w:pStyle w:val="TableContents"/>
              <w:bidi w:val="0"/>
              <w:spacing w:before="0" w:after="20"/>
              <w:jc w:val="center"/>
              <w:rPr>
                <w:rFonts w:ascii="Times New Roman" w:hAnsi="Times New Roman"/>
                <w:sz w:val="20"/>
              </w:rPr>
            </w:pPr>
            <w:r>
              <w:rPr>
                <w:rFonts w:ascii="Times New Roman" w:hAnsi="Times New Roman"/>
                <w:sz w:val="20"/>
              </w:rPr>
              <w:t>Shares(8)</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Unallocated</w:t>
              <w:br/>
              <w:t>(Universal)</w:t>
              <w:br/>
              <w:t>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(1)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$350,000,000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$350,000,000(9)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(9)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450" w:type="dxa"/>
            <w:gridSpan w:val="6"/>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3390" w:type="dxa"/>
            <w:gridSpan w:val="5"/>
            <w:tcBorders/>
            <w:vAlign w:val="bottom"/>
          </w:tcPr>
          <w:p>
            <w:pPr>
              <w:pStyle w:val="TableContents"/>
              <w:bidi w:val="0"/>
              <w:spacing w:before="0" w:after="283"/>
              <w:jc w:val="center"/>
              <w:rPr/>
            </w:pPr>
            <w:r>
              <w:rPr/>
              <w:t>Total Registration 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$311,249,979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$311,249,979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$45,940.50(9)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467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67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Carry Forward Securities</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Carry</w:t>
            </w:r>
          </w:p>
          <w:p>
            <w:pPr>
              <w:pStyle w:val="TableContents"/>
              <w:bidi w:val="0"/>
              <w:spacing w:before="0" w:after="0"/>
              <w:jc w:val="center"/>
              <w:rPr>
                <w:rFonts w:ascii="Times New Roman" w:hAnsi="Times New Roman"/>
                <w:sz w:val="20"/>
              </w:rPr>
            </w:pPr>
            <w:r>
              <w:rPr>
                <w:rFonts w:ascii="Times New Roman" w:hAnsi="Times New Roman"/>
                <w:sz w:val="20"/>
              </w:rPr>
              <w:t>Forward</w:t>
            </w:r>
          </w:p>
          <w:p>
            <w:pPr>
              <w:pStyle w:val="TableContents"/>
              <w:bidi w:val="0"/>
              <w:spacing w:before="0" w:after="20"/>
              <w:jc w:val="center"/>
              <w:rPr>
                <w:rFonts w:ascii="Times New Roman" w:hAnsi="Times New Roman"/>
                <w:sz w:val="20"/>
              </w:rPr>
            </w:pPr>
            <w:r>
              <w:rPr>
                <w:rFonts w:ascii="Times New Roman" w:hAnsi="Times New Roman"/>
                <w:sz w:val="20"/>
              </w:rP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Common</w:t>
              <w:br/>
              <w:t>Stock,</w:t>
            </w:r>
          </w:p>
          <w:p>
            <w:pPr>
              <w:pStyle w:val="TableContents"/>
              <w:bidi w:val="0"/>
              <w:spacing w:before="0" w:after="20"/>
              <w:jc w:val="center"/>
              <w:rPr>
                <w:rFonts w:ascii="Times New Roman" w:hAnsi="Times New Roman"/>
                <w:sz w:val="20"/>
              </w:rPr>
            </w:pPr>
            <w:r>
              <w:rPr>
                <w:rFonts w:ascii="Times New Roman" w:hAnsi="Times New Roman"/>
                <w:sz w:val="20"/>
              </w:rPr>
              <w:t>par value</w:t>
              <w:br/>
              <w:t>$0.001 per</w:t>
              <w:b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457(b)</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$38,750,021(9)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$38,750,021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$0.0000927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$3,592.13(9)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S-3ASR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333-260754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November 4,</w:t>
            </w:r>
          </w:p>
          <w:p>
            <w:pPr>
              <w:pStyle w:val="TableContents"/>
              <w:bidi w:val="0"/>
              <w:spacing w:before="0" w:after="20"/>
              <w:jc w:val="center"/>
              <w:rPr>
                <w:rFonts w:ascii="Times New Roman" w:hAnsi="Times New Roman"/>
                <w:sz w:val="20"/>
              </w:rPr>
            </w:pPr>
            <w:r>
              <w:rPr>
                <w:rFonts w:ascii="Times New Roman" w:hAnsi="Times New Roman"/>
                <w:sz w:val="20"/>
              </w:rPr>
              <w:t>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center"/>
              <w:rPr/>
            </w:pPr>
            <w:r>
              <w:rPr/>
              <w:t>$3,592.13(9)</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85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790" w:type="dxa"/>
            <w:gridSpan w:val="7"/>
            <w:tcBorders/>
            <w:vAlign w:val="bottom"/>
          </w:tcPr>
          <w:p>
            <w:pPr>
              <w:pStyle w:val="TableContents"/>
              <w:bidi w:val="0"/>
              <w:spacing w:before="0" w:after="283"/>
              <w:jc w:val="right"/>
              <w:rPr>
                <w:b/>
              </w:rPr>
            </w:pPr>
            <w:r>
              <w:rPr>
                <w:b/>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$350,000,000(9)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$51,660.00(9)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85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790" w:type="dxa"/>
            <w:gridSpan w:val="7"/>
            <w:tcBorders/>
            <w:vAlign w:val="bottom"/>
          </w:tcPr>
          <w:p>
            <w:pPr>
              <w:pStyle w:val="TableContents"/>
              <w:bidi w:val="0"/>
              <w:spacing w:before="0" w:after="283"/>
              <w:jc w:val="right"/>
              <w:rPr>
                <w:b/>
              </w:rPr>
            </w:pPr>
            <w:r>
              <w:rPr>
                <w:b/>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$3,592.13(9)</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85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790" w:type="dxa"/>
            <w:gridSpan w:val="7"/>
            <w:tcBorders/>
            <w:vAlign w:val="bottom"/>
          </w:tcPr>
          <w:p>
            <w:pPr>
              <w:pStyle w:val="TableContents"/>
              <w:bidi w:val="0"/>
              <w:spacing w:before="0" w:after="283"/>
              <w:jc w:val="right"/>
              <w:rPr>
                <w:b/>
              </w:rPr>
            </w:pPr>
            <w:r>
              <w:rPr>
                <w:b/>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81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85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790" w:type="dxa"/>
            <w:gridSpan w:val="7"/>
            <w:tcBorders>
              <w:bottom w:val="single" w:sz="2" w:space="0" w:color="000000"/>
            </w:tcBorders>
            <w:tcMar>
              <w:bottom w:w="28" w:type="dxa"/>
            </w:tcMar>
            <w:vAlign w:val="bottom"/>
          </w:tcPr>
          <w:p>
            <w:pPr>
              <w:pStyle w:val="TableContents"/>
              <w:bidi w:val="0"/>
              <w:spacing w:before="0" w:after="283"/>
              <w:jc w:val="right"/>
              <w:rPr>
                <w:b/>
              </w:rPr>
            </w:pPr>
            <w:r>
              <w:rPr>
                <w:b/>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1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vAlign w:val="bottom"/>
          </w:tcPr>
          <w:p>
            <w:pPr>
              <w:pStyle w:val="TableContents"/>
              <w:bidi w:val="0"/>
              <w:spacing w:before="0" w:after="283"/>
              <w:jc w:val="center"/>
              <w:rPr/>
            </w:pPr>
            <w:r>
              <w:rPr/>
              <w:t>$45,940.50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1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be registered consists of up to $350,000,000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such indeterminate amount of common stock as may be issued from time to time at indeterminate prices or upon conversion of debt securities and/or preferred stock registered hereby, or upon exercise of warrants registered hereby, as the case may be.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such indeterminate amount of preferred stock as may be issued from time to time at indeterminate prices or upon conversion of debt securities and/or preferred stock registered hereby, or upon exercise of warrants registered hereby, as the case may be.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such indeterminate principal amount of debt securities as may be issued from time to time at indeterminate prices or upon exercise of warrants registered hereby, as the case may be.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depositary share will be evidenced by a depositary receipt issued pursuant to the deposit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415(a)(6) under the Securities Act, the securities registered pursuant to this registration statement include $38,750,021 of unsold securities (the Unsold Securities) previously registered on the registrants registration statement on Form S-3 (File No. 333-260754), which was initially filed with the Securities and Exchange Commission on November 4, 2021 as an automatic shelf registration statement, was amended on March 3, 2022 and became effective on April 28, 2022 (as amended, the Prior Registration Statement). The Prior Registration Statement registered securities for primary offerings in accordance with Rule 415(a)(1)(x) with a proposed maximum aggregate offering price of $250,000,000. The registrant sold an aggregate of $211,249,978.20 of such securities under the Prior Registration Statement, leaving the balance of $38,750,021.80 of Unsold Securities, in respect of which the registrant paid an aggregate registration fee of $3,592.13 (calculated at the filing fee rate which was in effect at the time of the filing of the Prior Registration Statement) relating to the Unsold Securities under the Prior Registration Statement. No additional filing fee is due with respect to the Unsold Securities in connection with the filing of this registration statement. A filing fee of $45,940.50 is paid herewith in connection with the $311,249,979 of additional securities registered hereunder. Pursuant to Rule 415(a)(6) under the Securities Act, the offering of Unsold Securities under the Prior Registration Statement will be deemed terminated as of the date of effectiveness of this registration statement.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80581/000095017024021074/fulc-20231231.htm" TargetMode="External"/><Relationship Id="rId4" Type="http://schemas.openxmlformats.org/officeDocument/2006/relationships/hyperlink" Target="http://www.sec.gov/Archives/edgar/data/1680581/000110465919040208/a19-3408_78a12b.htm" TargetMode="External"/><Relationship Id="rId5" Type="http://schemas.openxmlformats.org/officeDocument/2006/relationships/hyperlink" Target="http://www.sec.gov/Archives/edgar/data/1680581/000156459020008951/fulc-ex42_198.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hyperlink" Target="http://www.sec.gov/Archives/edgar/data/../../../ix?doc=/Archives/edgar/data/1680581/000095017024021074/fulc-20231231.htm" TargetMode="External"/><Relationship Id="rId9" Type="http://schemas.openxmlformats.org/officeDocument/2006/relationships/hyperlink" Target="http://www.sec.gov/Archives/edgar/data/1680581/000110465919040208/a19-3408_78a12b.htm" TargetMode="External"/><Relationship Id="rId10" Type="http://schemas.openxmlformats.org/officeDocument/2006/relationships/hyperlink" Target="http://www.sec.gov/Archives/edgar/data/1680581/000156459020008951/fulc-ex42_198.htm" TargetMode="External"/><Relationship Id="rId11" Type="http://schemas.openxmlformats.org/officeDocument/2006/relationships/image" Target="media/image1.jpeg"/><Relationship Id="rId12" Type="http://schemas.openxmlformats.org/officeDocument/2006/relationships/hyperlink" Target="http://www.sec.gov/Archives/edgar/data/1680581/000104746919004324/a2239321zex-3_1.htm" TargetMode="External"/><Relationship Id="rId13" Type="http://schemas.openxmlformats.org/officeDocument/2006/relationships/hyperlink" Target="http://www.sec.gov/Archives/edgar/data/1680581/000119312523164435/d463131dex31.htm" TargetMode="External"/><Relationship Id="rId14" Type="http://schemas.openxmlformats.org/officeDocument/2006/relationships/hyperlink" Target="http://www.sec.gov/Archives/edgar/data/1680581/000104746919004324/a2239321zex-3_2.htm" TargetMode="External"/><Relationship Id="rId15" Type="http://schemas.openxmlformats.org/officeDocument/2006/relationships/hyperlink" Target="http://www.sec.gov/Archives/edgar/data/1680581/000104746919003793/a2239080zex-4_1.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191</Pages>
  <Words>106558</Words>
  <Characters>544297</Characters>
  <CharactersWithSpaces>651178</CharactersWithSpaces>
  <Paragraphs>5618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